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1E035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2.1 Программы для расчётов дозы </w:t>
      </w:r>
    </w:p>
    <w:p w14:paraId="6C1358B9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Существуют ряд программ, задачей которых является расчёт дозы, получаемой экипажем от космического излучения в процессе полёта. Часть из них используют результаты симуляции атмосферного излучения методом Монте-Карло; другие используют аналитические программы моделирования переноса излучения в атмосфере, в то время как третьи основаны на моделях, построенных на результатах измерений [8].</w:t>
      </w:r>
    </w:p>
    <w:p w14:paraId="3D3F9AA2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К числу программ, которые используют результаты Монте-Карло симуляции относятся: AVIDOS, CARI-7, EPCARD, JISCARD EX, PANDOCA, PLANETOCOSMICS и QARM [8-10]. </w:t>
      </w:r>
    </w:p>
    <w:p w14:paraId="4C1C0235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СARI-6 и FREE относятся к программам, в которых используются аналитическое нахождение спектра атмосферного излучения. А FDOScalc и PCAIRE являются представителями программ, модели облучения которых основаны на измеренных данных [8,9]. </w:t>
      </w:r>
    </w:p>
    <w:p w14:paraId="698D7E6C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Из-за доступности и простоты использования программы CARI-7, на её примере будет рассмотрен один из способов расчёта дозы.</w:t>
      </w:r>
    </w:p>
    <w:p w14:paraId="7437E6E6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2.2 CARI-7</w:t>
      </w:r>
    </w:p>
    <w:p w14:paraId="1FA1F473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CARI (акроним от Civil Aeromedical Research Institute) – это ряд программ, разработанных институтом медицины в гражданской авиации (CAMI) федеральной авиационной администрации Соединенных Штатов Америки. Последняя версия этой компьютерной программы называется CARI-7. Её можно скачать с веб-сайта FAA [11]</w:t>
      </w:r>
    </w:p>
    <w:p w14:paraId="232BB306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Существуют два общедоступных выпуска CARI-7: -7 и -7A. Первый выпуск CARI-7 в 2014 году сопровождался пользовательскими отзывами, по которым было решено совершить разделение программы на две ветви, -7 и -7A. Для CAR-7A большинство опций остались включенными в качестве пользовательских вариантов, в то время как для CARI линейки -7 набор настроек был сокращен [9].</w:t>
      </w:r>
    </w:p>
    <w:p w14:paraId="5E7FBF73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CARI-7 позволяет оценить эффективную дозу согласно 103-й публикации МКРЗ и амбиентный эквивалент дозы H*(10), полученные за перелёт, или их мощности в некоторой точке для высот не более 100 км [9]. </w:t>
      </w:r>
    </w:p>
    <w:p w14:paraId="65E0898C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CARI-7 использует базу данных, основанной на расчётах атмосферного излучения MCNPX версии 2.7.0, возникающего вследствие облучения Земли ГКЛ. Модель Земли представляла собою шар воды (1г/см3) радиусом 6371 км, покрытый атмосферой высотой 100 км. Атмосфера была разделена на 100 оболочек глубиной 1 км и изотропной плотностью каждая [9,10].</w:t>
      </w:r>
    </w:p>
    <w:p w14:paraId="7209B9D7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Моделирование прохождения излучения через атмосферу проводилось для частиц (наблюдаемых в космическом излучении) с диапазоном энергий от 1 МэВ до 1 ТэВ. Для всех ливней элементами, отслеживаемыми в MCNPX, были каоны, пионы, мюоны, фотоны, электроны, нейтрино, нейтроны, протоны, дейтроны, тритоны, гелионы, альфа-частицы и другие атомные ядра вплоть до железа. Показатели флюенса атмосферного излучения сохранялись для всех этих частиц, кроме каонов, нейтральных пионов и нейтрино [10].</w:t>
      </w:r>
    </w:p>
    <w:p w14:paraId="7A2B6237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Спектры частиц для каждой высоты преобразовывались в дозы с использованием наборов коэффициентов преобразования флюенса в дозу. Таким образом была получена база данных, которая используется для всех присутствующих моделей ГКЛ. Существующие в CARI-7А версий 4.1.3 и 4.2.0 модели модуляции ГКЛ [9,12]: </w:t>
      </w:r>
    </w:p>
    <w:p w14:paraId="6D63D495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1.ISO 15390:2004 с солнечной модуляцией основанной на числе Вольфа (относительное число солнечных пятен).</w:t>
      </w:r>
    </w:p>
    <w:p w14:paraId="29DF5B08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2.ISO 15390:2004 с модуляцией гелиоцентрическим потенциалом – является единственной моделью в CARI-7 версии -7.</w:t>
      </w:r>
    </w:p>
    <w:p w14:paraId="78B401F8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3.Модель Badhwar-O'Neill 2011 года</w:t>
      </w:r>
    </w:p>
    <w:p w14:paraId="2CBC6C8C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4.Модель Badhwar-O'Neill 2014 года</w:t>
      </w:r>
    </w:p>
    <w:p w14:paraId="539D0E99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Программа учитывает влияние солнечной активности, а также геомагнитного поля на уровни галактического космического излучения, попадающего в атмосферу для выбранной пользователем даты. Облучение от солнечно-протонных штормов не учитывается программой напрямую, однако влияние геомагнитных бурь на жёсткость геомагнитной отсечки корректируются на основании данных Kp индексов [9,10,12,13].</w:t>
      </w:r>
    </w:p>
    <w:p w14:paraId="4B45F852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2.3 Надёжность CARI-7</w:t>
      </w:r>
    </w:p>
    <w:p w14:paraId="56543B7A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Программа соответствует требованиям соответствующих органов власти ряда стран. При этом, использование CARI-7 прямо прописано в соответствующих регулирующих или законодательных документов таких стран как: Великобритания [14], Швейцария [15], Финляндии [16].</w:t>
      </w:r>
    </w:p>
    <w:p w14:paraId="787AA16A" w14:textId="77777777" w:rsidR="00CA2419" w:rsidRPr="00CA2419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В руководстве по авиационной медицине Международной организации гражданской авиации (ICAO) CARI характеризуется как «проверенная на практике» [17]. </w:t>
      </w:r>
    </w:p>
    <w:p w14:paraId="138F6781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Также существует упоминание, датированное 07.02.2012, об использовании CARI-6 в оценке дозы облучения в странах ЕС: Бельгии, Чешской Республике, Дании, Ирландии, Италии, Литвы, Словении и Швеции и Нидерландах [18].</w:t>
      </w:r>
    </w:p>
    <w:p w14:paraId="7F828D69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lastRenderedPageBreak/>
        <w:t xml:space="preserve">Одним из способов проверки программы CARI являлось сравнение её оценки дозы с результатами измерений или референтных значений. Примером такого сравнения может служить статья «CARI-7A: development and validation» от Copeland [19]. </w:t>
      </w:r>
    </w:p>
    <w:p w14:paraId="4E77F545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При сравнении результатов с тканеэквивалентным пропорциональным счётчиком «HAWK», отклонение CARI-7A находилось в диапазоне от -14% до +34%, при среднем значении +5%. По заверению авторов измерений «HAWK», погрешность определения общей дозы составляет приблизительно 18% [20].</w:t>
      </w:r>
    </w:p>
    <w:p w14:paraId="6B094948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Модель FW-AD1 «HAWK», производства Far West Technology Inc., предназначена для измерения общей дозы смешанного излучения, наблюдаемых в космосе или коммерческих авиаперелётах. Прибор измеряет поглощённую и эквивалентную дозу, а также спектр линейной передачи энергии – два мультиканальных анализатора: 1024 каналов для диапазона 0–1024 кэВ/мм, 256 каналов 0–25.6 кэВ/мм [21]. </w:t>
      </w:r>
    </w:p>
    <w:p w14:paraId="5E4D3A9A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Отклонение мощности амбиентного эквивалента дозы от референтных значений 84 доклада ICRU составило в среднем +5%, при диапазоне от -5% до +14%. Следует отметить, что для двух вышеперечисленных сравнений использовалась модель ГКЛ Badhwar-O'Neill 2011 [19].</w:t>
      </w:r>
    </w:p>
    <w:p w14:paraId="53CE1211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Вывод: на текущий момент существует множество компьютерных программ, созданных с целью оценки получаемой дозы от космического излучения. Точность оценки доз программой CARI-7 достаточна для соответствия требованиям к дозиметрическому контролю ряда стран. </w:t>
      </w:r>
    </w:p>
    <w:p w14:paraId="2397F423" w14:textId="77777777" w:rsidR="00CA2419" w:rsidRPr="00F421B0" w:rsidRDefault="00CA2419" w:rsidP="00CA2419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Программа CARI-7 для оценки дозы использует базу данных образованного ГКЛ атмосферного излучения, полученной с помощью программы MCNPX версии 2.7.0. Для вычисления дозы, помимо датасета, используется информация, необходимая для модуляции ГКЛ, а именно: время вылета, траектория полёта, данные солнечной активности, эффекта Форбуша, геомагнитного порога отсечки и Kp-индексов.</w:t>
      </w:r>
    </w:p>
    <w:p w14:paraId="4029F3AB" w14:textId="77777777" w:rsidR="00D9400B" w:rsidRPr="00D9400B" w:rsidRDefault="00D9400B" w:rsidP="00D9400B"/>
    <w:sectPr w:rsidR="00D9400B" w:rsidRPr="00D9400B" w:rsidSect="00F26D69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4585213">
    <w:abstractNumId w:val="2"/>
  </w:num>
  <w:num w:numId="2" w16cid:durableId="1035692433">
    <w:abstractNumId w:val="0"/>
  </w:num>
  <w:num w:numId="3" w16cid:durableId="129255398">
    <w:abstractNumId w:val="4"/>
  </w:num>
  <w:num w:numId="4" w16cid:durableId="671178040">
    <w:abstractNumId w:val="3"/>
  </w:num>
  <w:num w:numId="5" w16cid:durableId="424421267">
    <w:abstractNumId w:val="8"/>
  </w:num>
  <w:num w:numId="6" w16cid:durableId="570769745">
    <w:abstractNumId w:val="7"/>
  </w:num>
  <w:num w:numId="7" w16cid:durableId="113718517">
    <w:abstractNumId w:val="1"/>
  </w:num>
  <w:num w:numId="8" w16cid:durableId="1805080839">
    <w:abstractNumId w:val="5"/>
  </w:num>
  <w:num w:numId="9" w16cid:durableId="1023821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19"/>
    <w:rsid w:val="000E2BBF"/>
    <w:rsid w:val="00106D4F"/>
    <w:rsid w:val="001A2467"/>
    <w:rsid w:val="001B4600"/>
    <w:rsid w:val="002509DF"/>
    <w:rsid w:val="002A081A"/>
    <w:rsid w:val="002B1703"/>
    <w:rsid w:val="00352369"/>
    <w:rsid w:val="0035256B"/>
    <w:rsid w:val="00373C0B"/>
    <w:rsid w:val="00383C4E"/>
    <w:rsid w:val="004744F6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B12F0C"/>
    <w:rsid w:val="00B47636"/>
    <w:rsid w:val="00C27291"/>
    <w:rsid w:val="00C75D67"/>
    <w:rsid w:val="00CA2419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A4C29"/>
    <w:rsid w:val="00EC322F"/>
    <w:rsid w:val="00F26D69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367A"/>
  <w15:chartTrackingRefBased/>
  <w15:docId w15:val="{3FFF9878-3554-4974-A6EB-08ADC8C2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CA2419"/>
    <w:pPr>
      <w:spacing w:after="0"/>
      <w:ind w:firstLine="709"/>
    </w:pPr>
    <w:rPr>
      <w:rFonts w:ascii="Times New Roman" w:hAnsi="Times New Roman"/>
      <w:sz w:val="28"/>
      <w:lang w:val="ru-RU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jc w:val="both"/>
      <w:outlineLvl w:val="0"/>
    </w:pPr>
    <w:rPr>
      <w:rFonts w:eastAsiaTheme="majorEastAsia" w:cstheme="majorBidi"/>
      <w:b/>
      <w:caps/>
      <w:sz w:val="32"/>
      <w:szCs w:val="32"/>
      <w:lang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jc w:val="both"/>
      <w:outlineLvl w:val="1"/>
    </w:pPr>
    <w:rPr>
      <w:rFonts w:eastAsiaTheme="majorEastAsia" w:cstheme="majorBidi"/>
      <w:b/>
      <w:szCs w:val="26"/>
      <w:lang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jc w:val="both"/>
      <w:outlineLvl w:val="2"/>
    </w:pPr>
    <w:rPr>
      <w:rFonts w:eastAsiaTheme="majorEastAsia" w:cstheme="majorBidi"/>
      <w:b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720"/>
      <w:jc w:val="center"/>
    </w:pPr>
    <w:rPr>
      <w:i/>
      <w:iCs/>
      <w:lang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  <w:jc w:val="both"/>
    </w:pPr>
    <w:rPr>
      <w:lang/>
    </w:r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  <w:jc w:val="both"/>
    </w:pPr>
    <w:rPr>
      <w:rFonts w:eastAsiaTheme="minorEastAsia"/>
      <w:spacing w:val="15"/>
      <w:lang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  <w:lang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 w:firstLine="720"/>
      <w:jc w:val="both"/>
    </w:pPr>
    <w:rPr>
      <w:i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1</cp:revision>
  <dcterms:created xsi:type="dcterms:W3CDTF">2024-03-20T18:16:00Z</dcterms:created>
  <dcterms:modified xsi:type="dcterms:W3CDTF">2024-03-20T18:16:00Z</dcterms:modified>
</cp:coreProperties>
</file>