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drawing>
          <wp:inline distT="0" distB="0" distL="0" distR="0">
            <wp:extent cx="4191000" cy="952500"/>
            <wp:effectExtent t="0" r="0" b="0" l="0"/>
            <wp:docPr id="1" name="logo" descr="Logo Air Mess" title="AIR M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952500"/>
                    </a:xfrm>
                    <a:prstGeom prst="rect">
                      <a:avLst/>
                    </a:prstGeom>
                  </pic:spPr>
                </pic:pic>
              </a:graphicData>
            </a:graphic>
          </wp:inline>
        </w:drawing>
      </w:r>
    </w:p>
    <w:p>
      <w:pPr>
        <w:spacing w:after="400"/>
      </w:pPr>
      <w:r>
        <w:t xml:space="preserve"/>
      </w:r>
    </w:p>
    <w:p>
      <w:pPr>
        <w:spacing w:after="60"/>
        <w:jc w:val="center"/>
      </w:pPr>
      <w:r>
        <w:rPr>
          <w:rFonts w:ascii="Arial" w:cs="Arial" w:eastAsia="Arial" w:hAnsi="Arial"/>
          <w:b/>
          <w:bCs/>
          <w:color w:val="2C2C2C"/>
          <w:sz w:val="48"/>
          <w:szCs w:val="48"/>
        </w:rPr>
        <w:t xml:space="preserve">RECOMMANDATIONS TECHNIQUES</w:t>
      </w:r>
    </w:p>
    <w:p>
      <w:pPr>
        <w:spacing w:after="200"/>
        <w:jc w:val="center"/>
      </w:pPr>
      <w:r>
        <w:rPr>
          <w:rFonts w:ascii="Arial" w:cs="Arial" w:eastAsia="Arial" w:hAnsi="Arial"/>
          <w:b/>
          <w:bCs/>
          <w:color w:val="E5201F"/>
          <w:sz w:val="40"/>
          <w:szCs w:val="40"/>
        </w:rPr>
        <w:t xml:space="preserve">Landing page AIR MESS</w:t>
      </w:r>
    </w:p>
    <w:p>
      <w:pPr>
        <w:spacing w:after="40"/>
        <w:jc w:val="center"/>
      </w:pPr>
      <w:r>
        <w:rPr>
          <w:rFonts w:ascii="Arial" w:cs="Arial" w:eastAsia="Arial" w:hAnsi="Arial"/>
          <w:color w:val="6B6B6B"/>
          <w:sz w:val="22"/>
          <w:szCs w:val="22"/>
        </w:rPr>
        <w:t xml:space="preserve">À l'attention du développeur — révision et corrections à apporter</w:t>
      </w:r>
    </w:p>
    <w:p>
      <w:pPr>
        <w:spacing w:after="500"/>
      </w:pPr>
      <w:r>
        <w:t xml:space="preserve"/>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c>
          <w:tcPr>
            <w:tcW w:type="dxa" w:w="2400"/>
            <w:shd w:fill="2C2C2C" w:val="clear"/>
            <w:tcMar>
              <w:top w:type="dxa" w:w="70"/>
              <w:left w:type="dxa" w:w="140"/>
              <w:bottom w:type="dxa" w:w="70"/>
              <w:right w:type="dxa" w:w="140"/>
            </w:tcMar>
          </w:tcPr>
          <w:p>
            <w:r>
              <w:rPr>
                <w:rFonts w:ascii="Arial" w:cs="Arial" w:eastAsia="Arial" w:hAnsi="Arial"/>
                <w:b/>
                <w:bCs/>
                <w:color w:val="FFFFFF"/>
                <w:sz w:val="19"/>
                <w:szCs w:val="19"/>
              </w:rPr>
              <w:t xml:space="preserve">Projet</w:t>
            </w:r>
          </w:p>
        </w:tc>
        <w:tc>
          <w:tcPr>
            <w:tcW w:type="dxa" w:w="4000"/>
            <w:shd w:fill="FFFFFF" w:val="clear"/>
            <w:tcMar>
              <w:top w:type="dxa" w:w="70"/>
              <w:left w:type="dxa" w:w="140"/>
              <w:bottom w:type="dxa" w:w="70"/>
              <w:right w:type="dxa" w:w="140"/>
            </w:tcMar>
          </w:tcPr>
          <w:p>
            <w:r>
              <w:rPr>
                <w:rFonts w:ascii="Arial" w:cs="Arial" w:eastAsia="Arial" w:hAnsi="Arial"/>
                <w:color w:val="2C2C2C"/>
                <w:sz w:val="19"/>
                <w:szCs w:val="19"/>
              </w:rPr>
              <w:t xml:space="preserve">AIR MESS — Assistance vente en ligne et livraison</w:t>
            </w:r>
          </w:p>
        </w:tc>
      </w:tr>
      <w:tr>
        <w:tc>
          <w:tcPr>
            <w:tcW w:type="dxa" w:w="2400"/>
            <w:shd w:fill="2C2C2C" w:val="clear"/>
            <w:tcMar>
              <w:top w:type="dxa" w:w="70"/>
              <w:left w:type="dxa" w:w="140"/>
              <w:bottom w:type="dxa" w:w="70"/>
              <w:right w:type="dxa" w:w="140"/>
            </w:tcMar>
          </w:tcPr>
          <w:p>
            <w:r>
              <w:rPr>
                <w:rFonts w:ascii="Arial" w:cs="Arial" w:eastAsia="Arial" w:hAnsi="Arial"/>
                <w:b/>
                <w:bCs/>
                <w:color w:val="FFFFFF"/>
                <w:sz w:val="19"/>
                <w:szCs w:val="19"/>
              </w:rPr>
              <w:t xml:space="preserve">Éditeur</w:t>
            </w:r>
          </w:p>
        </w:tc>
        <w:tc>
          <w:tcPr>
            <w:tcW w:type="dxa" w:w="4000"/>
            <w:shd w:fill="F7F7F7" w:val="clear"/>
            <w:tcMar>
              <w:top w:type="dxa" w:w="70"/>
              <w:left w:type="dxa" w:w="140"/>
              <w:bottom w:type="dxa" w:w="70"/>
              <w:right w:type="dxa" w:w="140"/>
            </w:tcMar>
          </w:tcPr>
          <w:p>
            <w:r>
              <w:rPr>
                <w:rFonts w:ascii="Arial" w:cs="Arial" w:eastAsia="Arial" w:hAnsi="Arial"/>
                <w:color w:val="2C2C2C"/>
                <w:sz w:val="19"/>
                <w:szCs w:val="19"/>
              </w:rPr>
              <w:t xml:space="preserve">KTALYZ</w:t>
            </w:r>
          </w:p>
        </w:tc>
      </w:tr>
      <w:tr>
        <w:tc>
          <w:tcPr>
            <w:tcW w:type="dxa" w:w="2400"/>
            <w:shd w:fill="2C2C2C" w:val="clear"/>
            <w:tcMar>
              <w:top w:type="dxa" w:w="70"/>
              <w:left w:type="dxa" w:w="140"/>
              <w:bottom w:type="dxa" w:w="70"/>
              <w:right w:type="dxa" w:w="140"/>
            </w:tcMar>
          </w:tcPr>
          <w:p>
            <w:r>
              <w:rPr>
                <w:rFonts w:ascii="Arial" w:cs="Arial" w:eastAsia="Arial" w:hAnsi="Arial"/>
                <w:b/>
                <w:bCs/>
                <w:color w:val="FFFFFF"/>
                <w:sz w:val="19"/>
                <w:szCs w:val="19"/>
              </w:rPr>
              <w:t xml:space="preserve">Objet</w:t>
            </w:r>
          </w:p>
        </w:tc>
        <w:tc>
          <w:tcPr>
            <w:tcW w:type="dxa" w:w="4000"/>
            <w:shd w:fill="FFFFFF" w:val="clear"/>
            <w:tcMar>
              <w:top w:type="dxa" w:w="70"/>
              <w:left w:type="dxa" w:w="140"/>
              <w:bottom w:type="dxa" w:w="70"/>
              <w:right w:type="dxa" w:w="140"/>
            </w:tcMar>
          </w:tcPr>
          <w:p>
            <w:r>
              <w:rPr>
                <w:rFonts w:ascii="Arial" w:cs="Arial" w:eastAsia="Arial" w:hAnsi="Arial"/>
                <w:color w:val="2C2C2C"/>
                <w:sz w:val="19"/>
                <w:szCs w:val="19"/>
              </w:rPr>
              <w:t xml:space="preserve">Audit landing page &amp; plan de corrections</w:t>
            </w:r>
          </w:p>
        </w:tc>
      </w:tr>
      <w:tr>
        <w:tc>
          <w:tcPr>
            <w:tcW w:type="dxa" w:w="2400"/>
            <w:shd w:fill="2C2C2C" w:val="clear"/>
            <w:tcMar>
              <w:top w:type="dxa" w:w="70"/>
              <w:left w:type="dxa" w:w="140"/>
              <w:bottom w:type="dxa" w:w="70"/>
              <w:right w:type="dxa" w:w="140"/>
            </w:tcMar>
          </w:tcPr>
          <w:p>
            <w:r>
              <w:rPr>
                <w:rFonts w:ascii="Arial" w:cs="Arial" w:eastAsia="Arial" w:hAnsi="Arial"/>
                <w:b/>
                <w:bCs/>
                <w:color w:val="FFFFFF"/>
                <w:sz w:val="19"/>
                <w:szCs w:val="19"/>
              </w:rPr>
              <w:t xml:space="preserve">Version</w:t>
            </w:r>
          </w:p>
        </w:tc>
        <w:tc>
          <w:tcPr>
            <w:tcW w:type="dxa" w:w="4000"/>
            <w:shd w:fill="F7F7F7" w:val="clear"/>
            <w:tcMar>
              <w:top w:type="dxa" w:w="70"/>
              <w:left w:type="dxa" w:w="140"/>
              <w:bottom w:type="dxa" w:w="70"/>
              <w:right w:type="dxa" w:w="140"/>
            </w:tcMar>
          </w:tcPr>
          <w:p>
            <w:r>
              <w:rPr>
                <w:rFonts w:ascii="Arial" w:cs="Arial" w:eastAsia="Arial" w:hAnsi="Arial"/>
                <w:color w:val="2C2C2C"/>
                <w:sz w:val="19"/>
                <w:szCs w:val="19"/>
              </w:rPr>
              <w:t xml:space="preserve">1.0</w:t>
            </w:r>
          </w:p>
        </w:tc>
      </w:tr>
      <w:tr>
        <w:tc>
          <w:tcPr>
            <w:tcW w:type="dxa" w:w="2400"/>
            <w:shd w:fill="2C2C2C" w:val="clear"/>
            <w:tcMar>
              <w:top w:type="dxa" w:w="70"/>
              <w:left w:type="dxa" w:w="140"/>
              <w:bottom w:type="dxa" w:w="70"/>
              <w:right w:type="dxa" w:w="140"/>
            </w:tcMar>
          </w:tcPr>
          <w:p>
            <w:r>
              <w:rPr>
                <w:rFonts w:ascii="Arial" w:cs="Arial" w:eastAsia="Arial" w:hAnsi="Arial"/>
                <w:b/>
                <w:bCs/>
                <w:color w:val="FFFFFF"/>
                <w:sz w:val="19"/>
                <w:szCs w:val="19"/>
              </w:rPr>
              <w:t xml:space="preserve">Date</w:t>
            </w:r>
          </w:p>
        </w:tc>
        <w:tc>
          <w:tcPr>
            <w:tcW w:type="dxa" w:w="4000"/>
            <w:shd w:fill="FFFFFF" w:val="clear"/>
            <w:tcMar>
              <w:top w:type="dxa" w:w="70"/>
              <w:left w:type="dxa" w:w="140"/>
              <w:bottom w:type="dxa" w:w="70"/>
              <w:right w:type="dxa" w:w="140"/>
            </w:tcMar>
          </w:tcPr>
          <w:p>
            <w:r>
              <w:rPr>
                <w:rFonts w:ascii="Arial" w:cs="Arial" w:eastAsia="Arial" w:hAnsi="Arial"/>
                <w:color w:val="2C2C2C"/>
                <w:sz w:val="19"/>
                <w:szCs w:val="19"/>
              </w:rPr>
              <w:t xml:space="preserve">24 juin 2026</w:t>
            </w:r>
          </w:p>
        </w:tc>
      </w:tr>
    </w:tbl>
    <w:p>
      <w:r>
        <w:br w:type="page"/>
      </w:r>
    </w:p>
    <w:p>
      <w:pPr>
        <w:pStyle w:val="Heading1"/>
        <w:pBdr>
          <w:bottom w:val="single" w:color="E5201F" w:sz="18" w:space="6"/>
        </w:pBdr>
        <w:spacing w:after="160" w:before="320"/>
      </w:pPr>
      <w:r>
        <w:rPr>
          <w:rFonts w:ascii="Arial" w:cs="Arial" w:eastAsia="Arial" w:hAnsi="Arial"/>
          <w:b/>
          <w:bCs/>
          <w:color w:val="2C2C2C"/>
          <w:sz w:val="30"/>
          <w:szCs w:val="30"/>
        </w:rPr>
        <w:t xml:space="preserve">1. Objet du document</w:t>
      </w:r>
    </w:p>
    <w:p>
      <w:pPr>
        <w:spacing w:after="120" w:line="276"/>
      </w:pPr>
      <w:r>
        <w:rPr>
          <w:rFonts w:ascii="Arial" w:cs="Arial" w:eastAsia="Arial" w:hAnsi="Arial"/>
          <w:color w:val="2C2C2C"/>
          <w:sz w:val="21"/>
          <w:szCs w:val="21"/>
        </w:rPr>
        <w:t xml:space="preserve">Ce document recense les corrections et évolutions à apporter à la landing page AIR MESS. Il est destiné au développeur en charge de l'intégration. Les recommandations sont classées par priorité décroissante. Chaque section précise le constat, l'action attendue et, le cas échéant, le texte exact à intégrer.</w:t>
      </w:r>
    </w:p>
    <w:p>
      <w:pPr>
        <w:spacing w:after="120" w:line="276"/>
      </w:pPr>
      <w:r>
        <w:rPr>
          <w:rFonts w:ascii="Arial" w:cs="Arial" w:eastAsia="Arial" w:hAnsi="Arial"/>
          <w:color w:val="2C2C2C"/>
          <w:sz w:val="21"/>
          <w:szCs w:val="21"/>
        </w:rPr>
        <w:t xml:space="preserve">Le fil conducteur de toutes les corrections est un </w:t>
      </w:r>
      <w:r>
        <w:rPr>
          <w:rFonts w:ascii="Arial" w:cs="Arial" w:eastAsia="Arial" w:hAnsi="Arial"/>
          <w:b/>
          <w:bCs/>
          <w:color w:val="2C2C2C"/>
          <w:sz w:val="21"/>
          <w:szCs w:val="21"/>
        </w:rPr>
        <w:t xml:space="preserve">recentrage du positionnement</w:t>
      </w:r>
      <w:r>
        <w:rPr>
          <w:rFonts w:ascii="Arial" w:cs="Arial" w:eastAsia="Arial" w:hAnsi="Arial"/>
          <w:color w:val="2C2C2C"/>
          <w:sz w:val="21"/>
          <w:szCs w:val="21"/>
        </w:rPr>
        <w:t xml:space="preserve"> : la page actuelle s'adresse à un public mixte « envoi de colis grand public ». AIR MESS doit prioriser le </w:t>
      </w:r>
      <w:r>
        <w:rPr>
          <w:rFonts w:ascii="Arial" w:cs="Arial" w:eastAsia="Arial" w:hAnsi="Arial"/>
          <w:b/>
          <w:bCs/>
          <w:color w:val="2C2C2C"/>
          <w:sz w:val="21"/>
          <w:szCs w:val="21"/>
        </w:rPr>
        <w:t xml:space="preserve">marchand</w:t>
      </w:r>
      <w:r>
        <w:rPr>
          <w:rFonts w:ascii="Arial" w:cs="Arial" w:eastAsia="Arial" w:hAnsi="Arial"/>
          <w:color w:val="2C2C2C"/>
          <w:sz w:val="21"/>
          <w:szCs w:val="21"/>
        </w:rPr>
        <w:t xml:space="preserve"> comme cible principale, conformément à la promesse de marque « Vous vendez. Nous orchestrons la livraison.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C300" w:sz="36"/>
              <w:bottom w:val="none"/>
              <w:right w:val="none"/>
            </w:tcBorders>
            <w:shd w:fill="FFF6D9" w:val="clear"/>
            <w:tcMar>
              <w:top w:type="dxa" w:w="130"/>
              <w:left w:type="dxa" w:w="200"/>
              <w:bottom w:type="dxa" w:w="130"/>
              <w:right w:type="dxa" w:w="200"/>
            </w:tcMar>
          </w:tcPr>
          <w:p>
            <w:pPr>
              <w:spacing w:after="80"/>
            </w:pPr>
            <w:r>
              <w:rPr>
                <w:rFonts w:ascii="Arial" w:cs="Arial" w:eastAsia="Arial" w:hAnsi="Arial"/>
                <w:b/>
                <w:bCs/>
                <w:color w:val="FFC300"/>
                <w:sz w:val="21"/>
                <w:szCs w:val="21"/>
              </w:rPr>
              <w:t xml:space="preserve">Principe directeur</w:t>
            </w:r>
          </w:p>
          <w:p>
            <w:pPr>
              <w:spacing w:after="0" w:line="270"/>
            </w:pPr>
            <w:r>
              <w:rPr>
                <w:rFonts w:ascii="Arial" w:cs="Arial" w:eastAsia="Arial" w:hAnsi="Arial"/>
                <w:color w:val="2C2C2C"/>
                <w:sz w:val="21"/>
                <w:szCs w:val="21"/>
              </w:rPr>
              <w:t xml:space="preserve">Lancer dense, pas large. La page d'accueil parle d'abord au marchand (cible primaire au lancement via l'écosystème NDA). Les particuliers et autres cibles viennent dans un second temps, pas en hero.</w:t>
            </w:r>
          </w:p>
        </w:tc>
      </w:tr>
    </w:tbl>
    <w:p>
      <w:pPr>
        <w:pStyle w:val="Heading1"/>
        <w:pBdr>
          <w:bottom w:val="single" w:color="E5201F" w:sz="18" w:space="6"/>
        </w:pBdr>
        <w:spacing w:after="160" w:before="320"/>
      </w:pPr>
      <w:r>
        <w:rPr>
          <w:rFonts w:ascii="Arial" w:cs="Arial" w:eastAsia="Arial" w:hAnsi="Arial"/>
          <w:b/>
          <w:bCs/>
          <w:color w:val="2C2C2C"/>
          <w:sz w:val="30"/>
          <w:szCs w:val="30"/>
        </w:rPr>
        <w:t xml:space="preserve">2. Synthèse des priorités</w:t>
      </w:r>
    </w:p>
    <w:p>
      <w:pPr>
        <w:spacing w:after="160" w:line="276"/>
      </w:pPr>
      <w:r>
        <w:rPr>
          <w:rFonts w:ascii="Arial" w:cs="Arial" w:eastAsia="Arial" w:hAnsi="Arial"/>
          <w:color w:val="2C2C2C"/>
          <w:sz w:val="21"/>
          <w:szCs w:val="21"/>
        </w:rPr>
        <w:t xml:space="preserve">Vue d'ensemble des actions. Le détail de chaque point figure en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shd w:fill="2C2C2C" w:val="clear"/>
            <w:tcMar>
              <w:top w:type="dxa" w:w="90"/>
              <w:left w:type="dxa" w:w="120"/>
              <w:bottom w:type="dxa" w:w="90"/>
              <w:right w:type="dxa" w:w="120"/>
            </w:tcMar>
            <w:vAlign w:val="center"/>
          </w:tcPr>
          <w:p>
            <w:r>
              <w:rPr>
                <w:rFonts w:ascii="Arial" w:cs="Arial" w:eastAsia="Arial" w:hAnsi="Arial"/>
                <w:b/>
                <w:bCs/>
                <w:color w:val="FFFFFF"/>
                <w:sz w:val="20"/>
                <w:szCs w:val="20"/>
              </w:rPr>
              <w:t xml:space="preserve">Priorité</w:t>
            </w:r>
          </w:p>
        </w:tc>
        <w:tc>
          <w:tcPr>
            <w:tcW w:type="dxa" w:w="5860"/>
            <w:shd w:fill="2C2C2C" w:val="clear"/>
            <w:tcMar>
              <w:top w:type="dxa" w:w="90"/>
              <w:left w:type="dxa" w:w="120"/>
              <w:bottom w:type="dxa" w:w="90"/>
              <w:right w:type="dxa" w:w="120"/>
            </w:tcMar>
            <w:vAlign w:val="center"/>
          </w:tcPr>
          <w:p>
            <w:r>
              <w:rPr>
                <w:rFonts w:ascii="Arial" w:cs="Arial" w:eastAsia="Arial" w:hAnsi="Arial"/>
                <w:b/>
                <w:bCs/>
                <w:color w:val="FFFFFF"/>
                <w:sz w:val="20"/>
                <w:szCs w:val="20"/>
              </w:rPr>
              <w:t xml:space="preserve">Recommandation</w:t>
            </w:r>
          </w:p>
        </w:tc>
        <w:tc>
          <w:tcPr>
            <w:tcW w:type="dxa" w:w="2000"/>
            <w:shd w:fill="2C2C2C" w:val="clear"/>
            <w:tcMar>
              <w:top w:type="dxa" w:w="90"/>
              <w:left w:type="dxa" w:w="120"/>
              <w:bottom w:type="dxa" w:w="90"/>
              <w:right w:type="dxa" w:w="120"/>
            </w:tcMar>
            <w:vAlign w:val="center"/>
          </w:tcPr>
          <w:p>
            <w:r>
              <w:rPr>
                <w:rFonts w:ascii="Arial" w:cs="Arial" w:eastAsia="Arial" w:hAnsi="Arial"/>
                <w:b/>
                <w:bCs/>
                <w:color w:val="FFFFFF"/>
                <w:sz w:val="20"/>
                <w:szCs w:val="20"/>
              </w:rPr>
              <w:t xml:space="preserve">Impact</w:t>
            </w:r>
          </w:p>
        </w:tc>
      </w:tr>
      <w:tr>
        <w:tc>
          <w:tcPr>
            <w:tcW w:type="dxa" w:w="1500"/>
            <w:shd w:fill="E5201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5860"/>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Recentrer le hero sur la cible marchand (titre + sous-titre)</w:t>
            </w:r>
          </w:p>
        </w:tc>
        <w:tc>
          <w:tcPr>
            <w:tcW w:type="dxa" w:w="2000"/>
            <w:shd w:fill="FFFFFF" w:val="clear"/>
            <w:tcMar>
              <w:top w:type="dxa" w:w="80"/>
              <w:left w:type="dxa" w:w="120"/>
              <w:bottom w:type="dxa" w:w="80"/>
              <w:right w:type="dxa" w:w="120"/>
            </w:tcMar>
            <w:vAlign w:val="center"/>
          </w:tcPr>
          <w:p>
            <w:r>
              <w:rPr>
                <w:rFonts w:ascii="Arial" w:cs="Arial" w:eastAsia="Arial" w:hAnsi="Arial"/>
                <w:color w:val="6B6B6B"/>
                <w:sz w:val="20"/>
                <w:szCs w:val="20"/>
              </w:rPr>
              <w:t xml:space="preserve">Positionnement</w:t>
            </w:r>
          </w:p>
        </w:tc>
      </w:tr>
      <w:tr>
        <w:tc>
          <w:tcPr>
            <w:tcW w:type="dxa" w:w="1500"/>
            <w:shd w:fill="E5201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5860"/>
            <w:shd w:fill="F7F7F7" w:val="clear"/>
            <w:tcMar>
              <w:top w:type="dxa" w:w="80"/>
              <w:left w:type="dxa" w:w="120"/>
              <w:bottom w:type="dxa" w:w="80"/>
              <w:right w:type="dxa" w:w="120"/>
            </w:tcMar>
            <w:vAlign w:val="center"/>
          </w:tcPr>
          <w:p>
            <w:r>
              <w:rPr>
                <w:rFonts w:ascii="Arial" w:cs="Arial" w:eastAsia="Arial" w:hAnsi="Arial"/>
                <w:color w:val="2C2C2C"/>
                <w:sz w:val="20"/>
                <w:szCs w:val="20"/>
              </w:rPr>
              <w:t xml:space="preserve">Ajouter un bloc dédié au module Wallet / Encaissement</w:t>
            </w:r>
          </w:p>
        </w:tc>
        <w:tc>
          <w:tcPr>
            <w:tcW w:type="dxa" w:w="2000"/>
            <w:shd w:fill="F7F7F7" w:val="clear"/>
            <w:tcMar>
              <w:top w:type="dxa" w:w="80"/>
              <w:left w:type="dxa" w:w="120"/>
              <w:bottom w:type="dxa" w:w="80"/>
              <w:right w:type="dxa" w:w="120"/>
            </w:tcMar>
            <w:vAlign w:val="center"/>
          </w:tcPr>
          <w:p>
            <w:r>
              <w:rPr>
                <w:rFonts w:ascii="Arial" w:cs="Arial" w:eastAsia="Arial" w:hAnsi="Arial"/>
                <w:color w:val="6B6B6B"/>
                <w:sz w:val="20"/>
                <w:szCs w:val="20"/>
              </w:rPr>
              <w:t xml:space="preserve">Différenciation</w:t>
            </w:r>
          </w:p>
        </w:tc>
      </w:tr>
      <w:tr>
        <w:tc>
          <w:tcPr>
            <w:tcW w:type="dxa" w:w="1500"/>
            <w:shd w:fill="E5201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5860"/>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Afficher Mobile Money (MTN MoMo, Moov Money) explicitement</w:t>
            </w:r>
          </w:p>
        </w:tc>
        <w:tc>
          <w:tcPr>
            <w:tcW w:type="dxa" w:w="2000"/>
            <w:shd w:fill="FFFFFF" w:val="clear"/>
            <w:tcMar>
              <w:top w:type="dxa" w:w="80"/>
              <w:left w:type="dxa" w:w="120"/>
              <w:bottom w:type="dxa" w:w="80"/>
              <w:right w:type="dxa" w:w="120"/>
            </w:tcMar>
            <w:vAlign w:val="center"/>
          </w:tcPr>
          <w:p>
            <w:r>
              <w:rPr>
                <w:rFonts w:ascii="Arial" w:cs="Arial" w:eastAsia="Arial" w:hAnsi="Arial"/>
                <w:color w:val="6B6B6B"/>
                <w:sz w:val="20"/>
                <w:szCs w:val="20"/>
              </w:rPr>
              <w:t xml:space="preserve">Confiance locale</w:t>
            </w:r>
          </w:p>
        </w:tc>
      </w:tr>
      <w:tr>
        <w:tc>
          <w:tcPr>
            <w:tcW w:type="dxa" w:w="1500"/>
            <w:shd w:fill="E5201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5860"/>
            <w:shd w:fill="F7F7F7" w:val="clear"/>
            <w:tcMar>
              <w:top w:type="dxa" w:w="80"/>
              <w:left w:type="dxa" w:w="120"/>
              <w:bottom w:type="dxa" w:w="80"/>
              <w:right w:type="dxa" w:w="120"/>
            </w:tcMar>
            <w:vAlign w:val="center"/>
          </w:tcPr>
          <w:p>
            <w:r>
              <w:rPr>
                <w:rFonts w:ascii="Arial" w:cs="Arial" w:eastAsia="Arial" w:hAnsi="Arial"/>
                <w:color w:val="2C2C2C"/>
                <w:sz w:val="20"/>
                <w:szCs w:val="20"/>
              </w:rPr>
              <w:t xml:space="preserve">Intégrer de la preuve sociale via l'écosystème NDA (logos)</w:t>
            </w:r>
          </w:p>
        </w:tc>
        <w:tc>
          <w:tcPr>
            <w:tcW w:type="dxa" w:w="2000"/>
            <w:shd w:fill="F7F7F7" w:val="clear"/>
            <w:tcMar>
              <w:top w:type="dxa" w:w="80"/>
              <w:left w:type="dxa" w:w="120"/>
              <w:bottom w:type="dxa" w:w="80"/>
              <w:right w:type="dxa" w:w="120"/>
            </w:tcMar>
            <w:vAlign w:val="center"/>
          </w:tcPr>
          <w:p>
            <w:r>
              <w:rPr>
                <w:rFonts w:ascii="Arial" w:cs="Arial" w:eastAsia="Arial" w:hAnsi="Arial"/>
                <w:color w:val="6B6B6B"/>
                <w:sz w:val="20"/>
                <w:szCs w:val="20"/>
              </w:rPr>
              <w:t xml:space="preserve">Conversion</w:t>
            </w:r>
          </w:p>
        </w:tc>
      </w:tr>
      <w:tr>
        <w:tc>
          <w:tcPr>
            <w:tcW w:type="dxa" w:w="1500"/>
            <w:shd w:fill="FFC300" w:val="clear"/>
            <w:tcMar>
              <w:top w:type="dxa" w:w="80"/>
              <w:left w:type="dxa" w:w="120"/>
              <w:bottom w:type="dxa" w:w="80"/>
              <w:right w:type="dxa" w:w="120"/>
            </w:tcMar>
            <w:vAlign w:val="center"/>
          </w:tcPr>
          <w:p>
            <w:pPr>
              <w:jc w:val="center"/>
            </w:pPr>
            <w:r>
              <w:rPr>
                <w:rFonts w:ascii="Arial" w:cs="Arial" w:eastAsia="Arial" w:hAnsi="Arial"/>
                <w:b/>
                <w:bCs/>
                <w:color w:val="2C2C2C"/>
                <w:sz w:val="20"/>
                <w:szCs w:val="20"/>
              </w:rPr>
              <w:t xml:space="preserve">P2</w:t>
            </w:r>
          </w:p>
        </w:tc>
        <w:tc>
          <w:tcPr>
            <w:tcW w:type="dxa" w:w="5860"/>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Afficher un repère de prix hors FAQ (« à partir de… »)</w:t>
            </w:r>
          </w:p>
        </w:tc>
        <w:tc>
          <w:tcPr>
            <w:tcW w:type="dxa" w:w="2000"/>
            <w:shd w:fill="FFFFFF" w:val="clear"/>
            <w:tcMar>
              <w:top w:type="dxa" w:w="80"/>
              <w:left w:type="dxa" w:w="120"/>
              <w:bottom w:type="dxa" w:w="80"/>
              <w:right w:type="dxa" w:w="120"/>
            </w:tcMar>
            <w:vAlign w:val="center"/>
          </w:tcPr>
          <w:p>
            <w:r>
              <w:rPr>
                <w:rFonts w:ascii="Arial" w:cs="Arial" w:eastAsia="Arial" w:hAnsi="Arial"/>
                <w:color w:val="6B6B6B"/>
                <w:sz w:val="20"/>
                <w:szCs w:val="20"/>
              </w:rPr>
              <w:t xml:space="preserve">Conversion</w:t>
            </w:r>
          </w:p>
        </w:tc>
      </w:tr>
      <w:tr>
        <w:tc>
          <w:tcPr>
            <w:tcW w:type="dxa" w:w="1500"/>
            <w:shd w:fill="FFC300" w:val="clear"/>
            <w:tcMar>
              <w:top w:type="dxa" w:w="80"/>
              <w:left w:type="dxa" w:w="120"/>
              <w:bottom w:type="dxa" w:w="80"/>
              <w:right w:type="dxa" w:w="120"/>
            </w:tcMar>
            <w:vAlign w:val="center"/>
          </w:tcPr>
          <w:p>
            <w:pPr>
              <w:jc w:val="center"/>
            </w:pPr>
            <w:r>
              <w:rPr>
                <w:rFonts w:ascii="Arial" w:cs="Arial" w:eastAsia="Arial" w:hAnsi="Arial"/>
                <w:b/>
                <w:bCs/>
                <w:color w:val="2C2C2C"/>
                <w:sz w:val="20"/>
                <w:szCs w:val="20"/>
              </w:rPr>
              <w:t xml:space="preserve">P2</w:t>
            </w:r>
          </w:p>
        </w:tc>
        <w:tc>
          <w:tcPr>
            <w:tcW w:type="dxa" w:w="5860"/>
            <w:shd w:fill="F7F7F7" w:val="clear"/>
            <w:tcMar>
              <w:top w:type="dxa" w:w="80"/>
              <w:left w:type="dxa" w:w="120"/>
              <w:bottom w:type="dxa" w:w="80"/>
              <w:right w:type="dxa" w:w="120"/>
            </w:tcMar>
            <w:vAlign w:val="center"/>
          </w:tcPr>
          <w:p>
            <w:r>
              <w:rPr>
                <w:rFonts w:ascii="Arial" w:cs="Arial" w:eastAsia="Arial" w:hAnsi="Arial"/>
                <w:color w:val="2C2C2C"/>
                <w:sz w:val="20"/>
                <w:szCs w:val="20"/>
              </w:rPr>
              <w:t xml:space="preserve">Ajouter un point de contact WhatsApp (bouton flottant)</w:t>
            </w:r>
          </w:p>
        </w:tc>
        <w:tc>
          <w:tcPr>
            <w:tcW w:type="dxa" w:w="2000"/>
            <w:shd w:fill="F7F7F7" w:val="clear"/>
            <w:tcMar>
              <w:top w:type="dxa" w:w="80"/>
              <w:left w:type="dxa" w:w="120"/>
              <w:bottom w:type="dxa" w:w="80"/>
              <w:right w:type="dxa" w:w="120"/>
            </w:tcMar>
            <w:vAlign w:val="center"/>
          </w:tcPr>
          <w:p>
            <w:r>
              <w:rPr>
                <w:rFonts w:ascii="Arial" w:cs="Arial" w:eastAsia="Arial" w:hAnsi="Arial"/>
                <w:color w:val="6B6B6B"/>
                <w:sz w:val="20"/>
                <w:szCs w:val="20"/>
              </w:rPr>
              <w:t xml:space="preserve">Parcours réel</w:t>
            </w:r>
          </w:p>
        </w:tc>
      </w:tr>
      <w:tr>
        <w:tc>
          <w:tcPr>
            <w:tcW w:type="dxa" w:w="1500"/>
            <w:shd w:fill="FFC300" w:val="clear"/>
            <w:tcMar>
              <w:top w:type="dxa" w:w="80"/>
              <w:left w:type="dxa" w:w="120"/>
              <w:bottom w:type="dxa" w:w="80"/>
              <w:right w:type="dxa" w:w="120"/>
            </w:tcMar>
            <w:vAlign w:val="center"/>
          </w:tcPr>
          <w:p>
            <w:pPr>
              <w:jc w:val="center"/>
            </w:pPr>
            <w:r>
              <w:rPr>
                <w:rFonts w:ascii="Arial" w:cs="Arial" w:eastAsia="Arial" w:hAnsi="Arial"/>
                <w:b/>
                <w:bCs/>
                <w:color w:val="2C2C2C"/>
                <w:sz w:val="20"/>
                <w:szCs w:val="20"/>
              </w:rPr>
              <w:t xml:space="preserve">P2</w:t>
            </w:r>
          </w:p>
        </w:tc>
        <w:tc>
          <w:tcPr>
            <w:tcW w:type="dxa" w:w="5860"/>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Hiérarchiser les CTA : une cible dominante par parcours</w:t>
            </w:r>
          </w:p>
        </w:tc>
        <w:tc>
          <w:tcPr>
            <w:tcW w:type="dxa" w:w="2000"/>
            <w:shd w:fill="FFFFFF" w:val="clear"/>
            <w:tcMar>
              <w:top w:type="dxa" w:w="80"/>
              <w:left w:type="dxa" w:w="120"/>
              <w:bottom w:type="dxa" w:w="80"/>
              <w:right w:type="dxa" w:w="120"/>
            </w:tcMar>
            <w:vAlign w:val="center"/>
          </w:tcPr>
          <w:p>
            <w:r>
              <w:rPr>
                <w:rFonts w:ascii="Arial" w:cs="Arial" w:eastAsia="Arial" w:hAnsi="Arial"/>
                <w:color w:val="6B6B6B"/>
                <w:sz w:val="20"/>
                <w:szCs w:val="20"/>
              </w:rPr>
              <w:t xml:space="preserve">Clarté</w:t>
            </w:r>
          </w:p>
        </w:tc>
      </w:tr>
      <w:tr>
        <w:tc>
          <w:tcPr>
            <w:tcW w:type="dxa" w:w="1500"/>
            <w:shd w:fill="EDEDED" w:val="clear"/>
            <w:tcMar>
              <w:top w:type="dxa" w:w="80"/>
              <w:left w:type="dxa" w:w="120"/>
              <w:bottom w:type="dxa" w:w="80"/>
              <w:right w:type="dxa" w:w="120"/>
            </w:tcMar>
            <w:vAlign w:val="center"/>
          </w:tcPr>
          <w:p>
            <w:pPr>
              <w:jc w:val="center"/>
            </w:pPr>
            <w:r>
              <w:rPr>
                <w:rFonts w:ascii="Arial" w:cs="Arial" w:eastAsia="Arial" w:hAnsi="Arial"/>
                <w:b/>
                <w:bCs/>
                <w:color w:val="2C2C2C"/>
                <w:sz w:val="20"/>
                <w:szCs w:val="20"/>
              </w:rPr>
              <w:t xml:space="preserve">P3</w:t>
            </w:r>
          </w:p>
        </w:tc>
        <w:tc>
          <w:tcPr>
            <w:tcW w:type="dxa" w:w="5860"/>
            <w:shd w:fill="F7F7F7" w:val="clear"/>
            <w:tcMar>
              <w:top w:type="dxa" w:w="80"/>
              <w:left w:type="dxa" w:w="120"/>
              <w:bottom w:type="dxa" w:w="80"/>
              <w:right w:type="dxa" w:w="120"/>
            </w:tcMar>
            <w:vAlign w:val="center"/>
          </w:tcPr>
          <w:p>
            <w:r>
              <w:rPr>
                <w:rFonts w:ascii="Arial" w:cs="Arial" w:eastAsia="Arial" w:hAnsi="Arial"/>
                <w:color w:val="2C2C2C"/>
                <w:sz w:val="20"/>
                <w:szCs w:val="20"/>
              </w:rPr>
              <w:t xml:space="preserve">Corriger le contraste de la section « Conçu pour… »</w:t>
            </w:r>
          </w:p>
        </w:tc>
        <w:tc>
          <w:tcPr>
            <w:tcW w:type="dxa" w:w="2000"/>
            <w:shd w:fill="F7F7F7" w:val="clear"/>
            <w:tcMar>
              <w:top w:type="dxa" w:w="80"/>
              <w:left w:type="dxa" w:w="120"/>
              <w:bottom w:type="dxa" w:w="80"/>
              <w:right w:type="dxa" w:w="120"/>
            </w:tcMar>
            <w:vAlign w:val="center"/>
          </w:tcPr>
          <w:p>
            <w:r>
              <w:rPr>
                <w:rFonts w:ascii="Arial" w:cs="Arial" w:eastAsia="Arial" w:hAnsi="Arial"/>
                <w:color w:val="6B6B6B"/>
                <w:sz w:val="20"/>
                <w:szCs w:val="20"/>
              </w:rPr>
              <w:t xml:space="preserve">Lisibilité</w:t>
            </w:r>
          </w:p>
        </w:tc>
      </w:tr>
      <w:tr>
        <w:tc>
          <w:tcPr>
            <w:tcW w:type="dxa" w:w="1500"/>
            <w:shd w:fill="EDEDED" w:val="clear"/>
            <w:tcMar>
              <w:top w:type="dxa" w:w="80"/>
              <w:left w:type="dxa" w:w="120"/>
              <w:bottom w:type="dxa" w:w="80"/>
              <w:right w:type="dxa" w:w="120"/>
            </w:tcMar>
            <w:vAlign w:val="center"/>
          </w:tcPr>
          <w:p>
            <w:pPr>
              <w:jc w:val="center"/>
            </w:pPr>
            <w:r>
              <w:rPr>
                <w:rFonts w:ascii="Arial" w:cs="Arial" w:eastAsia="Arial" w:hAnsi="Arial"/>
                <w:b/>
                <w:bCs/>
                <w:color w:val="2C2C2C"/>
                <w:sz w:val="20"/>
                <w:szCs w:val="20"/>
              </w:rPr>
              <w:t xml:space="preserve">P3</w:t>
            </w:r>
          </w:p>
        </w:tc>
        <w:tc>
          <w:tcPr>
            <w:tcW w:type="dxa" w:w="5860"/>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Rééquilibrer le bloc hero (vide sous « &lt; 8 min »)</w:t>
            </w:r>
          </w:p>
        </w:tc>
        <w:tc>
          <w:tcPr>
            <w:tcW w:type="dxa" w:w="2000"/>
            <w:shd w:fill="FFFFFF" w:val="clear"/>
            <w:tcMar>
              <w:top w:type="dxa" w:w="80"/>
              <w:left w:type="dxa" w:w="120"/>
              <w:bottom w:type="dxa" w:w="80"/>
              <w:right w:type="dxa" w:w="120"/>
            </w:tcMar>
            <w:vAlign w:val="center"/>
          </w:tcPr>
          <w:p>
            <w:r>
              <w:rPr>
                <w:rFonts w:ascii="Arial" w:cs="Arial" w:eastAsia="Arial" w:hAnsi="Arial"/>
                <w:color w:val="6B6B6B"/>
                <w:sz w:val="20"/>
                <w:szCs w:val="20"/>
              </w:rPr>
              <w:t xml:space="preserve">Esthétique</w:t>
            </w:r>
          </w:p>
        </w:tc>
      </w:tr>
      <w:tr>
        <w:tc>
          <w:tcPr>
            <w:tcW w:type="dxa" w:w="1500"/>
            <w:shd w:fill="EDEDED" w:val="clear"/>
            <w:tcMar>
              <w:top w:type="dxa" w:w="80"/>
              <w:left w:type="dxa" w:w="120"/>
              <w:bottom w:type="dxa" w:w="80"/>
              <w:right w:type="dxa" w:w="120"/>
            </w:tcMar>
            <w:vAlign w:val="center"/>
          </w:tcPr>
          <w:p>
            <w:pPr>
              <w:jc w:val="center"/>
            </w:pPr>
            <w:r>
              <w:rPr>
                <w:rFonts w:ascii="Arial" w:cs="Arial" w:eastAsia="Arial" w:hAnsi="Arial"/>
                <w:b/>
                <w:bCs/>
                <w:color w:val="2C2C2C"/>
                <w:sz w:val="20"/>
                <w:szCs w:val="20"/>
              </w:rPr>
              <w:t xml:space="preserve">P3</w:t>
            </w:r>
          </w:p>
        </w:tc>
        <w:tc>
          <w:tcPr>
            <w:tcW w:type="dxa" w:w="5860"/>
            <w:shd w:fill="F7F7F7" w:val="clear"/>
            <w:tcMar>
              <w:top w:type="dxa" w:w="80"/>
              <w:left w:type="dxa" w:w="120"/>
              <w:bottom w:type="dxa" w:w="80"/>
              <w:right w:type="dxa" w:w="120"/>
            </w:tcMar>
            <w:vAlign w:val="center"/>
          </w:tcPr>
          <w:p>
            <w:r>
              <w:rPr>
                <w:rFonts w:ascii="Arial" w:cs="Arial" w:eastAsia="Arial" w:hAnsi="Arial"/>
                <w:color w:val="2C2C2C"/>
                <w:sz w:val="20"/>
                <w:szCs w:val="20"/>
              </w:rPr>
              <w:t xml:space="preserve">Passer le titre d'onglet et les meta en français</w:t>
            </w:r>
          </w:p>
        </w:tc>
        <w:tc>
          <w:tcPr>
            <w:tcW w:type="dxa" w:w="2000"/>
            <w:shd w:fill="F7F7F7" w:val="clear"/>
            <w:tcMar>
              <w:top w:type="dxa" w:w="80"/>
              <w:left w:type="dxa" w:w="120"/>
              <w:bottom w:type="dxa" w:w="80"/>
              <w:right w:type="dxa" w:w="120"/>
            </w:tcMar>
            <w:vAlign w:val="center"/>
          </w:tcPr>
          <w:p>
            <w:r>
              <w:rPr>
                <w:rFonts w:ascii="Arial" w:cs="Arial" w:eastAsia="Arial" w:hAnsi="Arial"/>
                <w:color w:val="6B6B6B"/>
                <w:sz w:val="20"/>
                <w:szCs w:val="20"/>
              </w:rPr>
              <w:t xml:space="preserve">SEO / cohérence</w:t>
            </w:r>
          </w:p>
        </w:tc>
      </w:tr>
      <w:tr>
        <w:tc>
          <w:tcPr>
            <w:tcW w:type="dxa" w:w="1500"/>
            <w:shd w:fill="EDEDED" w:val="clear"/>
            <w:tcMar>
              <w:top w:type="dxa" w:w="80"/>
              <w:left w:type="dxa" w:w="120"/>
              <w:bottom w:type="dxa" w:w="80"/>
              <w:right w:type="dxa" w:w="120"/>
            </w:tcMar>
            <w:vAlign w:val="center"/>
          </w:tcPr>
          <w:p>
            <w:pPr>
              <w:jc w:val="center"/>
            </w:pPr>
            <w:r>
              <w:rPr>
                <w:rFonts w:ascii="Arial" w:cs="Arial" w:eastAsia="Arial" w:hAnsi="Arial"/>
                <w:b/>
                <w:bCs/>
                <w:color w:val="2C2C2C"/>
                <w:sz w:val="20"/>
                <w:szCs w:val="20"/>
              </w:rPr>
              <w:t xml:space="preserve">P3</w:t>
            </w:r>
          </w:p>
        </w:tc>
        <w:tc>
          <w:tcPr>
            <w:tcW w:type="dxa" w:w="5860"/>
            <w:shd w:fill="FFFFFF" w:val="clear"/>
            <w:tcMar>
              <w:top w:type="dxa" w:w="80"/>
              <w:left w:type="dxa" w:w="120"/>
              <w:bottom w:type="dxa" w:w="80"/>
              <w:right w:type="dxa" w:w="120"/>
            </w:tcMar>
            <w:vAlign w:val="center"/>
          </w:tcPr>
          <w:p>
            <w:r>
              <w:rPr>
                <w:rFonts w:ascii="Arial" w:cs="Arial" w:eastAsia="Arial" w:hAnsi="Arial"/>
                <w:color w:val="2C2C2C"/>
                <w:sz w:val="20"/>
                <w:szCs w:val="20"/>
              </w:rPr>
              <w:t xml:space="preserve">Traiter ou neutraliser la version anglaise (toggle EN)</w:t>
            </w:r>
          </w:p>
        </w:tc>
        <w:tc>
          <w:tcPr>
            <w:tcW w:type="dxa" w:w="2000"/>
            <w:shd w:fill="FFFFFF" w:val="clear"/>
            <w:tcMar>
              <w:top w:type="dxa" w:w="80"/>
              <w:left w:type="dxa" w:w="120"/>
              <w:bottom w:type="dxa" w:w="80"/>
              <w:right w:type="dxa" w:w="120"/>
            </w:tcMar>
            <w:vAlign w:val="center"/>
          </w:tcPr>
          <w:p>
            <w:r>
              <w:rPr>
                <w:rFonts w:ascii="Arial" w:cs="Arial" w:eastAsia="Arial" w:hAnsi="Arial"/>
                <w:color w:val="6B6B6B"/>
                <w:sz w:val="20"/>
                <w:szCs w:val="20"/>
              </w:rPr>
              <w:t xml:space="preserve">Cohérence</w:t>
            </w:r>
          </w:p>
        </w:tc>
      </w:tr>
    </w:tbl>
    <w:p>
      <w:r>
        <w:br w:type="page"/>
      </w:r>
    </w:p>
    <w:p>
      <w:pPr>
        <w:pStyle w:val="Heading1"/>
        <w:pBdr>
          <w:bottom w:val="single" w:color="E5201F" w:sz="18" w:space="6"/>
        </w:pBdr>
        <w:spacing w:after="160" w:before="320"/>
      </w:pPr>
      <w:r>
        <w:rPr>
          <w:rFonts w:ascii="Arial" w:cs="Arial" w:eastAsia="Arial" w:hAnsi="Arial"/>
          <w:b/>
          <w:bCs/>
          <w:color w:val="2C2C2C"/>
          <w:sz w:val="30"/>
          <w:szCs w:val="30"/>
        </w:rPr>
        <w:t xml:space="preserve">3. Recommandations détaillées</w:t>
      </w:r>
    </w:p>
    <w:p>
      <w:pPr>
        <w:spacing w:after="100"/>
      </w:pPr>
      <w:r>
        <w:rPr>
          <w:rFonts w:ascii="Arial" w:cs="Arial" w:eastAsia="Arial" w:hAnsi="Arial"/>
          <w:b/>
          <w:bCs/>
          <w:color w:val="E5201F"/>
          <w:sz w:val="22"/>
          <w:szCs w:val="22"/>
        </w:rPr>
        <w:t xml:space="preserve">PRIORITÉ 1 — CRITIQUE</w:t>
      </w:r>
    </w:p>
    <w:p>
      <w:pPr>
        <w:pStyle w:val="Heading2"/>
        <w:spacing w:after="100" w:before="240"/>
      </w:pPr>
      <w:r>
        <w:rPr>
          <w:color w:val="FFC300"/>
          <w:sz w:val="26"/>
          <w:szCs w:val="26"/>
        </w:rPr>
        <w:t xml:space="preserve">▍</w:t>
      </w:r>
      <w:r>
        <w:rPr>
          <w:rFonts w:ascii="Arial" w:cs="Arial" w:eastAsia="Arial" w:hAnsi="Arial"/>
          <w:b/>
          <w:bCs/>
          <w:color w:val="2C2C2C"/>
          <w:sz w:val="25"/>
          <w:szCs w:val="25"/>
        </w:rPr>
        <w:t xml:space="preserve"> 3.1  Recentrer le hero sur la cible marchand</w:t>
      </w:r>
    </w:p>
    <w:p>
      <w:pPr>
        <w:spacing w:after="120" w:line="276"/>
      </w:pPr>
      <w:r>
        <w:rPr>
          <w:rFonts w:ascii="Arial" w:cs="Arial" w:eastAsia="Arial" w:hAnsi="Arial"/>
          <w:b/>
          <w:bCs/>
          <w:color w:val="2C2C2C"/>
          <w:sz w:val="21"/>
          <w:szCs w:val="21"/>
        </w:rPr>
        <w:t xml:space="preserve">Constat. </w:t>
      </w:r>
      <w:r>
        <w:rPr>
          <w:rFonts w:ascii="Arial" w:cs="Arial" w:eastAsia="Arial" w:hAnsi="Arial"/>
          <w:color w:val="2C2C2C"/>
          <w:sz w:val="21"/>
          <w:szCs w:val="21"/>
        </w:rPr>
        <w:t xml:space="preserve">Le hero actuel (« Votre colis, suivi à travers la ville ») et le sous-titre (« met en relation marchands et particuliers… Envoyer un colis ») positionnent AIR MESS comme un coursier générique. C'est le discours d'un service de livraison de colis, pas d'un orchestrateur qui fait vendre les marchands.</w:t>
      </w:r>
    </w:p>
    <w:p>
      <w:pPr>
        <w:spacing w:after="120" w:line="276"/>
      </w:pPr>
      <w:r>
        <w:rPr>
          <w:rFonts w:ascii="Arial" w:cs="Arial" w:eastAsia="Arial" w:hAnsi="Arial"/>
          <w:b/>
          <w:bCs/>
          <w:color w:val="2C2C2C"/>
          <w:sz w:val="21"/>
          <w:szCs w:val="21"/>
        </w:rPr>
        <w:t xml:space="preserve">Action. </w:t>
      </w:r>
      <w:r>
        <w:rPr>
          <w:rFonts w:ascii="Arial" w:cs="Arial" w:eastAsia="Arial" w:hAnsi="Arial"/>
          <w:color w:val="2C2C2C"/>
          <w:sz w:val="21"/>
          <w:szCs w:val="21"/>
        </w:rPr>
        <w:t xml:space="preserve">Réécrire le titre et le sous-titre pour parler au marchand. Texte à intégrer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300" w:sz="4"/>
              <w:left w:val="single" w:color="FFC300" w:sz="36"/>
              <w:bottom w:val="single" w:color="FFC300" w:sz="4"/>
              <w:right w:val="single" w:color="FFC300" w:sz="4"/>
            </w:tcBorders>
            <w:shd w:fill="FFF6D9" w:val="clear"/>
            <w:tcMar>
              <w:top w:type="dxa" w:w="130"/>
              <w:left w:type="dxa" w:w="200"/>
              <w:bottom w:type="dxa" w:w="130"/>
              <w:right w:type="dxa" w:w="200"/>
            </w:tcMar>
          </w:tcPr>
          <w:p>
            <w:pPr>
              <w:spacing w:after="60" w:line="264"/>
            </w:pPr>
            <w:r>
              <w:rPr>
                <w:rFonts w:ascii="Arial" w:cs="Arial" w:eastAsia="Arial" w:hAnsi="Arial"/>
                <w:b/>
                <w:bCs/>
                <w:color w:val="E5201F"/>
                <w:sz w:val="21"/>
                <w:szCs w:val="21"/>
              </w:rPr>
              <w:t xml:space="preserve">Titre : </w:t>
            </w:r>
            <w:r>
              <w:rPr>
                <w:rFonts w:ascii="Arial" w:cs="Arial" w:eastAsia="Arial" w:hAnsi="Arial"/>
                <w:b/>
                <w:bCs/>
                <w:color w:val="2C2C2C"/>
                <w:sz w:val="21"/>
                <w:szCs w:val="21"/>
              </w:rPr>
              <w:t xml:space="preserve">Vous vendez. Nous livrons.</w:t>
            </w:r>
          </w:p>
          <w:p>
            <w:pPr>
              <w:spacing w:after="60" w:line="264"/>
            </w:pPr>
            <w:r>
              <w:rPr>
                <w:rFonts w:ascii="Arial" w:cs="Arial" w:eastAsia="Arial" w:hAnsi="Arial"/>
                <w:b/>
                <w:bCs/>
                <w:color w:val="E5201F"/>
                <w:sz w:val="21"/>
                <w:szCs w:val="21"/>
              </w:rPr>
              <w:t xml:space="preserve">Sous-titre : </w:t>
            </w:r>
            <w:r>
              <w:rPr>
                <w:rFonts w:ascii="Arial" w:cs="Arial" w:eastAsia="Arial" w:hAnsi="Arial"/>
                <w:color w:val="2C2C2C"/>
                <w:sz w:val="21"/>
                <w:szCs w:val="21"/>
              </w:rPr>
              <w:t xml:space="preserve">AIR MESS orchestre la livraison de vos commandes à Cotonou. Vos clients suivent chaque course en direct, jusqu'à leur porte. Vous, vous vous concentrez sur la vente.</w:t>
            </w:r>
          </w:p>
          <w:p>
            <w:pPr>
              <w:spacing w:after="60" w:line="264"/>
            </w:pPr>
            <w:r>
              <w:rPr>
                <w:rFonts w:ascii="Arial" w:cs="Arial" w:eastAsia="Arial" w:hAnsi="Arial"/>
                <w:b/>
                <w:bCs/>
                <w:color w:val="E5201F"/>
                <w:sz w:val="21"/>
                <w:szCs w:val="21"/>
              </w:rPr>
              <w:t xml:space="preserve">Bouton principal : </w:t>
            </w:r>
            <w:r>
              <w:rPr>
                <w:rFonts w:ascii="Arial" w:cs="Arial" w:eastAsia="Arial" w:hAnsi="Arial"/>
                <w:color w:val="2C2C2C"/>
                <w:sz w:val="21"/>
                <w:szCs w:val="21"/>
              </w:rPr>
              <w:t xml:space="preserve">Créer une livraison →</w:t>
            </w:r>
          </w:p>
          <w:p>
            <w:pPr>
              <w:spacing w:after="0" w:line="264"/>
            </w:pPr>
            <w:r>
              <w:rPr>
                <w:rFonts w:ascii="Arial" w:cs="Arial" w:eastAsia="Arial" w:hAnsi="Arial"/>
                <w:b/>
                <w:bCs/>
                <w:color w:val="E5201F"/>
                <w:sz w:val="21"/>
                <w:szCs w:val="21"/>
              </w:rPr>
              <w:t xml:space="preserve">Bouton secondaire : </w:t>
            </w:r>
            <w:r>
              <w:rPr>
                <w:rFonts w:ascii="Arial" w:cs="Arial" w:eastAsia="Arial" w:hAnsi="Arial"/>
                <w:color w:val="2C2C2C"/>
                <w:sz w:val="21"/>
                <w:szCs w:val="21"/>
              </w:rPr>
              <w:t xml:space="preserve">Devenir livreur</w:t>
            </w:r>
          </w:p>
        </w:tc>
      </w:tr>
    </w:tbl>
    <w:p>
      <w:pPr>
        <w:spacing w:after="60" w:line="276"/>
      </w:pPr>
      <w:r>
        <w:rPr>
          <w:rFonts w:ascii="Arial" w:cs="Arial" w:eastAsia="Arial" w:hAnsi="Arial"/>
          <w:b/>
          <w:bCs/>
          <w:color w:val="2C2C2C"/>
          <w:sz w:val="21"/>
          <w:szCs w:val="21"/>
        </w:rPr>
        <w:t xml:space="preserve">Note. </w:t>
      </w:r>
      <w:r>
        <w:rPr>
          <w:rFonts w:ascii="Arial" w:cs="Arial" w:eastAsia="Arial" w:hAnsi="Arial"/>
          <w:color w:val="2C2C2C"/>
          <w:sz w:val="21"/>
          <w:szCs w:val="21"/>
        </w:rPr>
        <w:t xml:space="preserve">Conserver l'exemple concret marchand et le remonter dans la page : « Vous vendez un produit ? Créez une course, partagez le lien de suivi avec votre client, AIR MESS gère la livraison. »</w:t>
      </w:r>
    </w:p>
    <w:p>
      <w:pPr>
        <w:pStyle w:val="Heading2"/>
        <w:spacing w:after="100" w:before="240"/>
      </w:pPr>
      <w:r>
        <w:rPr>
          <w:color w:val="FFC300"/>
          <w:sz w:val="26"/>
          <w:szCs w:val="26"/>
        </w:rPr>
        <w:t xml:space="preserve">▍</w:t>
      </w:r>
      <w:r>
        <w:rPr>
          <w:rFonts w:ascii="Arial" w:cs="Arial" w:eastAsia="Arial" w:hAnsi="Arial"/>
          <w:b/>
          <w:bCs/>
          <w:color w:val="2C2C2C"/>
          <w:sz w:val="25"/>
          <w:szCs w:val="25"/>
        </w:rPr>
        <w:t xml:space="preserve"> 3.2  Ajouter un bloc « Wallet / Encaissement »</w:t>
      </w:r>
    </w:p>
    <w:p>
      <w:pPr>
        <w:spacing w:after="120" w:line="276"/>
      </w:pPr>
      <w:r>
        <w:rPr>
          <w:rFonts w:ascii="Arial" w:cs="Arial" w:eastAsia="Arial" w:hAnsi="Arial"/>
          <w:b/>
          <w:bCs/>
          <w:color w:val="2C2C2C"/>
          <w:sz w:val="21"/>
          <w:szCs w:val="21"/>
        </w:rPr>
        <w:t xml:space="preserve">Constat. </w:t>
      </w:r>
      <w:r>
        <w:rPr>
          <w:rFonts w:ascii="Arial" w:cs="Arial" w:eastAsia="Arial" w:hAnsi="Arial"/>
          <w:color w:val="2C2C2C"/>
          <w:sz w:val="21"/>
          <w:szCs w:val="21"/>
        </w:rPr>
        <w:t xml:space="preserve">Le module Wallet — le différenciateur central et le moteur de bouche-à-oreille marchand — est totalement absent. Le tag flou « Paiements sécurisés » ne le porte pas. Sans ce bloc, AIR MESS est indistinguable d'un coursier classique.</w:t>
      </w:r>
    </w:p>
    <w:p>
      <w:pPr>
        <w:spacing w:after="120" w:line="276"/>
      </w:pPr>
      <w:r>
        <w:rPr>
          <w:rFonts w:ascii="Arial" w:cs="Arial" w:eastAsia="Arial" w:hAnsi="Arial"/>
          <w:b/>
          <w:bCs/>
          <w:color w:val="2C2C2C"/>
          <w:sz w:val="21"/>
          <w:szCs w:val="21"/>
        </w:rPr>
        <w:t xml:space="preserve">Action. </w:t>
      </w:r>
      <w:r>
        <w:rPr>
          <w:rFonts w:ascii="Arial" w:cs="Arial" w:eastAsia="Arial" w:hAnsi="Arial"/>
          <w:color w:val="2C2C2C"/>
          <w:sz w:val="21"/>
          <w:szCs w:val="21"/>
        </w:rPr>
        <w:t xml:space="preserve">Créer une section dédiée illustrant le flux d'encaissement. Texte à intégrer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300" w:sz="4"/>
              <w:left w:val="single" w:color="FFC300" w:sz="36"/>
              <w:bottom w:val="single" w:color="FFC300" w:sz="4"/>
              <w:right w:val="single" w:color="FFC300" w:sz="4"/>
            </w:tcBorders>
            <w:shd w:fill="FFF6D9" w:val="clear"/>
            <w:tcMar>
              <w:top w:type="dxa" w:w="130"/>
              <w:left w:type="dxa" w:w="200"/>
              <w:bottom w:type="dxa" w:w="130"/>
              <w:right w:type="dxa" w:w="200"/>
            </w:tcMar>
          </w:tcPr>
          <w:p>
            <w:pPr>
              <w:spacing w:after="60" w:line="264"/>
            </w:pPr>
            <w:r>
              <w:rPr>
                <w:rFonts w:ascii="Arial" w:cs="Arial" w:eastAsia="Arial" w:hAnsi="Arial"/>
                <w:b/>
                <w:bCs/>
                <w:color w:val="E5201F"/>
                <w:sz w:val="21"/>
                <w:szCs w:val="21"/>
              </w:rPr>
              <w:t xml:space="preserve">Surtitre : </w:t>
            </w:r>
            <w:r>
              <w:rPr>
                <w:rFonts w:ascii="Arial" w:cs="Arial" w:eastAsia="Arial" w:hAnsi="Arial"/>
                <w:color w:val="2C2C2C"/>
                <w:sz w:val="21"/>
                <w:szCs w:val="21"/>
              </w:rPr>
              <w:t xml:space="preserve">ENCAISSEMENT INTÉGRÉ</w:t>
            </w:r>
          </w:p>
          <w:p>
            <w:pPr>
              <w:spacing w:after="60" w:line="264"/>
            </w:pPr>
            <w:r>
              <w:rPr>
                <w:rFonts w:ascii="Arial" w:cs="Arial" w:eastAsia="Arial" w:hAnsi="Arial"/>
                <w:b/>
                <w:bCs/>
                <w:color w:val="E5201F"/>
                <w:sz w:val="21"/>
                <w:szCs w:val="21"/>
              </w:rPr>
              <w:t xml:space="preserve">Titre : </w:t>
            </w:r>
            <w:r>
              <w:rPr>
                <w:rFonts w:ascii="Arial" w:cs="Arial" w:eastAsia="Arial" w:hAnsi="Arial"/>
                <w:b/>
                <w:bCs/>
                <w:color w:val="2C2C2C"/>
                <w:sz w:val="21"/>
                <w:szCs w:val="21"/>
              </w:rPr>
              <w:t xml:space="preserve">On livre. On encaisse. On vous reverse.</w:t>
            </w:r>
          </w:p>
          <w:p>
            <w:pPr>
              <w:spacing w:after="60" w:line="264"/>
            </w:pPr>
            <w:r>
              <w:rPr>
                <w:rFonts w:ascii="Arial" w:cs="Arial" w:eastAsia="Arial" w:hAnsi="Arial"/>
                <w:b/>
                <w:bCs/>
                <w:color w:val="E5201F"/>
                <w:sz w:val="21"/>
                <w:szCs w:val="21"/>
              </w:rPr>
              <w:t xml:space="preserve">Texte : </w:t>
            </w:r>
            <w:r>
              <w:rPr>
                <w:rFonts w:ascii="Arial" w:cs="Arial" w:eastAsia="Arial" w:hAnsi="Arial"/>
                <w:color w:val="2C2C2C"/>
                <w:sz w:val="21"/>
                <w:szCs w:val="21"/>
              </w:rPr>
              <w:t xml:space="preserve">Le livreur encaisse votre client en espèces ou en Mobile Money et confirme dans l'application. Votre portefeuille marchand est crédité automatiquement, net de commission. Vous retirez vers votre compte Mobile Money quand vous voulez.</w:t>
            </w:r>
          </w:p>
          <w:p>
            <w:pPr>
              <w:spacing w:after="60" w:line="264"/>
            </w:pPr>
            <w:r>
              <w:rPr>
                <w:rFonts w:ascii="Arial" w:cs="Arial" w:eastAsia="Arial" w:hAnsi="Arial"/>
                <w:color w:val="2C2C2C"/>
                <w:sz w:val="21"/>
                <w:szCs w:val="21"/>
              </w:rPr>
              <w:t xml:space="preserve"/>
            </w:r>
          </w:p>
          <w:p>
            <w:pPr>
              <w:spacing w:after="60" w:line="264"/>
            </w:pPr>
            <w:r>
              <w:rPr>
                <w:rFonts w:ascii="Arial" w:cs="Arial" w:eastAsia="Arial" w:hAnsi="Arial"/>
                <w:b/>
                <w:bCs/>
                <w:color w:val="E5201F"/>
                <w:sz w:val="21"/>
                <w:szCs w:val="21"/>
              </w:rPr>
              <w:t xml:space="preserve">3 étapes à afficher : </w:t>
            </w:r>
          </w:p>
          <w:p>
            <w:pPr>
              <w:spacing w:after="0" w:line="264"/>
            </w:pPr>
            <w:r>
              <w:rPr>
                <w:rFonts w:ascii="Arial" w:cs="Arial" w:eastAsia="Arial" w:hAnsi="Arial"/>
                <w:color w:val="2C2C2C"/>
                <w:sz w:val="21"/>
                <w:szCs w:val="21"/>
              </w:rPr>
              <w:t xml:space="preserve">1) Le livreur encaisse  →  2) Votre wallet est crédité  →  3) Vous retirez à la demande</w:t>
            </w:r>
          </w:p>
        </w:tc>
      </w:tr>
    </w:tbl>
    <w:p>
      <w:pPr>
        <w:spacing w:after="60" w:line="276"/>
      </w:pPr>
      <w:r>
        <w:rPr>
          <w:rFonts w:ascii="Arial" w:cs="Arial" w:eastAsia="Arial" w:hAnsi="Arial"/>
          <w:b/>
          <w:bCs/>
          <w:color w:val="2C2C2C"/>
          <w:sz w:val="21"/>
          <w:szCs w:val="21"/>
        </w:rPr>
        <w:t xml:space="preserve">Note. </w:t>
      </w:r>
      <w:r>
        <w:rPr>
          <w:rFonts w:ascii="Arial" w:cs="Arial" w:eastAsia="Arial" w:hAnsi="Arial"/>
          <w:color w:val="2C2C2C"/>
          <w:sz w:val="21"/>
          <w:szCs w:val="21"/>
        </w:rPr>
        <w:t xml:space="preserve">Positionner ce module comme une protection (« Vous ne courez plus après votre argent ») et non comme une contrainte.</w:t>
      </w:r>
    </w:p>
    <w:p>
      <w:pPr>
        <w:pStyle w:val="Heading2"/>
        <w:spacing w:after="100" w:before="240"/>
      </w:pPr>
      <w:r>
        <w:rPr>
          <w:color w:val="FFC300"/>
          <w:sz w:val="26"/>
          <w:szCs w:val="26"/>
        </w:rPr>
        <w:t xml:space="preserve">▍</w:t>
      </w:r>
      <w:r>
        <w:rPr>
          <w:rFonts w:ascii="Arial" w:cs="Arial" w:eastAsia="Arial" w:hAnsi="Arial"/>
          <w:b/>
          <w:bCs/>
          <w:color w:val="2C2C2C"/>
          <w:sz w:val="25"/>
          <w:szCs w:val="25"/>
        </w:rPr>
        <w:t xml:space="preserve"> 3.3  Afficher Mobile Money explicitement</w:t>
      </w:r>
    </w:p>
    <w:p>
      <w:pPr>
        <w:spacing w:after="120" w:line="276"/>
      </w:pPr>
      <w:r>
        <w:rPr>
          <w:rFonts w:ascii="Arial" w:cs="Arial" w:eastAsia="Arial" w:hAnsi="Arial"/>
          <w:b/>
          <w:bCs/>
          <w:color w:val="2C2C2C"/>
          <w:sz w:val="21"/>
          <w:szCs w:val="21"/>
        </w:rPr>
        <w:t xml:space="preserve">Constat. </w:t>
      </w:r>
      <w:r>
        <w:rPr>
          <w:rFonts w:ascii="Arial" w:cs="Arial" w:eastAsia="Arial" w:hAnsi="Arial"/>
          <w:color w:val="2C2C2C"/>
          <w:sz w:val="21"/>
          <w:szCs w:val="21"/>
        </w:rPr>
        <w:t xml:space="preserve">MTN MoMo et Moov Money sont la réalité de paiement à Cotonou. La page ne mentionne qu'un abstrait « paiements sécurisés », qui ne rassure ni ne localise.</w:t>
      </w:r>
    </w:p>
    <w:p>
      <w:pPr>
        <w:spacing w:after="60" w:line="276"/>
      </w:pPr>
      <w:r>
        <w:rPr>
          <w:rFonts w:ascii="Arial" w:cs="Arial" w:eastAsia="Arial" w:hAnsi="Arial"/>
          <w:b/>
          <w:bCs/>
          <w:color w:val="2C2C2C"/>
          <w:sz w:val="21"/>
          <w:szCs w:val="21"/>
        </w:rPr>
        <w:t xml:space="preserve">Action. </w:t>
      </w:r>
      <w:r>
        <w:rPr>
          <w:rFonts w:ascii="Arial" w:cs="Arial" w:eastAsia="Arial" w:hAnsi="Arial"/>
          <w:color w:val="2C2C2C"/>
          <w:sz w:val="21"/>
          <w:szCs w:val="21"/>
        </w:rPr>
        <w:t xml:space="preserve">Afficher les logos / mentions MTN MoMo et Moov Money dans le bloc Wallet et/ou le footer. Ajouter une ligne : « Compatible MTN Mobile Money et Moov Money. »</w:t>
      </w:r>
    </w:p>
    <w:p>
      <w:pPr>
        <w:pStyle w:val="Heading2"/>
        <w:spacing w:after="100" w:before="240"/>
      </w:pPr>
      <w:r>
        <w:rPr>
          <w:color w:val="FFC300"/>
          <w:sz w:val="26"/>
          <w:szCs w:val="26"/>
        </w:rPr>
        <w:t xml:space="preserve">▍</w:t>
      </w:r>
      <w:r>
        <w:rPr>
          <w:rFonts w:ascii="Arial" w:cs="Arial" w:eastAsia="Arial" w:hAnsi="Arial"/>
          <w:b/>
          <w:bCs/>
          <w:color w:val="2C2C2C"/>
          <w:sz w:val="25"/>
          <w:szCs w:val="25"/>
        </w:rPr>
        <w:t xml:space="preserve"> 3.4  Intégrer la preuve sociale (écosystème NDA)</w:t>
      </w:r>
    </w:p>
    <w:p>
      <w:pPr>
        <w:spacing w:after="120" w:line="276"/>
      </w:pPr>
      <w:r>
        <w:rPr>
          <w:rFonts w:ascii="Arial" w:cs="Arial" w:eastAsia="Arial" w:hAnsi="Arial"/>
          <w:b/>
          <w:bCs/>
          <w:color w:val="2C2C2C"/>
          <w:sz w:val="21"/>
          <w:szCs w:val="21"/>
        </w:rPr>
        <w:t xml:space="preserve">Constat. </w:t>
      </w:r>
      <w:r>
        <w:rPr>
          <w:rFonts w:ascii="Arial" w:cs="Arial" w:eastAsia="Arial" w:hAnsi="Arial"/>
          <w:color w:val="2C2C2C"/>
          <w:sz w:val="21"/>
          <w:szCs w:val="21"/>
        </w:rPr>
        <w:t xml:space="preserve">La page ne contient aucun logo marchand, témoignage ni chiffre. Une page orientée marchand sans preuve convertit mal. L'écosystème NDA est une ancre disponible et gratuite.</w:t>
      </w:r>
    </w:p>
    <w:p>
      <w:pPr>
        <w:spacing w:after="60" w:line="276"/>
      </w:pPr>
      <w:r>
        <w:rPr>
          <w:rFonts w:ascii="Arial" w:cs="Arial" w:eastAsia="Arial" w:hAnsi="Arial"/>
          <w:b/>
          <w:bCs/>
          <w:color w:val="2C2C2C"/>
          <w:sz w:val="21"/>
          <w:szCs w:val="21"/>
        </w:rPr>
        <w:t xml:space="preserve">Action. </w:t>
      </w:r>
      <w:r>
        <w:rPr>
          <w:rFonts w:ascii="Arial" w:cs="Arial" w:eastAsia="Arial" w:hAnsi="Arial"/>
          <w:color w:val="2C2C2C"/>
          <w:sz w:val="21"/>
          <w:szCs w:val="21"/>
        </w:rPr>
        <w:t xml:space="preserve">Ajouter une bande « Ils nous font confiance » avec les logos de l'écosystème : Bénin SuperMarché, Cotonou Pizza, Cotonou Poulet Frit, gbandj00, VamiaDoo, Cotonou Shawarma. Prévoir l'emplacement de 1 à 2 témoignages courts dès qu'ils seront disponibles.</w:t>
      </w:r>
    </w:p>
    <w:p>
      <w:pPr>
        <w:spacing w:after="100" w:before="240"/>
      </w:pPr>
      <w:r>
        <w:rPr>
          <w:rFonts w:ascii="Arial" w:cs="Arial" w:eastAsia="Arial" w:hAnsi="Arial"/>
          <w:b/>
          <w:bCs/>
          <w:color w:val="C8920A"/>
          <w:sz w:val="22"/>
          <w:szCs w:val="22"/>
        </w:rPr>
        <w:t xml:space="preserve">PRIORITÉ 2 — IMPORTANT</w:t>
      </w:r>
    </w:p>
    <w:p>
      <w:pPr>
        <w:pStyle w:val="Heading2"/>
        <w:spacing w:after="100" w:before="240"/>
      </w:pPr>
      <w:r>
        <w:rPr>
          <w:color w:val="FFC300"/>
          <w:sz w:val="26"/>
          <w:szCs w:val="26"/>
        </w:rPr>
        <w:t xml:space="preserve">▍</w:t>
      </w:r>
      <w:r>
        <w:rPr>
          <w:rFonts w:ascii="Arial" w:cs="Arial" w:eastAsia="Arial" w:hAnsi="Arial"/>
          <w:b/>
          <w:bCs/>
          <w:color w:val="2C2C2C"/>
          <w:sz w:val="25"/>
          <w:szCs w:val="25"/>
        </w:rPr>
        <w:t xml:space="preserve"> 3.5  Sortir le prix de la FAQ</w:t>
      </w:r>
    </w:p>
    <w:p>
      <w:pPr>
        <w:spacing w:after="120" w:line="276"/>
      </w:pPr>
      <w:r>
        <w:rPr>
          <w:rFonts w:ascii="Arial" w:cs="Arial" w:eastAsia="Arial" w:hAnsi="Arial"/>
          <w:b/>
          <w:bCs/>
          <w:color w:val="2C2C2C"/>
          <w:sz w:val="21"/>
          <w:szCs w:val="21"/>
        </w:rPr>
        <w:t xml:space="preserve">Constat. </w:t>
      </w:r>
      <w:r>
        <w:rPr>
          <w:rFonts w:ascii="Arial" w:cs="Arial" w:eastAsia="Arial" w:hAnsi="Arial"/>
          <w:color w:val="2C2C2C"/>
          <w:sz w:val="21"/>
          <w:szCs w:val="21"/>
        </w:rPr>
        <w:t xml:space="preserve">Le coût est enterré dans la FAQ. Pour un marchand qui évalue, le prix est décisif ; le cacher fait fuir.</w:t>
      </w:r>
    </w:p>
    <w:p>
      <w:pPr>
        <w:spacing w:after="60" w:line="276"/>
      </w:pPr>
      <w:r>
        <w:rPr>
          <w:rFonts w:ascii="Arial" w:cs="Arial" w:eastAsia="Arial" w:hAnsi="Arial"/>
          <w:b/>
          <w:bCs/>
          <w:color w:val="2C2C2C"/>
          <w:sz w:val="21"/>
          <w:szCs w:val="21"/>
        </w:rPr>
        <w:t xml:space="preserve">Action. </w:t>
      </w:r>
      <w:r>
        <w:rPr>
          <w:rFonts w:ascii="Arial" w:cs="Arial" w:eastAsia="Arial" w:hAnsi="Arial"/>
          <w:color w:val="2C2C2C"/>
          <w:sz w:val="21"/>
          <w:szCs w:val="21"/>
        </w:rPr>
        <w:t xml:space="preserve">Afficher un repère de prix visible dans le corps de page : « Livraison à partir de X FCFA » ou la grille des forfaits volume. Garder la FAQ pour le détail.</w:t>
      </w:r>
    </w:p>
    <w:p>
      <w:pPr>
        <w:pStyle w:val="Heading2"/>
        <w:spacing w:after="100" w:before="240"/>
      </w:pPr>
      <w:r>
        <w:rPr>
          <w:color w:val="FFC300"/>
          <w:sz w:val="26"/>
          <w:szCs w:val="26"/>
        </w:rPr>
        <w:t xml:space="preserve">▍</w:t>
      </w:r>
      <w:r>
        <w:rPr>
          <w:rFonts w:ascii="Arial" w:cs="Arial" w:eastAsia="Arial" w:hAnsi="Arial"/>
          <w:b/>
          <w:bCs/>
          <w:color w:val="2C2C2C"/>
          <w:sz w:val="25"/>
          <w:szCs w:val="25"/>
        </w:rPr>
        <w:t xml:space="preserve"> 3.6  Ajouter un point de contact WhatsApp</w:t>
      </w:r>
    </w:p>
    <w:p>
      <w:pPr>
        <w:spacing w:after="120" w:line="276"/>
      </w:pPr>
      <w:r>
        <w:rPr>
          <w:rFonts w:ascii="Arial" w:cs="Arial" w:eastAsia="Arial" w:hAnsi="Arial"/>
          <w:b/>
          <w:bCs/>
          <w:color w:val="2C2C2C"/>
          <w:sz w:val="21"/>
          <w:szCs w:val="21"/>
        </w:rPr>
        <w:t xml:space="preserve">Constat. </w:t>
      </w:r>
      <w:r>
        <w:rPr>
          <w:rFonts w:ascii="Arial" w:cs="Arial" w:eastAsia="Arial" w:hAnsi="Arial"/>
          <w:color w:val="2C2C2C"/>
          <w:sz w:val="21"/>
          <w:szCs w:val="21"/>
        </w:rPr>
        <w:t xml:space="preserve">Le go-to-market réel passe par WhatsApp Business avant le lancement de l'application. La page n'offre aucun lien WhatsApp.</w:t>
      </w:r>
    </w:p>
    <w:p>
      <w:pPr>
        <w:spacing w:after="60" w:line="276"/>
      </w:pPr>
      <w:r>
        <w:rPr>
          <w:rFonts w:ascii="Arial" w:cs="Arial" w:eastAsia="Arial" w:hAnsi="Arial"/>
          <w:b/>
          <w:bCs/>
          <w:color w:val="2C2C2C"/>
          <w:sz w:val="21"/>
          <w:szCs w:val="21"/>
        </w:rPr>
        <w:t xml:space="preserve">Action. </w:t>
      </w:r>
      <w:r>
        <w:rPr>
          <w:rFonts w:ascii="Arial" w:cs="Arial" w:eastAsia="Arial" w:hAnsi="Arial"/>
          <w:color w:val="2C2C2C"/>
          <w:sz w:val="21"/>
          <w:szCs w:val="21"/>
        </w:rPr>
        <w:t xml:space="preserve">Ajouter un bouton WhatsApp flottant (coin bas-droit) renvoyant vers le numéro AIR MESS, avec un message pré-rempli (« Bonjour, je souhaite organiser une livraison »).</w:t>
      </w:r>
    </w:p>
    <w:p>
      <w:pPr>
        <w:pStyle w:val="Heading2"/>
        <w:spacing w:after="100" w:before="240"/>
      </w:pPr>
      <w:r>
        <w:rPr>
          <w:color w:val="FFC300"/>
          <w:sz w:val="26"/>
          <w:szCs w:val="26"/>
        </w:rPr>
        <w:t xml:space="preserve">▍</w:t>
      </w:r>
      <w:r>
        <w:rPr>
          <w:rFonts w:ascii="Arial" w:cs="Arial" w:eastAsia="Arial" w:hAnsi="Arial"/>
          <w:b/>
          <w:bCs/>
          <w:color w:val="2C2C2C"/>
          <w:sz w:val="25"/>
          <w:szCs w:val="25"/>
        </w:rPr>
        <w:t xml:space="preserve"> 3.7  Hiérarchiser les appels à l'action</w:t>
      </w:r>
    </w:p>
    <w:p>
      <w:pPr>
        <w:spacing w:after="120" w:line="276"/>
      </w:pPr>
      <w:r>
        <w:rPr>
          <w:rFonts w:ascii="Arial" w:cs="Arial" w:eastAsia="Arial" w:hAnsi="Arial"/>
          <w:b/>
          <w:bCs/>
          <w:color w:val="2C2C2C"/>
          <w:sz w:val="21"/>
          <w:szCs w:val="21"/>
        </w:rPr>
        <w:t xml:space="preserve">Constat. </w:t>
      </w:r>
      <w:r>
        <w:rPr>
          <w:rFonts w:ascii="Arial" w:cs="Arial" w:eastAsia="Arial" w:hAnsi="Arial"/>
          <w:color w:val="2C2C2C"/>
          <w:sz w:val="21"/>
          <w:szCs w:val="21"/>
        </w:rPr>
        <w:t xml:space="preserve">Le hero présente « Envoyer un colis » et « Devenir livreur » au même niveau. Cela mélange demande (marchand) et offre (livreur) dès l'ouverture et dilue le message.</w:t>
      </w:r>
    </w:p>
    <w:p>
      <w:pPr>
        <w:spacing w:after="60" w:line="276"/>
      </w:pPr>
      <w:r>
        <w:rPr>
          <w:rFonts w:ascii="Arial" w:cs="Arial" w:eastAsia="Arial" w:hAnsi="Arial"/>
          <w:b/>
          <w:bCs/>
          <w:color w:val="2C2C2C"/>
          <w:sz w:val="21"/>
          <w:szCs w:val="21"/>
        </w:rPr>
        <w:t xml:space="preserve">Action. </w:t>
      </w:r>
      <w:r>
        <w:rPr>
          <w:rFonts w:ascii="Arial" w:cs="Arial" w:eastAsia="Arial" w:hAnsi="Arial"/>
          <w:color w:val="2C2C2C"/>
          <w:sz w:val="21"/>
          <w:szCs w:val="21"/>
        </w:rPr>
        <w:t xml:space="preserve">Une cible dominante par parcours : CTA marchand en primaire, CTA livreur en secondaire (style atténué). Le recrutement livreur reste traité dans son bloc noir dédié, déjà bien identifié.</w:t>
      </w:r>
    </w:p>
    <w:p>
      <w:pPr>
        <w:spacing w:after="100" w:before="240"/>
      </w:pPr>
      <w:r>
        <w:rPr>
          <w:rFonts w:ascii="Arial" w:cs="Arial" w:eastAsia="Arial" w:hAnsi="Arial"/>
          <w:b/>
          <w:bCs/>
          <w:color w:val="6B6B6B"/>
          <w:sz w:val="22"/>
          <w:szCs w:val="22"/>
        </w:rPr>
        <w:t xml:space="preserve">PRIORITÉ 3 — CORRECTIONS</w:t>
      </w:r>
    </w:p>
    <w:p>
      <w:pPr>
        <w:pStyle w:val="Heading2"/>
        <w:spacing w:after="100" w:before="240"/>
      </w:pPr>
      <w:r>
        <w:rPr>
          <w:color w:val="FFC300"/>
          <w:sz w:val="26"/>
          <w:szCs w:val="26"/>
        </w:rPr>
        <w:t xml:space="preserve">▍</w:t>
      </w:r>
      <w:r>
        <w:rPr>
          <w:rFonts w:ascii="Arial" w:cs="Arial" w:eastAsia="Arial" w:hAnsi="Arial"/>
          <w:b/>
          <w:bCs/>
          <w:color w:val="2C2C2C"/>
          <w:sz w:val="25"/>
          <w:szCs w:val="25"/>
        </w:rPr>
        <w:t xml:space="preserve"> 3.8  Contraste de la section « Conçu pour une livraison rapide et fiable »</w:t>
      </w:r>
    </w:p>
    <w:p>
      <w:pPr>
        <w:spacing w:after="120" w:line="276"/>
      </w:pPr>
      <w:r>
        <w:rPr>
          <w:rFonts w:ascii="Arial" w:cs="Arial" w:eastAsia="Arial" w:hAnsi="Arial"/>
          <w:b/>
          <w:bCs/>
          <w:color w:val="2C2C2C"/>
          <w:sz w:val="21"/>
          <w:szCs w:val="21"/>
        </w:rPr>
        <w:t xml:space="preserve">Constat. </w:t>
      </w:r>
      <w:r>
        <w:rPr>
          <w:rFonts w:ascii="Arial" w:cs="Arial" w:eastAsia="Arial" w:hAnsi="Arial"/>
          <w:color w:val="2C2C2C"/>
          <w:sz w:val="21"/>
          <w:szCs w:val="21"/>
        </w:rPr>
        <w:t xml:space="preserve">Les étiquettes flottantes gris clair sur fond crème sont quasi illisibles et l'effet éparpillé brouille la lecture.</w:t>
      </w:r>
    </w:p>
    <w:p>
      <w:pPr>
        <w:spacing w:after="60" w:line="276"/>
      </w:pPr>
      <w:r>
        <w:rPr>
          <w:rFonts w:ascii="Arial" w:cs="Arial" w:eastAsia="Arial" w:hAnsi="Arial"/>
          <w:b/>
          <w:bCs/>
          <w:color w:val="2C2C2C"/>
          <w:sz w:val="21"/>
          <w:szCs w:val="21"/>
        </w:rPr>
        <w:t xml:space="preserve">Action. </w:t>
      </w:r>
      <w:r>
        <w:rPr>
          <w:rFonts w:ascii="Arial" w:cs="Arial" w:eastAsia="Arial" w:hAnsi="Arial"/>
          <w:color w:val="2C2C2C"/>
          <w:sz w:val="21"/>
          <w:szCs w:val="21"/>
        </w:rPr>
        <w:t xml:space="preserve">Remplacer par des cartes nettes, contrastées et alignées (icône + libellé), avec un texte d'au moins 4,5:1 de contraste.</w:t>
      </w:r>
    </w:p>
    <w:p>
      <w:pPr>
        <w:pStyle w:val="Heading2"/>
        <w:spacing w:after="100" w:before="240"/>
      </w:pPr>
      <w:r>
        <w:rPr>
          <w:color w:val="FFC300"/>
          <w:sz w:val="26"/>
          <w:szCs w:val="26"/>
        </w:rPr>
        <w:t xml:space="preserve">▍</w:t>
      </w:r>
      <w:r>
        <w:rPr>
          <w:rFonts w:ascii="Arial" w:cs="Arial" w:eastAsia="Arial" w:hAnsi="Arial"/>
          <w:b/>
          <w:bCs/>
          <w:color w:val="2C2C2C"/>
          <w:sz w:val="25"/>
          <w:szCs w:val="25"/>
        </w:rPr>
        <w:t xml:space="preserve"> 3.9  Rééquilibrer le bloc hero</w:t>
      </w:r>
    </w:p>
    <w:p>
      <w:pPr>
        <w:spacing w:after="120" w:line="276"/>
      </w:pPr>
      <w:r>
        <w:rPr>
          <w:rFonts w:ascii="Arial" w:cs="Arial" w:eastAsia="Arial" w:hAnsi="Arial"/>
          <w:b/>
          <w:bCs/>
          <w:color w:val="2C2C2C"/>
          <w:sz w:val="21"/>
          <w:szCs w:val="21"/>
        </w:rPr>
        <w:t xml:space="preserve">Constat. </w:t>
      </w:r>
      <w:r>
        <w:rPr>
          <w:rFonts w:ascii="Arial" w:cs="Arial" w:eastAsia="Arial" w:hAnsi="Arial"/>
          <w:color w:val="2C2C2C"/>
          <w:sz w:val="21"/>
          <w:szCs w:val="21"/>
        </w:rPr>
        <w:t xml:space="preserve">Grand vide sous la statistique « &lt; 8 min » ; la colonne gauche s'arrête trop haut par rapport à la mockup de suivi.</w:t>
      </w:r>
    </w:p>
    <w:p>
      <w:pPr>
        <w:spacing w:after="60" w:line="276"/>
      </w:pPr>
      <w:r>
        <w:rPr>
          <w:rFonts w:ascii="Arial" w:cs="Arial" w:eastAsia="Arial" w:hAnsi="Arial"/>
          <w:b/>
          <w:bCs/>
          <w:color w:val="2C2C2C"/>
          <w:sz w:val="21"/>
          <w:szCs w:val="21"/>
        </w:rPr>
        <w:t xml:space="preserve">Action. </w:t>
      </w:r>
      <w:r>
        <w:rPr>
          <w:rFonts w:ascii="Arial" w:cs="Arial" w:eastAsia="Arial" w:hAnsi="Arial"/>
          <w:color w:val="2C2C2C"/>
          <w:sz w:val="21"/>
          <w:szCs w:val="21"/>
        </w:rPr>
        <w:t xml:space="preserve">Équilibrer verticalement les deux colonnes (ajout d'un élément ou ajustement des hauteurs).</w:t>
      </w:r>
    </w:p>
    <w:p>
      <w:pPr>
        <w:pStyle w:val="Heading2"/>
        <w:spacing w:after="100" w:before="240"/>
      </w:pPr>
      <w:r>
        <w:rPr>
          <w:color w:val="FFC300"/>
          <w:sz w:val="26"/>
          <w:szCs w:val="26"/>
        </w:rPr>
        <w:t xml:space="preserve">▍</w:t>
      </w:r>
      <w:r>
        <w:rPr>
          <w:rFonts w:ascii="Arial" w:cs="Arial" w:eastAsia="Arial" w:hAnsi="Arial"/>
          <w:b/>
          <w:bCs/>
          <w:color w:val="2C2C2C"/>
          <w:sz w:val="25"/>
          <w:szCs w:val="25"/>
        </w:rPr>
        <w:t xml:space="preserve"> 3.10  Passer le titre d'onglet et les meta en français</w:t>
      </w:r>
    </w:p>
    <w:p>
      <w:pPr>
        <w:spacing w:after="120" w:line="276"/>
      </w:pPr>
      <w:r>
        <w:rPr>
          <w:rFonts w:ascii="Arial" w:cs="Arial" w:eastAsia="Arial" w:hAnsi="Arial"/>
          <w:b/>
          <w:bCs/>
          <w:color w:val="2C2C2C"/>
          <w:sz w:val="21"/>
          <w:szCs w:val="21"/>
        </w:rPr>
        <w:t xml:space="preserve">Constat. </w:t>
      </w:r>
      <w:r>
        <w:rPr>
          <w:rFonts w:ascii="Arial" w:cs="Arial" w:eastAsia="Arial" w:hAnsi="Arial"/>
          <w:color w:val="2C2C2C"/>
          <w:sz w:val="21"/>
          <w:szCs w:val="21"/>
        </w:rPr>
        <w:t xml:space="preserve">Le titre d'onglet est en anglais (« Same-day delivery across the city ») sur un site francophone ciblant l'UEMOA. Incohérent et défavorable au référencement local.</w:t>
      </w:r>
    </w:p>
    <w:p>
      <w:pPr>
        <w:spacing w:after="60" w:line="276"/>
      </w:pPr>
      <w:r>
        <w:rPr>
          <w:rFonts w:ascii="Arial" w:cs="Arial" w:eastAsia="Arial" w:hAnsi="Arial"/>
          <w:b/>
          <w:bCs/>
          <w:color w:val="2C2C2C"/>
          <w:sz w:val="21"/>
          <w:szCs w:val="21"/>
        </w:rPr>
        <w:t xml:space="preserve">Action. </w:t>
      </w:r>
      <w:r>
        <w:rPr>
          <w:rFonts w:ascii="Arial" w:cs="Arial" w:eastAsia="Arial" w:hAnsi="Arial"/>
          <w:color w:val="2C2C2C"/>
          <w:sz w:val="21"/>
          <w:szCs w:val="21"/>
        </w:rPr>
        <w:t xml:space="preserve">Mettre le &lt;title&gt; et les balises meta (description, Open Graph) en français. Exemple : « AIR MESS — Livraison le jour même à Cotonou ».</w:t>
      </w:r>
    </w:p>
    <w:p>
      <w:pPr>
        <w:pStyle w:val="Heading2"/>
        <w:spacing w:after="100" w:before="240"/>
      </w:pPr>
      <w:r>
        <w:rPr>
          <w:color w:val="FFC300"/>
          <w:sz w:val="26"/>
          <w:szCs w:val="26"/>
        </w:rPr>
        <w:t xml:space="preserve">▍</w:t>
      </w:r>
      <w:r>
        <w:rPr>
          <w:rFonts w:ascii="Arial" w:cs="Arial" w:eastAsia="Arial" w:hAnsi="Arial"/>
          <w:b/>
          <w:bCs/>
          <w:color w:val="2C2C2C"/>
          <w:sz w:val="25"/>
          <w:szCs w:val="25"/>
        </w:rPr>
        <w:t xml:space="preserve"> 3.11  Traiter ou neutraliser la version anglaise</w:t>
      </w:r>
    </w:p>
    <w:p>
      <w:pPr>
        <w:spacing w:after="120" w:line="276"/>
      </w:pPr>
      <w:r>
        <w:rPr>
          <w:rFonts w:ascii="Arial" w:cs="Arial" w:eastAsia="Arial" w:hAnsi="Arial"/>
          <w:b/>
          <w:bCs/>
          <w:color w:val="2C2C2C"/>
          <w:sz w:val="21"/>
          <w:szCs w:val="21"/>
        </w:rPr>
        <w:t xml:space="preserve">Constat. </w:t>
      </w:r>
      <w:r>
        <w:rPr>
          <w:rFonts w:ascii="Arial" w:cs="Arial" w:eastAsia="Arial" w:hAnsi="Arial"/>
          <w:color w:val="2C2C2C"/>
          <w:sz w:val="21"/>
          <w:szCs w:val="21"/>
        </w:rPr>
        <w:t xml:space="preserve">Le toggle EN est présent. En anglais, « Air Mess » évoque « désordre ». La cible étant francophone, ce point est secondaire mais à arbitrer.</w:t>
      </w:r>
    </w:p>
    <w:p>
      <w:pPr>
        <w:spacing w:after="60" w:line="276"/>
      </w:pPr>
      <w:r>
        <w:rPr>
          <w:rFonts w:ascii="Arial" w:cs="Arial" w:eastAsia="Arial" w:hAnsi="Arial"/>
          <w:b/>
          <w:bCs/>
          <w:color w:val="2C2C2C"/>
          <w:sz w:val="21"/>
          <w:szCs w:val="21"/>
        </w:rPr>
        <w:t xml:space="preserve">Action. </w:t>
      </w:r>
      <w:r>
        <w:rPr>
          <w:rFonts w:ascii="Arial" w:cs="Arial" w:eastAsia="Arial" w:hAnsi="Arial"/>
          <w:color w:val="2C2C2C"/>
          <w:sz w:val="21"/>
          <w:szCs w:val="21"/>
        </w:rPr>
        <w:t xml:space="preserve">Soit retirer le toggle EN au lancement, soit assumer une version anglaise maîtrisée. Ne pas laisser une version EN partielle ou ambiguë.</w:t>
      </w:r>
    </w:p>
    <w:p>
      <w:r>
        <w:br w:type="page"/>
      </w:r>
    </w:p>
    <w:p>
      <w:pPr>
        <w:pStyle w:val="Heading1"/>
        <w:pBdr>
          <w:bottom w:val="single" w:color="E5201F" w:sz="18" w:space="6"/>
        </w:pBdr>
        <w:spacing w:after="160" w:before="320"/>
      </w:pPr>
      <w:r>
        <w:rPr>
          <w:rFonts w:ascii="Arial" w:cs="Arial" w:eastAsia="Arial" w:hAnsi="Arial"/>
          <w:b/>
          <w:bCs/>
          <w:color w:val="2C2C2C"/>
          <w:sz w:val="30"/>
          <w:szCs w:val="30"/>
        </w:rPr>
        <w:t xml:space="preserve">4. Éléments à conserver</w:t>
      </w:r>
    </w:p>
    <w:p>
      <w:pPr>
        <w:spacing w:after="100" w:line="276"/>
      </w:pPr>
      <w:r>
        <w:rPr>
          <w:rFonts w:ascii="Arial" w:cs="Arial" w:eastAsia="Arial" w:hAnsi="Arial"/>
          <w:color w:val="2C2C2C"/>
          <w:sz w:val="21"/>
          <w:szCs w:val="21"/>
        </w:rPr>
        <w:t xml:space="preserve">Les éléments suivants sont réussis et ne doivent pas être modifiés :</w:t>
      </w:r>
    </w:p>
    <w:p>
      <w:pPr>
        <w:pStyle w:val="ListParagraph"/>
        <w:numPr>
          <w:ilvl w:val="0"/>
          <w:numId w:val="2"/>
        </w:numPr>
        <w:spacing w:after="70" w:line="270"/>
      </w:pPr>
      <w:r>
        <w:rPr>
          <w:rFonts w:ascii="Arial" w:cs="Arial" w:eastAsia="Arial" w:hAnsi="Arial"/>
          <w:color w:val="2C2C2C"/>
          <w:sz w:val="21"/>
          <w:szCs w:val="21"/>
        </w:rPr>
        <w:t xml:space="preserve">Respect de la charte graphique (jaune, rouge, anthracite ; typographie display).</w:t>
      </w:r>
    </w:p>
    <w:p>
      <w:pPr>
        <w:pStyle w:val="ListParagraph"/>
        <w:numPr>
          <w:ilvl w:val="0"/>
          <w:numId w:val="2"/>
        </w:numPr>
        <w:spacing w:after="70" w:line="270"/>
      </w:pPr>
      <w:r>
        <w:rPr>
          <w:rFonts w:ascii="Arial" w:cs="Arial" w:eastAsia="Arial" w:hAnsi="Arial"/>
          <w:color w:val="2C2C2C"/>
          <w:sz w:val="21"/>
          <w:szCs w:val="21"/>
        </w:rPr>
        <w:t xml:space="preserve">Mockup de suivi crédible et bien localisé (Marché de Ganhi, Fidjrossé).</w:t>
      </w:r>
    </w:p>
    <w:p>
      <w:pPr>
        <w:pStyle w:val="ListParagraph"/>
        <w:numPr>
          <w:ilvl w:val="0"/>
          <w:numId w:val="2"/>
        </w:numPr>
        <w:spacing w:after="70" w:line="270"/>
      </w:pPr>
      <w:r>
        <w:rPr>
          <w:rFonts w:ascii="Arial" w:cs="Arial" w:eastAsia="Arial" w:hAnsi="Arial"/>
          <w:color w:val="2C2C2C"/>
          <w:sz w:val="21"/>
          <w:szCs w:val="21"/>
        </w:rPr>
        <w:t xml:space="preserve">Bloc livreur sur fond noir, visuellement fort et bien différencié.</w:t>
      </w:r>
    </w:p>
    <w:p>
      <w:pPr>
        <w:pStyle w:val="ListParagraph"/>
        <w:numPr>
          <w:ilvl w:val="0"/>
          <w:numId w:val="2"/>
        </w:numPr>
        <w:spacing w:after="70" w:line="270"/>
      </w:pPr>
      <w:r>
        <w:rPr>
          <w:rFonts w:ascii="Arial" w:cs="Arial" w:eastAsia="Arial" w:hAnsi="Arial"/>
          <w:color w:val="2C2C2C"/>
          <w:sz w:val="21"/>
          <w:szCs w:val="21"/>
        </w:rPr>
        <w:t xml:space="preserve">Structure de page claire et lisible.</w:t>
      </w:r>
    </w:p>
    <w:p>
      <w:pPr>
        <w:pStyle w:val="ListParagraph"/>
        <w:numPr>
          <w:ilvl w:val="0"/>
          <w:numId w:val="2"/>
        </w:numPr>
        <w:spacing w:after="70" w:line="270"/>
      </w:pPr>
      <w:r>
        <w:rPr>
          <w:rFonts w:ascii="Arial" w:cs="Arial" w:eastAsia="Arial" w:hAnsi="Arial"/>
          <w:color w:val="2C2C2C"/>
          <w:sz w:val="21"/>
          <w:szCs w:val="21"/>
        </w:rPr>
        <w:t xml:space="preserve">Footer propre, avec la mention « Un produit KTALYZ ».</w:t>
      </w:r>
    </w:p>
    <w:p>
      <w:pPr>
        <w:pStyle w:val="Heading1"/>
        <w:pBdr>
          <w:bottom w:val="single" w:color="E5201F" w:sz="18" w:space="6"/>
        </w:pBdr>
        <w:spacing w:after="160" w:before="320"/>
      </w:pPr>
      <w:r>
        <w:rPr>
          <w:rFonts w:ascii="Arial" w:cs="Arial" w:eastAsia="Arial" w:hAnsi="Arial"/>
          <w:b/>
          <w:bCs/>
          <w:color w:val="2C2C2C"/>
          <w:sz w:val="30"/>
          <w:szCs w:val="30"/>
        </w:rPr>
        <w:t xml:space="preserve">5. Checklist de livraison</w:t>
      </w:r>
    </w:p>
    <w:p>
      <w:pPr>
        <w:spacing w:after="100" w:line="276"/>
      </w:pPr>
      <w:r>
        <w:rPr>
          <w:rFonts w:ascii="Arial" w:cs="Arial" w:eastAsia="Arial" w:hAnsi="Arial"/>
          <w:color w:val="2C2C2C"/>
          <w:sz w:val="21"/>
          <w:szCs w:val="21"/>
        </w:rPr>
        <w:t xml:space="preserve">À cocher avant mise en ligne de la version corrigée :</w:t>
      </w:r>
    </w:p>
    <w:p>
      <w:pPr>
        <w:pStyle w:val="ListParagraph"/>
        <w:numPr>
          <w:ilvl w:val="0"/>
          <w:numId w:val="3"/>
        </w:numPr>
        <w:spacing w:after="70" w:line="270"/>
      </w:pPr>
      <w:r>
        <w:rPr>
          <w:rFonts w:ascii="Arial" w:cs="Arial" w:eastAsia="Arial" w:hAnsi="Arial"/>
          <w:color w:val="2C2C2C"/>
          <w:sz w:val="21"/>
          <w:szCs w:val="21"/>
        </w:rPr>
        <w:t xml:space="preserve">Hero réécrit sur la cible marchand (titre + sous-titre + CTA).</w:t>
      </w:r>
    </w:p>
    <w:p>
      <w:pPr>
        <w:pStyle w:val="ListParagraph"/>
        <w:numPr>
          <w:ilvl w:val="0"/>
          <w:numId w:val="3"/>
        </w:numPr>
        <w:spacing w:after="70" w:line="270"/>
      </w:pPr>
      <w:r>
        <w:rPr>
          <w:rFonts w:ascii="Arial" w:cs="Arial" w:eastAsia="Arial" w:hAnsi="Arial"/>
          <w:color w:val="2C2C2C"/>
          <w:sz w:val="21"/>
          <w:szCs w:val="21"/>
        </w:rPr>
        <w:t xml:space="preserve">Bloc Wallet / Encaissement intégré avec les 3 étapes.</w:t>
      </w:r>
    </w:p>
    <w:p>
      <w:pPr>
        <w:pStyle w:val="ListParagraph"/>
        <w:numPr>
          <w:ilvl w:val="0"/>
          <w:numId w:val="3"/>
        </w:numPr>
        <w:spacing w:after="70" w:line="270"/>
      </w:pPr>
      <w:r>
        <w:rPr>
          <w:rFonts w:ascii="Arial" w:cs="Arial" w:eastAsia="Arial" w:hAnsi="Arial"/>
          <w:color w:val="2C2C2C"/>
          <w:sz w:val="21"/>
          <w:szCs w:val="21"/>
        </w:rPr>
        <w:t xml:space="preserve">Mentions et logos Mobile Money (MTN MoMo, Moov Money) affichés.</w:t>
      </w:r>
    </w:p>
    <w:p>
      <w:pPr>
        <w:pStyle w:val="ListParagraph"/>
        <w:numPr>
          <w:ilvl w:val="0"/>
          <w:numId w:val="3"/>
        </w:numPr>
        <w:spacing w:after="70" w:line="270"/>
      </w:pPr>
      <w:r>
        <w:rPr>
          <w:rFonts w:ascii="Arial" w:cs="Arial" w:eastAsia="Arial" w:hAnsi="Arial"/>
          <w:color w:val="2C2C2C"/>
          <w:sz w:val="21"/>
          <w:szCs w:val="21"/>
        </w:rPr>
        <w:t xml:space="preserve">Bande de preuve sociale avec les logos de l'écosystème NDA.</w:t>
      </w:r>
    </w:p>
    <w:p>
      <w:pPr>
        <w:pStyle w:val="ListParagraph"/>
        <w:numPr>
          <w:ilvl w:val="0"/>
          <w:numId w:val="3"/>
        </w:numPr>
        <w:spacing w:after="70" w:line="270"/>
      </w:pPr>
      <w:r>
        <w:rPr>
          <w:rFonts w:ascii="Arial" w:cs="Arial" w:eastAsia="Arial" w:hAnsi="Arial"/>
          <w:color w:val="2C2C2C"/>
          <w:sz w:val="21"/>
          <w:szCs w:val="21"/>
        </w:rPr>
        <w:t xml:space="preserve">Repère de prix visible hors FAQ.</w:t>
      </w:r>
    </w:p>
    <w:p>
      <w:pPr>
        <w:pStyle w:val="ListParagraph"/>
        <w:numPr>
          <w:ilvl w:val="0"/>
          <w:numId w:val="3"/>
        </w:numPr>
        <w:spacing w:after="70" w:line="270"/>
      </w:pPr>
      <w:r>
        <w:rPr>
          <w:rFonts w:ascii="Arial" w:cs="Arial" w:eastAsia="Arial" w:hAnsi="Arial"/>
          <w:color w:val="2C2C2C"/>
          <w:sz w:val="21"/>
          <w:szCs w:val="21"/>
        </w:rPr>
        <w:t xml:space="preserve">Bouton WhatsApp flottant fonctionnel.</w:t>
      </w:r>
    </w:p>
    <w:p>
      <w:pPr>
        <w:pStyle w:val="ListParagraph"/>
        <w:numPr>
          <w:ilvl w:val="0"/>
          <w:numId w:val="3"/>
        </w:numPr>
        <w:spacing w:after="70" w:line="270"/>
      </w:pPr>
      <w:r>
        <w:rPr>
          <w:rFonts w:ascii="Arial" w:cs="Arial" w:eastAsia="Arial" w:hAnsi="Arial"/>
          <w:color w:val="2C2C2C"/>
          <w:sz w:val="21"/>
          <w:szCs w:val="21"/>
        </w:rPr>
        <w:t xml:space="preserve">Hiérarchie des CTA appliquée (marchand primaire / livreur secondaire).</w:t>
      </w:r>
    </w:p>
    <w:p>
      <w:pPr>
        <w:pStyle w:val="ListParagraph"/>
        <w:numPr>
          <w:ilvl w:val="0"/>
          <w:numId w:val="3"/>
        </w:numPr>
        <w:spacing w:after="70" w:line="270"/>
      </w:pPr>
      <w:r>
        <w:rPr>
          <w:rFonts w:ascii="Arial" w:cs="Arial" w:eastAsia="Arial" w:hAnsi="Arial"/>
          <w:color w:val="2C2C2C"/>
          <w:sz w:val="21"/>
          <w:szCs w:val="21"/>
        </w:rPr>
        <w:t xml:space="preserve">Contraste de la section « Conçu pour… » corrigé.</w:t>
      </w:r>
    </w:p>
    <w:p>
      <w:pPr>
        <w:pStyle w:val="ListParagraph"/>
        <w:numPr>
          <w:ilvl w:val="0"/>
          <w:numId w:val="3"/>
        </w:numPr>
        <w:spacing w:after="70" w:line="270"/>
      </w:pPr>
      <w:r>
        <w:rPr>
          <w:rFonts w:ascii="Arial" w:cs="Arial" w:eastAsia="Arial" w:hAnsi="Arial"/>
          <w:color w:val="2C2C2C"/>
          <w:sz w:val="21"/>
          <w:szCs w:val="21"/>
        </w:rPr>
        <w:t xml:space="preserve">Bloc hero rééquilibré.</w:t>
      </w:r>
    </w:p>
    <w:p>
      <w:pPr>
        <w:pStyle w:val="ListParagraph"/>
        <w:numPr>
          <w:ilvl w:val="0"/>
          <w:numId w:val="3"/>
        </w:numPr>
        <w:spacing w:after="70" w:line="270"/>
      </w:pPr>
      <w:r>
        <w:rPr>
          <w:rFonts w:ascii="Arial" w:cs="Arial" w:eastAsia="Arial" w:hAnsi="Arial"/>
          <w:color w:val="2C2C2C"/>
          <w:sz w:val="21"/>
          <w:szCs w:val="21"/>
        </w:rPr>
        <w:t xml:space="preserve">Title et meta en français ; version EN traitée.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C2C2C" w:sz="36"/>
              <w:bottom w:val="none"/>
              <w:right w:val="none"/>
            </w:tcBorders>
            <w:shd w:fill="F2F2F2" w:val="clear"/>
            <w:tcMar>
              <w:top w:type="dxa" w:w="130"/>
              <w:left w:type="dxa" w:w="200"/>
              <w:bottom w:type="dxa" w:w="130"/>
              <w:right w:type="dxa" w:w="200"/>
            </w:tcMar>
          </w:tcPr>
          <w:p>
            <w:pPr>
              <w:spacing w:after="80"/>
            </w:pPr>
            <w:r>
              <w:rPr>
                <w:rFonts w:ascii="Arial" w:cs="Arial" w:eastAsia="Arial" w:hAnsi="Arial"/>
                <w:b/>
                <w:bCs/>
                <w:color w:val="2C2C2C"/>
                <w:sz w:val="21"/>
                <w:szCs w:val="21"/>
              </w:rPr>
              <w:t xml:space="preserve">Contact</w:t>
            </w:r>
          </w:p>
          <w:p>
            <w:pPr>
              <w:spacing w:after="0" w:line="270"/>
            </w:pPr>
            <w:r>
              <w:rPr>
                <w:rFonts w:ascii="Arial" w:cs="Arial" w:eastAsia="Arial" w:hAnsi="Arial"/>
                <w:i/>
                <w:iCs/>
                <w:color w:val="2C2C2C"/>
                <w:sz w:val="21"/>
                <w:szCs w:val="21"/>
              </w:rPr>
              <w:t xml:space="preserve">Pour toute question sur ces recommandations : KTALYZ — éditeur d'AIR MESS.</w:t>
            </w:r>
          </w:p>
        </w:tc>
      </w:tr>
    </w:tbl>
    <w:p>
      <w:pPr>
        <w:pStyle w:val="Heading1"/>
        <w:pageBreakBefore/>
        <w:pBdr>
          <w:bottom w:val="single" w:color="E5201F" w:sz="18" w:space="6"/>
        </w:pBdr>
        <w:spacing w:after="160" w:before="0"/>
      </w:pPr>
      <w:r>
        <w:rPr>
          <w:rFonts w:ascii="Arial" w:cs="Arial" w:eastAsia="Arial" w:hAnsi="Arial"/>
          <w:b/>
          <w:bCs/>
          <w:color w:val="2C2C2C"/>
          <w:sz w:val="30"/>
          <w:szCs w:val="30"/>
        </w:rPr>
        <w:t xml:space="preserve">6. Maquette — version cible</w:t>
      </w:r>
    </w:p>
    <w:p>
      <w:pPr>
        <w:spacing w:after="120" w:line="276"/>
      </w:pPr>
      <w:r>
        <w:rPr>
          <w:rFonts w:ascii="Arial" w:cs="Arial" w:eastAsia="Arial" w:hAnsi="Arial"/>
          <w:color w:val="2C2C2C"/>
          <w:sz w:val="21"/>
          <w:szCs w:val="21"/>
        </w:rPr>
        <w:t xml:space="preserve">Reproduction fidèle du design de la page actuelle, intégrant l’ensemble des corrections de la section 3. Il s’agit d’une cible visuelle à titre indicatif (le contenu définitif — prix, logos marchands — reste à confirmer). Les pastilles rouges numérotées renvoient aux recommandations correspondantes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shd w:fill="E5201F" w:val="clear"/>
            <w:tcMar>
              <w:top w:type="dxa" w:w="60"/>
              <w:left w:type="dxa" w:w="60"/>
              <w:bottom w:type="dxa" w:w="60"/>
              <w:right w:type="dxa" w:w="60"/>
            </w:tcMar>
            <w:vAlign w:val="center"/>
          </w:tcPr>
          <w:p>
            <w:pPr>
              <w:jc w:val="center"/>
            </w:pPr>
            <w:r>
              <w:rPr>
                <w:rFonts w:ascii="Arial" w:cs="Arial" w:eastAsia="Arial" w:hAnsi="Arial"/>
                <w:b/>
                <w:bCs/>
                <w:color w:val="FFFFFF"/>
                <w:sz w:val="20"/>
                <w:szCs w:val="20"/>
              </w:rPr>
              <w:t xml:space="preserve">1</w:t>
            </w:r>
          </w:p>
        </w:tc>
        <w:tc>
          <w:tcPr>
            <w:tcW w:type="dxa" w:w="8600"/>
            <w:shd w:fill="FFFFFF" w:val="clear"/>
            <w:tcMar>
              <w:top w:type="dxa" w:w="60"/>
              <w:left w:type="dxa" w:w="140"/>
              <w:bottom w:type="dxa" w:w="60"/>
              <w:right w:type="dxa" w:w="140"/>
            </w:tcMar>
            <w:vAlign w:val="center"/>
          </w:tcPr>
          <w:p>
            <w:r>
              <w:rPr>
                <w:rFonts w:ascii="Arial" w:cs="Arial" w:eastAsia="Arial" w:hAnsi="Arial"/>
                <w:color w:val="2C2C2C"/>
                <w:sz w:val="20"/>
                <w:szCs w:val="20"/>
              </w:rPr>
              <w:t xml:space="preserve">Hero recentré marchand — « Vous vendez. Nous livrons. » (§ 3.1)</w:t>
            </w:r>
          </w:p>
        </w:tc>
      </w:tr>
      <w:tr>
        <w:tc>
          <w:tcPr>
            <w:tcW w:type="dxa" w:w="760"/>
            <w:shd w:fill="E5201F" w:val="clear"/>
            <w:tcMar>
              <w:top w:type="dxa" w:w="60"/>
              <w:left w:type="dxa" w:w="60"/>
              <w:bottom w:type="dxa" w:w="60"/>
              <w:right w:type="dxa" w:w="60"/>
            </w:tcMar>
            <w:vAlign w:val="center"/>
          </w:tcPr>
          <w:p>
            <w:pPr>
              <w:jc w:val="center"/>
            </w:pPr>
            <w:r>
              <w:rPr>
                <w:rFonts w:ascii="Arial" w:cs="Arial" w:eastAsia="Arial" w:hAnsi="Arial"/>
                <w:b/>
                <w:bCs/>
                <w:color w:val="FFFFFF"/>
                <w:sz w:val="20"/>
                <w:szCs w:val="20"/>
              </w:rPr>
              <w:t xml:space="preserve">2</w:t>
            </w:r>
          </w:p>
        </w:tc>
        <w:tc>
          <w:tcPr>
            <w:tcW w:type="dxa" w:w="8600"/>
            <w:shd w:fill="FFFFFF" w:val="clear"/>
            <w:tcMar>
              <w:top w:type="dxa" w:w="60"/>
              <w:left w:type="dxa" w:w="140"/>
              <w:bottom w:type="dxa" w:w="60"/>
              <w:right w:type="dxa" w:w="140"/>
            </w:tcMar>
            <w:vAlign w:val="center"/>
          </w:tcPr>
          <w:p>
            <w:r>
              <w:rPr>
                <w:rFonts w:ascii="Arial" w:cs="Arial" w:eastAsia="Arial" w:hAnsi="Arial"/>
                <w:color w:val="2C2C2C"/>
                <w:sz w:val="20"/>
                <w:szCs w:val="20"/>
              </w:rPr>
              <w:t xml:space="preserve">Bloc Wallet / Encaissement intégré, 3 étapes (§ 3.2)</w:t>
            </w:r>
          </w:p>
        </w:tc>
      </w:tr>
      <w:tr>
        <w:tc>
          <w:tcPr>
            <w:tcW w:type="dxa" w:w="760"/>
            <w:shd w:fill="E5201F" w:val="clear"/>
            <w:tcMar>
              <w:top w:type="dxa" w:w="60"/>
              <w:left w:type="dxa" w:w="60"/>
              <w:bottom w:type="dxa" w:w="60"/>
              <w:right w:type="dxa" w:w="60"/>
            </w:tcMar>
            <w:vAlign w:val="center"/>
          </w:tcPr>
          <w:p>
            <w:pPr>
              <w:jc w:val="center"/>
            </w:pPr>
            <w:r>
              <w:rPr>
                <w:rFonts w:ascii="Arial" w:cs="Arial" w:eastAsia="Arial" w:hAnsi="Arial"/>
                <w:b/>
                <w:bCs/>
                <w:color w:val="FFFFFF"/>
                <w:sz w:val="20"/>
                <w:szCs w:val="20"/>
              </w:rPr>
              <w:t xml:space="preserve">3</w:t>
            </w:r>
          </w:p>
        </w:tc>
        <w:tc>
          <w:tcPr>
            <w:tcW w:type="dxa" w:w="8600"/>
            <w:shd w:fill="FFFFFF" w:val="clear"/>
            <w:tcMar>
              <w:top w:type="dxa" w:w="60"/>
              <w:left w:type="dxa" w:w="140"/>
              <w:bottom w:type="dxa" w:w="60"/>
              <w:right w:type="dxa" w:w="140"/>
            </w:tcMar>
            <w:vAlign w:val="center"/>
          </w:tcPr>
          <w:p>
            <w:r>
              <w:rPr>
                <w:rFonts w:ascii="Arial" w:cs="Arial" w:eastAsia="Arial" w:hAnsi="Arial"/>
                <w:color w:val="2C2C2C"/>
                <w:sz w:val="20"/>
                <w:szCs w:val="20"/>
              </w:rPr>
              <w:t xml:space="preserve">Mentions Mobile Money — MTN MoMo, Moov Money (§ 3.3)</w:t>
            </w:r>
          </w:p>
        </w:tc>
      </w:tr>
      <w:tr>
        <w:tc>
          <w:tcPr>
            <w:tcW w:type="dxa" w:w="760"/>
            <w:shd w:fill="E5201F" w:val="clear"/>
            <w:tcMar>
              <w:top w:type="dxa" w:w="60"/>
              <w:left w:type="dxa" w:w="60"/>
              <w:bottom w:type="dxa" w:w="60"/>
              <w:right w:type="dxa" w:w="60"/>
            </w:tcMar>
            <w:vAlign w:val="center"/>
          </w:tcPr>
          <w:p>
            <w:pPr>
              <w:jc w:val="center"/>
            </w:pPr>
            <w:r>
              <w:rPr>
                <w:rFonts w:ascii="Arial" w:cs="Arial" w:eastAsia="Arial" w:hAnsi="Arial"/>
                <w:b/>
                <w:bCs/>
                <w:color w:val="FFFFFF"/>
                <w:sz w:val="20"/>
                <w:szCs w:val="20"/>
              </w:rPr>
              <w:t xml:space="preserve">4</w:t>
            </w:r>
          </w:p>
        </w:tc>
        <w:tc>
          <w:tcPr>
            <w:tcW w:type="dxa" w:w="8600"/>
            <w:shd w:fill="FFFFFF" w:val="clear"/>
            <w:tcMar>
              <w:top w:type="dxa" w:w="60"/>
              <w:left w:type="dxa" w:w="140"/>
              <w:bottom w:type="dxa" w:w="60"/>
              <w:right w:type="dxa" w:w="140"/>
            </w:tcMar>
            <w:vAlign w:val="center"/>
          </w:tcPr>
          <w:p>
            <w:r>
              <w:rPr>
                <w:rFonts w:ascii="Arial" w:cs="Arial" w:eastAsia="Arial" w:hAnsi="Arial"/>
                <w:color w:val="2C2C2C"/>
                <w:sz w:val="20"/>
                <w:szCs w:val="20"/>
              </w:rPr>
              <w:t xml:space="preserve">Bande de preuve sociale — écosystème NDA (§ 3.4)</w:t>
            </w:r>
          </w:p>
        </w:tc>
      </w:tr>
      <w:tr>
        <w:tc>
          <w:tcPr>
            <w:tcW w:type="dxa" w:w="760"/>
            <w:shd w:fill="E5201F" w:val="clear"/>
            <w:tcMar>
              <w:top w:type="dxa" w:w="60"/>
              <w:left w:type="dxa" w:w="60"/>
              <w:bottom w:type="dxa" w:w="60"/>
              <w:right w:type="dxa" w:w="60"/>
            </w:tcMar>
            <w:vAlign w:val="center"/>
          </w:tcPr>
          <w:p>
            <w:pPr>
              <w:jc w:val="center"/>
            </w:pPr>
            <w:r>
              <w:rPr>
                <w:rFonts w:ascii="Arial" w:cs="Arial" w:eastAsia="Arial" w:hAnsi="Arial"/>
                <w:b/>
                <w:bCs/>
                <w:color w:val="FFFFFF"/>
                <w:sz w:val="20"/>
                <w:szCs w:val="20"/>
              </w:rPr>
              <w:t xml:space="preserve">5</w:t>
            </w:r>
          </w:p>
        </w:tc>
        <w:tc>
          <w:tcPr>
            <w:tcW w:type="dxa" w:w="8600"/>
            <w:shd w:fill="FFFFFF" w:val="clear"/>
            <w:tcMar>
              <w:top w:type="dxa" w:w="60"/>
              <w:left w:type="dxa" w:w="140"/>
              <w:bottom w:type="dxa" w:w="60"/>
              <w:right w:type="dxa" w:w="140"/>
            </w:tcMar>
            <w:vAlign w:val="center"/>
          </w:tcPr>
          <w:p>
            <w:r>
              <w:rPr>
                <w:rFonts w:ascii="Arial" w:cs="Arial" w:eastAsia="Arial" w:hAnsi="Arial"/>
                <w:color w:val="2C2C2C"/>
                <w:sz w:val="20"/>
                <w:szCs w:val="20"/>
              </w:rPr>
              <w:t xml:space="preserve">Repère de prix visible hors FAQ (§ 3.5)</w:t>
            </w:r>
          </w:p>
        </w:tc>
      </w:tr>
      <w:tr>
        <w:tc>
          <w:tcPr>
            <w:tcW w:type="dxa" w:w="760"/>
            <w:shd w:fill="E5201F" w:val="clear"/>
            <w:tcMar>
              <w:top w:type="dxa" w:w="60"/>
              <w:left w:type="dxa" w:w="60"/>
              <w:bottom w:type="dxa" w:w="60"/>
              <w:right w:type="dxa" w:w="60"/>
            </w:tcMar>
            <w:vAlign w:val="center"/>
          </w:tcPr>
          <w:p>
            <w:pPr>
              <w:jc w:val="center"/>
            </w:pPr>
            <w:r>
              <w:rPr>
                <w:rFonts w:ascii="Arial" w:cs="Arial" w:eastAsia="Arial" w:hAnsi="Arial"/>
                <w:b/>
                <w:bCs/>
                <w:color w:val="FFFFFF"/>
                <w:sz w:val="20"/>
                <w:szCs w:val="20"/>
              </w:rPr>
              <w:t xml:space="preserve">6</w:t>
            </w:r>
          </w:p>
        </w:tc>
        <w:tc>
          <w:tcPr>
            <w:tcW w:type="dxa" w:w="8600"/>
            <w:shd w:fill="FFFFFF" w:val="clear"/>
            <w:tcMar>
              <w:top w:type="dxa" w:w="60"/>
              <w:left w:type="dxa" w:w="140"/>
              <w:bottom w:type="dxa" w:w="60"/>
              <w:right w:type="dxa" w:w="140"/>
            </w:tcMar>
            <w:vAlign w:val="center"/>
          </w:tcPr>
          <w:p>
            <w:r>
              <w:rPr>
                <w:rFonts w:ascii="Arial" w:cs="Arial" w:eastAsia="Arial" w:hAnsi="Arial"/>
                <w:color w:val="2C2C2C"/>
                <w:sz w:val="20"/>
                <w:szCs w:val="20"/>
              </w:rPr>
              <w:t xml:space="preserve">Bouton WhatsApp flottant, en vert (§ 3.6)</w:t>
            </w:r>
          </w:p>
        </w:tc>
      </w:tr>
      <w:tr>
        <w:tc>
          <w:tcPr>
            <w:tcW w:type="dxa" w:w="760"/>
            <w:shd w:fill="E5201F" w:val="clear"/>
            <w:tcMar>
              <w:top w:type="dxa" w:w="60"/>
              <w:left w:type="dxa" w:w="60"/>
              <w:bottom w:type="dxa" w:w="60"/>
              <w:right w:type="dxa" w:w="60"/>
            </w:tcMar>
            <w:vAlign w:val="center"/>
          </w:tcPr>
          <w:p>
            <w:pPr>
              <w:jc w:val="center"/>
            </w:pPr>
            <w:r>
              <w:rPr>
                <w:rFonts w:ascii="Arial" w:cs="Arial" w:eastAsia="Arial" w:hAnsi="Arial"/>
                <w:b/>
                <w:bCs/>
                <w:color w:val="FFFFFF"/>
                <w:sz w:val="20"/>
                <w:szCs w:val="20"/>
              </w:rPr>
              <w:t xml:space="preserve">7</w:t>
            </w:r>
          </w:p>
        </w:tc>
        <w:tc>
          <w:tcPr>
            <w:tcW w:type="dxa" w:w="8600"/>
            <w:shd w:fill="FFFFFF" w:val="clear"/>
            <w:tcMar>
              <w:top w:type="dxa" w:w="60"/>
              <w:left w:type="dxa" w:w="140"/>
              <w:bottom w:type="dxa" w:w="60"/>
              <w:right w:type="dxa" w:w="140"/>
            </w:tcMar>
            <w:vAlign w:val="center"/>
          </w:tcPr>
          <w:p>
            <w:r>
              <w:rPr>
                <w:rFonts w:ascii="Arial" w:cs="Arial" w:eastAsia="Arial" w:hAnsi="Arial"/>
                <w:color w:val="2C2C2C"/>
                <w:sz w:val="20"/>
                <w:szCs w:val="20"/>
              </w:rPr>
              <w:t xml:space="preserve">Hiérarchie des CTA — marchand primaire / livreur secondaire (§ 3.7)</w:t>
            </w:r>
          </w:p>
        </w:tc>
      </w:tr>
      <w:tr>
        <w:tc>
          <w:tcPr>
            <w:tcW w:type="dxa" w:w="760"/>
            <w:shd w:fill="E5201F" w:val="clear"/>
            <w:tcMar>
              <w:top w:type="dxa" w:w="60"/>
              <w:left w:type="dxa" w:w="60"/>
              <w:bottom w:type="dxa" w:w="60"/>
              <w:right w:type="dxa" w:w="60"/>
            </w:tcMar>
            <w:vAlign w:val="center"/>
          </w:tcPr>
          <w:p>
            <w:pPr>
              <w:jc w:val="center"/>
            </w:pPr>
            <w:r>
              <w:rPr>
                <w:rFonts w:ascii="Arial" w:cs="Arial" w:eastAsia="Arial" w:hAnsi="Arial"/>
                <w:b/>
                <w:bCs/>
                <w:color w:val="FFFFFF"/>
                <w:sz w:val="20"/>
                <w:szCs w:val="20"/>
              </w:rPr>
              <w:t xml:space="preserve">8</w:t>
            </w:r>
          </w:p>
        </w:tc>
        <w:tc>
          <w:tcPr>
            <w:tcW w:type="dxa" w:w="8600"/>
            <w:shd w:fill="FFFFFF" w:val="clear"/>
            <w:tcMar>
              <w:top w:type="dxa" w:w="60"/>
              <w:left w:type="dxa" w:w="140"/>
              <w:bottom w:type="dxa" w:w="60"/>
              <w:right w:type="dxa" w:w="140"/>
            </w:tcMar>
            <w:vAlign w:val="center"/>
          </w:tcPr>
          <w:p>
            <w:r>
              <w:rPr>
                <w:rFonts w:ascii="Arial" w:cs="Arial" w:eastAsia="Arial" w:hAnsi="Arial"/>
                <w:color w:val="2C2C2C"/>
                <w:sz w:val="20"/>
                <w:szCs w:val="20"/>
              </w:rPr>
              <w:t xml:space="preserve">Cartes contrastées et lisibles, en remplacement des étiquettes flottantes (§ 3.8)</w:t>
            </w:r>
          </w:p>
        </w:tc>
      </w:tr>
    </w:tbl>
    <w:p>
      <w:pPr>
        <w:pageBreakBefore/>
        <w:spacing w:after="60" w:before="0"/>
        <w:jc w:val="center"/>
      </w:pPr>
      <w:r>
        <w:drawing>
          <wp:inline distT="0" distB="0" distL="0" distR="0">
            <wp:extent cx="5943600" cy="4429125"/>
            <wp:effectExtent t="0" r="0" b="0" l="0"/>
            <wp:docPr id="1" name="mk" descr="Maquette 1/4 — Navigation, hero marchand, repère de prix et preuve sociale" title="Maquette AIR M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29125"/>
                    </a:xfrm>
                    <a:prstGeom prst="rect">
                      <a:avLst/>
                    </a:prstGeom>
                  </pic:spPr>
                </pic:pic>
              </a:graphicData>
            </a:graphic>
          </wp:inline>
        </w:drawing>
      </w:r>
    </w:p>
    <w:p>
      <w:pPr>
        <w:spacing w:after="120"/>
        <w:jc w:val="center"/>
      </w:pPr>
      <w:r>
        <w:rPr>
          <w:rFonts w:ascii="Arial" w:cs="Arial" w:eastAsia="Arial" w:hAnsi="Arial"/>
          <w:i/>
          <w:iCs/>
          <w:color w:val="6B6B6B"/>
          <w:sz w:val="18"/>
          <w:szCs w:val="18"/>
        </w:rPr>
        <w:t xml:space="preserve">Maquette 1/4 — Navigation, hero marchand, repère de prix et preuve sociale</w:t>
      </w:r>
    </w:p>
    <w:p>
      <w:pPr>
        <w:pageBreakBefore/>
        <w:spacing w:after="60" w:before="0"/>
        <w:jc w:val="center"/>
      </w:pPr>
      <w:r>
        <w:drawing>
          <wp:inline distT="0" distB="0" distL="0" distR="0">
            <wp:extent cx="5943600" cy="4800600"/>
            <wp:effectExtent t="0" r="0" b="0" l="0"/>
            <wp:docPr id="1" name="mk" descr="Maquette 2/4 — Étapes du trajet et module Wallet / Encaissement (Mobile Money)" title="Maquette AIR M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800600"/>
                    </a:xfrm>
                    <a:prstGeom prst="rect">
                      <a:avLst/>
                    </a:prstGeom>
                  </pic:spPr>
                </pic:pic>
              </a:graphicData>
            </a:graphic>
          </wp:inline>
        </w:drawing>
      </w:r>
    </w:p>
    <w:p>
      <w:pPr>
        <w:spacing w:after="120"/>
        <w:jc w:val="center"/>
      </w:pPr>
      <w:r>
        <w:rPr>
          <w:rFonts w:ascii="Arial" w:cs="Arial" w:eastAsia="Arial" w:hAnsi="Arial"/>
          <w:i/>
          <w:iCs/>
          <w:color w:val="6B6B6B"/>
          <w:sz w:val="18"/>
          <w:szCs w:val="18"/>
        </w:rPr>
        <w:t xml:space="preserve">Maquette 2/4 — Étapes du trajet et module Wallet / Encaissement (Mobile Money)</w:t>
      </w:r>
    </w:p>
    <w:p>
      <w:pPr>
        <w:pageBreakBefore/>
        <w:spacing w:after="60" w:before="0"/>
        <w:jc w:val="center"/>
      </w:pPr>
      <w:r>
        <w:drawing>
          <wp:inline distT="0" distB="0" distL="0" distR="0">
            <wp:extent cx="5943600" cy="4229100"/>
            <wp:effectExtent t="0" r="0" b="0" l="0"/>
            <wp:docPr id="1" name="mk" descr="Maquette 3/4 — Avantages (cartes lisibles) et double parcours marchand / livreur" title="Maquette AIR M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229100"/>
                    </a:xfrm>
                    <a:prstGeom prst="rect">
                      <a:avLst/>
                    </a:prstGeom>
                  </pic:spPr>
                </pic:pic>
              </a:graphicData>
            </a:graphic>
          </wp:inline>
        </w:drawing>
      </w:r>
    </w:p>
    <w:p>
      <w:pPr>
        <w:spacing w:after="120"/>
        <w:jc w:val="center"/>
      </w:pPr>
      <w:r>
        <w:rPr>
          <w:rFonts w:ascii="Arial" w:cs="Arial" w:eastAsia="Arial" w:hAnsi="Arial"/>
          <w:i/>
          <w:iCs/>
          <w:color w:val="6B6B6B"/>
          <w:sz w:val="18"/>
          <w:szCs w:val="18"/>
        </w:rPr>
        <w:t xml:space="preserve">Maquette 3/4 — Avantages (cartes lisibles) et double parcours marchand / livreur</w:t>
      </w:r>
    </w:p>
    <w:p>
      <w:pPr>
        <w:pageBreakBefore/>
        <w:spacing w:after="60" w:before="0"/>
        <w:jc w:val="center"/>
      </w:pPr>
      <w:r>
        <w:drawing>
          <wp:inline distT="0" distB="0" distL="0" distR="0">
            <wp:extent cx="5943600" cy="7010400"/>
            <wp:effectExtent t="0" r="0" b="0" l="0"/>
            <wp:docPr id="1" name="mk" descr="Maquette 4/4 — Recrutement livreur, FAQ et pied de page (Un produit KTALYZ)" title="Maquette AIR M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7010400"/>
                    </a:xfrm>
                    <a:prstGeom prst="rect">
                      <a:avLst/>
                    </a:prstGeom>
                  </pic:spPr>
                </pic:pic>
              </a:graphicData>
            </a:graphic>
          </wp:inline>
        </w:drawing>
      </w:r>
    </w:p>
    <w:p>
      <w:pPr>
        <w:spacing w:after="120"/>
        <w:jc w:val="center"/>
      </w:pPr>
      <w:r>
        <w:rPr>
          <w:rFonts w:ascii="Arial" w:cs="Arial" w:eastAsia="Arial" w:hAnsi="Arial"/>
          <w:i/>
          <w:iCs/>
          <w:color w:val="6B6B6B"/>
          <w:sz w:val="18"/>
          <w:szCs w:val="18"/>
        </w:rPr>
        <w:t xml:space="preserve">Maquette 4/4 — Recrutement livreur, FAQ et pied de page (Un produit KTALYZ)</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201F" w:sz="12" w:space="4"/>
      </w:pBdr>
      <w:tabs>
        <w:tab w:val="right" w:pos="9360"/>
      </w:tabs>
    </w:pPr>
    <w:r>
      <w:rPr>
        <w:rFonts w:ascii="Arial" w:cs="Arial" w:eastAsia="Arial" w:hAnsi="Arial"/>
        <w:color w:val="6B6B6B"/>
        <w:sz w:val="16"/>
        <w:szCs w:val="16"/>
      </w:rPr>
      <w:t xml:space="preserve">AIR MESS  ·  Un produit KTALYZ</w:t>
    </w:r>
    <w:r>
      <w:rPr>
        <w:rFonts w:ascii="Arial" w:cs="Arial" w:eastAsia="Arial" w:hAnsi="Arial"/>
        <w:color w:val="6B6B6B"/>
        <w:sz w:val="16"/>
        <w:szCs w:val="16"/>
      </w:rPr>
      <w:t xml:space="preserve">	Page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 </w:t>
    </w:r>
    <w:r>
      <w:rPr>
        <w:rFonts w:ascii="Arial" w:cs="Arial" w:eastAsia="Arial" w:hAnsi="Arial"/>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300" w:sz="12" w:space="4"/>
      </w:pBdr>
      <w:tabs>
        <w:tab w:val="right" w:pos="9360"/>
      </w:tabs>
    </w:pPr>
    <w:r>
      <w:drawing>
        <wp:inline distT="0" distB="0" distL="0" distR="0">
          <wp:extent cx="1257300" cy="285750"/>
          <wp:effectExtent t="0" r="0" b="0" l="0"/>
          <wp:docPr id="1" name="h" descr="logo" title="AIR M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285750"/>
                  </a:xfrm>
                  <a:prstGeom prst="rect">
                    <a:avLst/>
                  </a:prstGeom>
                </pic:spPr>
              </pic:pic>
            </a:graphicData>
          </a:graphic>
        </wp:inline>
      </w:drawing>
    </w:r>
    <w:r>
      <w:rPr>
        <w:rFonts w:ascii="Arial" w:cs="Arial" w:eastAsia="Arial" w:hAnsi="Arial"/>
        <w:color w:val="6B6B6B"/>
        <w:sz w:val="16"/>
        <w:szCs w:val="16"/>
      </w:rPr>
      <w:t xml:space="preserve">	Recommandations techniques —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E5201F"/>
      </w:rPr>
    </w:lvl>
  </w:abstractNum>
  <w:abstractNum w:abstractNumId="3" w15:restartNumberingAfterBreak="0">
    <w:multiLevelType w:val="hybridMultilevel"/>
    <w:lvl w:ilvl="0" w15:tentative="1">
      <w:start w:val="1"/>
      <w:numFmt w:val="bullet"/>
      <w:lvlText w:val="☐"/>
      <w:lvlJc w:val="left"/>
      <w:pPr>
        <w:ind w:left="600" w:hanging="280"/>
      </w:pPr>
      <w:rPr>
        <w:color w:val="2C2C2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2C2C"/>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C2C2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2cc760271c9c89a7d3d8b110241d0ed0d4f514.png"/><Relationship Id="rId10" Type="http://schemas.openxmlformats.org/officeDocument/2006/relationships/image" Target="media/46a6a1eee6ad2b65a439d6574937eb90fa8daefc.png"/><Relationship Id="rId11" Type="http://schemas.openxmlformats.org/officeDocument/2006/relationships/image" Target="media/3691c159139d20439dce12b4548ec9aef6b746c9.png"/><Relationship Id="rId12" Type="http://schemas.openxmlformats.org/officeDocument/2006/relationships/image" Target="media/fb94d9e52d81b7e5e42493b1643ef77a4fd3e0dc.png"/><Relationship Id="rId13" Type="http://schemas.openxmlformats.org/officeDocument/2006/relationships/image" Target="media/e119d12c9064e85bbde9ac08a5db2b26fa44c73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02cc760271c9c89a7d3d8b110241d0ed0d4f51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2026-06-24T21:57:30.376Z</dcterms:created>
  <dcterms:modified xsi:type="dcterms:W3CDTF">2026-06-24T21:57:30.386Z</dcterms:modified>
</cp:coreProperties>
</file>

<file path=docProps/custom.xml><?xml version="1.0" encoding="utf-8"?>
<Properties xmlns="http://schemas.openxmlformats.org/officeDocument/2006/custom-properties" xmlns:vt="http://schemas.openxmlformats.org/officeDocument/2006/docPropsVTypes"/>
</file>