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VLTD UI Implementation Instructions</w:t>
      </w:r>
    </w:p>
    <w:p>
      <w:r>
        <w:t>Revision 2 • 11 October 2026 • Replaces the previous handoff. Implement the changes below in order. Consistency and streamlined use are the primary acceptance criteria. This is an implementation brief, not a request for another design proposal or a read-only inventory.</w:t>
      </w:r>
    </w:p>
    <w:p>
      <w:pPr>
        <w:pStyle w:val="Heading1"/>
      </w:pPr>
      <w:r>
        <w:t>Start work without another confirmation</w:t>
      </w:r>
    </w:p>
    <w:p>
      <w:r>
        <w:t>Begin Batch 1 now: correct the access restrictions, standardize the shared control recipe, and simplify the Vault and Events controls. Inspect relevant code as part of implementation. Do not stop after reading it, ask whether to begin an audit, or ask the owner to classify every feature. Routine code organization and technical choices are the coder’s responsibility.</w:t>
      </w:r>
    </w:p>
    <w:p>
      <w:r>
        <w:t>Complete, test, and deploy each batch through the existing production process. Send one concise result to the owner, who will relay it to the designer for live verification. Continue independent authorized work while corrections are reviewed. Ask only when a required choice is not covered here, instructions conflict, credentials are unavailable, or implementation requires a destructive data change or broader access. Identify the exact blocker and recommend a resolution.</w:t>
      </w:r>
    </w:p>
    <w:p>
      <w:pPr>
        <w:pStyle w:val="Heading1"/>
      </w:pPr>
      <w:r>
        <w:t>Fixed decisions</w:t>
      </w:r>
    </w:p>
    <w:p>
      <w:pPr>
        <w:pStyle w:val="ListBullet"/>
      </w:pPr>
      <w:r>
        <w:t>Primary navigation order is Home, Vault, Exhibitions, Lounge, Discover. Keep Lounge visible. Learn is a distinct section inside Lounge. Help remains separate.</w:t>
      </w:r>
    </w:p>
    <w:p>
      <w:pPr>
        <w:pStyle w:val="ListBullet"/>
      </w:pPr>
      <w:r>
        <w:t>Home absorbs the collection overview and activity role of Command Center. Account management goes to Settings; collection tools go to their destinations below. Remove Command Center from all menus and redirect /more to /dashboard after its destinations work.</w:t>
      </w:r>
    </w:p>
    <w:p>
      <w:pPr>
        <w:pStyle w:val="ListBullet"/>
      </w:pPr>
      <w:r>
        <w:t>Preserve existing VLTD logos, illustrations, typography, theme palettes, icon choices, and the branded Add Item treatment. Earlier mockups demonstrate structure only; do not copy their substitute logo, plain styling, or colors.</w:t>
      </w:r>
    </w:p>
    <w:p>
      <w:pPr>
        <w:pStyle w:val="ListBullet"/>
      </w:pPr>
      <w:r>
        <w:t>Preserve collection data, profile boundaries, exhibition visibility, existing invitation rules, and saved content. No unrelated feature additions or automatic restore, bulk repair, deletion, or collection-wide sync.</w:t>
      </w:r>
    </w:p>
    <w:p>
      <w:pPr>
        <w:pStyle w:val="Heading1"/>
      </w:pPr>
      <w:r>
        <w:t>Primary routes and global controls</w:t>
      </w:r>
    </w:p>
    <w:tbl>
      <w:tblPr>
        <w:tblW w:type="auto" w:w="0"/>
        <w:tblLayout w:type="fixed"/>
        <w:tblLook w:firstColumn="1" w:firstRow="1" w:lastColumn="0" w:lastRow="0" w:noHBand="0" w:noVBand="1" w:val="04A0"/>
      </w:tblPr>
      <w:tblGrid>
        <w:gridCol w:w="1728"/>
        <w:gridCol w:w="8352"/>
      </w:tblGrid>
      <w:tr>
        <w:trPr>
          <w:tblHeader/>
          <w:cantSplit/>
        </w:trPr>
        <w:tc>
          <w:tcPr>
            <w:tcW w:type="dxa" w:w="1728"/>
            <w:shd w:fill="E9EDF0"/>
          </w:tcPr>
          <w:p>
            <w:pPr>
              <w:spacing w:after="100"/>
            </w:pPr>
            <w:r>
              <w:rPr>
                <w:b/>
                <w:sz w:val="20"/>
              </w:rPr>
              <w:t>Label</w:t>
            </w:r>
          </w:p>
        </w:tc>
        <w:tc>
          <w:tcPr>
            <w:tcW w:type="dxa" w:w="8352"/>
            <w:shd w:fill="E9EDF0"/>
          </w:tcPr>
          <w:p>
            <w:pPr>
              <w:spacing w:after="100"/>
            </w:pPr>
            <w:r>
              <w:rPr>
                <w:b/>
                <w:sz w:val="20"/>
              </w:rPr>
              <w:t>Implementation</w:t>
            </w:r>
          </w:p>
        </w:tc>
      </w:tr>
      <w:tr>
        <w:trPr>
          <w:cantSplit/>
        </w:trPr>
        <w:tc>
          <w:tcPr>
            <w:tcW w:type="dxa" w:w="1728"/>
          </w:tcPr>
          <w:p>
            <w:pPr>
              <w:spacing w:after="100"/>
            </w:pPr>
            <w:r>
              <w:rPr>
                <w:sz w:val="20"/>
              </w:rPr>
              <w:t>Home</w:t>
            </w:r>
          </w:p>
        </w:tc>
        <w:tc>
          <w:tcPr>
            <w:tcW w:type="dxa" w:w="8352"/>
          </w:tcPr>
          <w:p>
            <w:pPr>
              <w:spacing w:after="100"/>
            </w:pPr>
            <w:r>
              <w:rPr>
                <w:sz w:val="20"/>
              </w:rPr>
              <w:t>Link to /dashboard. Signed-in logo returns here; preserve the public homepage for visitors.</w:t>
            </w:r>
          </w:p>
        </w:tc>
      </w:tr>
      <w:tr>
        <w:trPr>
          <w:cantSplit/>
        </w:trPr>
        <w:tc>
          <w:tcPr>
            <w:tcW w:type="dxa" w:w="1728"/>
          </w:tcPr>
          <w:p>
            <w:pPr>
              <w:spacing w:after="100"/>
            </w:pPr>
            <w:r>
              <w:rPr>
                <w:sz w:val="20"/>
              </w:rPr>
              <w:t>Vault</w:t>
            </w:r>
          </w:p>
        </w:tc>
        <w:tc>
          <w:tcPr>
            <w:tcW w:type="dxa" w:w="8352"/>
          </w:tcPr>
          <w:p>
            <w:pPr>
              <w:spacing w:after="100"/>
            </w:pPr>
            <w:r>
              <w:rPr>
                <w:sz w:val="20"/>
              </w:rPr>
              <w:t>Link to /vault. Put Insights access inside Vault and Home; remove the standalone top-bar Insights entry.</w:t>
            </w:r>
          </w:p>
        </w:tc>
      </w:tr>
      <w:tr>
        <w:trPr>
          <w:cantSplit/>
        </w:trPr>
        <w:tc>
          <w:tcPr>
            <w:tcW w:type="dxa" w:w="1728"/>
          </w:tcPr>
          <w:p>
            <w:pPr>
              <w:spacing w:after="100"/>
            </w:pPr>
            <w:r>
              <w:rPr>
                <w:sz w:val="20"/>
              </w:rPr>
              <w:t>Exhibitions</w:t>
            </w:r>
          </w:p>
        </w:tc>
        <w:tc>
          <w:tcPr>
            <w:tcW w:type="dxa" w:w="8352"/>
          </w:tcPr>
          <w:p>
            <w:pPr>
              <w:spacing w:after="100"/>
            </w:pPr>
            <w:r>
              <w:rPr>
                <w:sz w:val="20"/>
              </w:rPr>
              <w:t>Link to /museum. This label means ordinary exhibitions, not the restricted Museum Alpha.</w:t>
            </w:r>
          </w:p>
        </w:tc>
      </w:tr>
      <w:tr>
        <w:trPr>
          <w:cantSplit/>
        </w:trPr>
        <w:tc>
          <w:tcPr>
            <w:tcW w:type="dxa" w:w="1728"/>
          </w:tcPr>
          <w:p>
            <w:pPr>
              <w:spacing w:after="100"/>
            </w:pPr>
            <w:r>
              <w:rPr>
                <w:sz w:val="20"/>
              </w:rPr>
              <w:t>Lounge</w:t>
            </w:r>
          </w:p>
        </w:tc>
        <w:tc>
          <w:tcPr>
            <w:tcW w:type="dxa" w:w="8352"/>
          </w:tcPr>
          <w:p>
            <w:pPr>
              <w:spacing w:after="100"/>
            </w:pPr>
            <w:r>
              <w:rPr>
                <w:sz w:val="20"/>
              </w:rPr>
              <w:t>Link to /community-board. Inside Lounge, show Community and Learn navigation; Learn links to existing /learn.</w:t>
            </w:r>
          </w:p>
        </w:tc>
      </w:tr>
      <w:tr>
        <w:trPr>
          <w:cantSplit/>
        </w:trPr>
        <w:tc>
          <w:tcPr>
            <w:tcW w:type="dxa" w:w="1728"/>
          </w:tcPr>
          <w:p>
            <w:pPr>
              <w:spacing w:after="100"/>
            </w:pPr>
            <w:r>
              <w:rPr>
                <w:sz w:val="20"/>
              </w:rPr>
              <w:t>Discover</w:t>
            </w:r>
          </w:p>
        </w:tc>
        <w:tc>
          <w:tcPr>
            <w:tcW w:type="dxa" w:w="8352"/>
          </w:tcPr>
          <w:p>
            <w:pPr>
              <w:spacing w:after="100"/>
            </w:pPr>
            <w:r>
              <w:rPr>
                <w:sz w:val="20"/>
              </w:rPr>
              <w:t>Link to /discover. Local links include Saved /saved, Watchlist /watchlist, Marketplace /market, Upcoming Comics /upcoming, Events /events.</w:t>
            </w:r>
          </w:p>
        </w:tc>
      </w:tr>
    </w:tbl>
    <w:p>
      <w:r>
        <w:t>Keep Search, Messages /messages, Alerts /notifications, and account access in global chrome. Replace the existing Guide dropdown with Help containing Getting started /guide/walkthrough, Feature guide /guide, and Support using the existing bug reporter. Learn is not a Help item.</w:t>
      </w:r>
    </w:p>
    <w:p>
      <w:r>
        <w:br w:type="page"/>
      </w:r>
    </w:p>
    <w:p>
      <w:pPr>
        <w:pStyle w:val="Heading1"/>
      </w:pPr>
      <w:r>
        <w:t>Exact shared control specification</w:t>
      </w:r>
    </w:p>
    <w:p>
      <w:r>
        <w:t>Implement these as shared components and migrate callers. Use existing PillButton, PillSelect, DropdownPill, and PageHeader where suitable; remove local styling that changes the shared geometry. A new component that affected pages do not use is incomplete.</w:t>
      </w:r>
    </w:p>
    <w:tbl>
      <w:tblPr>
        <w:tblW w:type="auto" w:w="0"/>
        <w:tblLayout w:type="fixed"/>
        <w:tblLook w:firstColumn="1" w:firstRow="1" w:lastColumn="0" w:lastRow="0" w:noHBand="0" w:noVBand="1" w:val="04A0"/>
      </w:tblPr>
      <w:tblGrid>
        <w:gridCol w:w="2160"/>
        <w:gridCol w:w="7920"/>
      </w:tblGrid>
      <w:tr>
        <w:trPr>
          <w:tblHeader/>
          <w:cantSplit/>
        </w:trPr>
        <w:tc>
          <w:tcPr>
            <w:tcW w:type="dxa" w:w="2160"/>
            <w:shd w:fill="E9EDF0"/>
          </w:tcPr>
          <w:p>
            <w:pPr>
              <w:spacing w:after="100"/>
            </w:pPr>
            <w:r>
              <w:rPr>
                <w:b/>
                <w:sz w:val="20"/>
              </w:rPr>
              <w:t>Property</w:t>
            </w:r>
          </w:p>
        </w:tc>
        <w:tc>
          <w:tcPr>
            <w:tcW w:type="dxa" w:w="7920"/>
            <w:shd w:fill="E9EDF0"/>
          </w:tcPr>
          <w:p>
            <w:pPr>
              <w:spacing w:after="100"/>
            </w:pPr>
            <w:r>
              <w:rPr>
                <w:b/>
                <w:sz w:val="20"/>
              </w:rPr>
              <w:t>Required value or behavior</w:t>
            </w:r>
          </w:p>
        </w:tc>
      </w:tr>
      <w:tr>
        <w:trPr>
          <w:cantSplit/>
        </w:trPr>
        <w:tc>
          <w:tcPr>
            <w:tcW w:type="dxa" w:w="2160"/>
          </w:tcPr>
          <w:p>
            <w:pPr>
              <w:spacing w:after="100"/>
            </w:pPr>
            <w:r>
              <w:rPr>
                <w:sz w:val="20"/>
              </w:rPr>
              <w:t>Desktop pills</w:t>
            </w:r>
          </w:p>
        </w:tc>
        <w:tc>
          <w:tcPr>
            <w:tcW w:type="dxa" w:w="7920"/>
          </w:tcPr>
          <w:p>
            <w:pPr>
              <w:spacing w:after="100"/>
            </w:pPr>
            <w:r>
              <w:rPr>
                <w:sz w:val="20"/>
              </w:rPr>
              <w:t>36px control height; 8px corner radius; 12px horizontal padding; 6px icon-to-label gap; 13px label, weight 500; 16px icon. Width follows content unless the layout explicitly requires a field width.</w:t>
            </w:r>
          </w:p>
        </w:tc>
      </w:tr>
      <w:tr>
        <w:trPr>
          <w:cantSplit/>
        </w:trPr>
        <w:tc>
          <w:tcPr>
            <w:tcW w:type="dxa" w:w="2160"/>
          </w:tcPr>
          <w:p>
            <w:pPr>
              <w:spacing w:after="100"/>
            </w:pPr>
            <w:r>
              <w:rPr>
                <w:sz w:val="20"/>
              </w:rPr>
              <w:t>Mobile controls</w:t>
            </w:r>
          </w:p>
        </w:tc>
        <w:tc>
          <w:tcPr>
            <w:tcW w:type="dxa" w:w="7920"/>
          </w:tcPr>
          <w:p>
            <w:pPr>
              <w:spacing w:after="100"/>
            </w:pPr>
            <w:r>
              <w:rPr>
                <w:sz w:val="20"/>
              </w:rPr>
              <w:t>At least 44px interactive height and width where applicable; retain compact appearance and the same corners, label styling, and icon alignment. Do not shrink touch targets to desktop height.</w:t>
            </w:r>
          </w:p>
        </w:tc>
      </w:tr>
      <w:tr>
        <w:trPr>
          <w:cantSplit/>
        </w:trPr>
        <w:tc>
          <w:tcPr>
            <w:tcW w:type="dxa" w:w="2160"/>
          </w:tcPr>
          <w:p>
            <w:pPr>
              <w:spacing w:after="100"/>
            </w:pPr>
            <w:r>
              <w:rPr>
                <w:sz w:val="20"/>
              </w:rPr>
              <w:t>Dropdown trigger</w:t>
            </w:r>
          </w:p>
        </w:tc>
        <w:tc>
          <w:tcPr>
            <w:tcW w:type="dxa" w:w="7920"/>
          </w:tcPr>
          <w:p>
            <w:pPr>
              <w:spacing w:after="100"/>
            </w:pPr>
            <w:r>
              <w:rPr>
                <w:sz w:val="20"/>
              </w:rPr>
              <w:t>Same shared recipe as pills. Use one 16px chevron, centered vertically, 12px from the right edge; reserve 36px right padding. Normalize native select appearance or use the existing accessible shared selector.</w:t>
            </w:r>
          </w:p>
        </w:tc>
      </w:tr>
      <w:tr>
        <w:trPr>
          <w:cantSplit/>
        </w:trPr>
        <w:tc>
          <w:tcPr>
            <w:tcW w:type="dxa" w:w="2160"/>
          </w:tcPr>
          <w:p>
            <w:pPr>
              <w:spacing w:after="100"/>
            </w:pPr>
            <w:r>
              <w:rPr>
                <w:sz w:val="20"/>
              </w:rPr>
              <w:t>Dropdown menu</w:t>
            </w:r>
          </w:p>
        </w:tc>
        <w:tc>
          <w:tcPr>
            <w:tcW w:type="dxa" w:w="7920"/>
          </w:tcPr>
          <w:p>
            <w:pPr>
              <w:spacing w:after="100"/>
            </w:pPr>
            <w:r>
              <w:rPr>
                <w:sz w:val="20"/>
              </w:rPr>
              <w:t>Opaque theme surface, 8px corners, theme border, aligned to its trigger; selected option is visibly marked. Preserve keyboard navigation, Escape, focus return, and accessible labeling.</w:t>
            </w:r>
          </w:p>
        </w:tc>
      </w:tr>
      <w:tr>
        <w:trPr>
          <w:cantSplit/>
        </w:trPr>
        <w:tc>
          <w:tcPr>
            <w:tcW w:type="dxa" w:w="2160"/>
          </w:tcPr>
          <w:p>
            <w:pPr>
              <w:spacing w:after="100"/>
            </w:pPr>
            <w:r>
              <w:rPr>
                <w:sz w:val="20"/>
              </w:rPr>
              <w:t>Themes and states</w:t>
            </w:r>
          </w:p>
        </w:tc>
        <w:tc>
          <w:tcPr>
            <w:tcW w:type="dxa" w:w="7920"/>
          </w:tcPr>
          <w:p>
            <w:pPr>
              <w:spacing w:after="100"/>
            </w:pPr>
            <w:r>
              <w:rPr>
                <w:sz w:val="20"/>
              </w:rPr>
              <w:t>Use current semantic tokens for background, text, border, accent, hover, focus, selection, disabled, and loading. Do not replace palette values or hard-code page-specific dark/light colors.</w:t>
            </w:r>
          </w:p>
        </w:tc>
      </w:tr>
      <w:tr>
        <w:trPr>
          <w:cantSplit/>
        </w:trPr>
        <w:tc>
          <w:tcPr>
            <w:tcW w:type="dxa" w:w="2160"/>
          </w:tcPr>
          <w:p>
            <w:pPr>
              <w:spacing w:after="100"/>
            </w:pPr>
            <w:r>
              <w:rPr>
                <w:sz w:val="20"/>
              </w:rPr>
              <w:t>Layout spacing</w:t>
            </w:r>
          </w:p>
        </w:tc>
        <w:tc>
          <w:tcPr>
            <w:tcW w:type="dxa" w:w="7920"/>
          </w:tcPr>
          <w:p>
            <w:pPr>
              <w:spacing w:after="100"/>
            </w:pPr>
            <w:r>
              <w:rPr>
                <w:sz w:val="20"/>
              </w:rPr>
              <w:t>8px gap between related controls; 16px between distinct groups; 24px between content sections. Use consistent content width and side padding through shared page layout components.</w:t>
            </w:r>
          </w:p>
        </w:tc>
      </w:tr>
      <w:tr>
        <w:trPr>
          <w:cantSplit/>
        </w:trPr>
        <w:tc>
          <w:tcPr>
            <w:tcW w:type="dxa" w:w="2160"/>
          </w:tcPr>
          <w:p>
            <w:pPr>
              <w:spacing w:after="100"/>
            </w:pPr>
            <w:r>
              <w:rPr>
                <w:sz w:val="20"/>
              </w:rPr>
              <w:t>Primary action</w:t>
            </w:r>
          </w:p>
        </w:tc>
        <w:tc>
          <w:tcPr>
            <w:tcW w:type="dxa" w:w="7920"/>
          </w:tcPr>
          <w:p>
            <w:pPr>
              <w:spacing w:after="100"/>
            </w:pPr>
            <w:r>
              <w:rPr>
                <w:sz w:val="20"/>
              </w:rPr>
              <w:t>Keep the existing branded Add Item appearance and size it to the shared responsive height. Reserve its space; collapse secondary controls before it moves or clips.</w:t>
            </w:r>
          </w:p>
        </w:tc>
      </w:tr>
    </w:tbl>
    <w:p>
      <w:pPr>
        <w:pStyle w:val="Heading2"/>
      </w:pPr>
      <w:r>
        <w:t>Page headers and responsive rules</w:t>
      </w:r>
    </w:p>
    <w:p>
      <w:r>
        <w:t>Desktop header order: title and short description on the left; one primary action and Tools on the right. Local navigation sits below the header; search and filters sit below local navigation. Do not mix backup, filters, navigation, and creation in one action strip.</w:t>
      </w:r>
    </w:p>
    <w:p>
      <w:r>
        <w:t>Below 768px use a five-destination bottom bar in the approved order and compact global utilities. Add Item is a labeled persistent mobile action above the bottom bar, respecting the safe area. Hide duplicate Add Item actions on mobile when this control is present. At wider widths use the five primary destinations in the top bar. Allow the utility row to reflow at tablet widths before clipping navigation or creation controls.</w:t>
      </w:r>
    </w:p>
    <w:p>
      <w:r>
        <w:t>Retain existing page typography and imagery. Remove inconsistent per-page header and pill overrides. Use common focus, hover, selected, disabled, loading, error, and empty treatments. Keep overlays above global navigation.</w:t>
      </w:r>
    </w:p>
    <w:p>
      <w:pPr>
        <w:pStyle w:val="Heading2"/>
      </w:pPr>
      <w:r>
        <w:t>Events correction</w:t>
      </w:r>
    </w:p>
    <w:p>
      <w:r>
        <w:t>Replace the independent EventTypeSelect styling and Universe native-select styling with the same shared dropdown recipe. Both must have matching height, corners, font weight, border, arrow size, and arrow inset. Keep event type, universe, search, and Saved Events in one filter group that wraps cleanly on mobile. Preserve their behavior and option values.</w:t>
      </w:r>
    </w:p>
    <w:p>
      <w:r>
        <w:br w:type="page"/>
      </w:r>
    </w:p>
    <w:p>
      <w:pPr>
        <w:pStyle w:val="Heading1"/>
      </w:pPr>
      <w:r>
        <w:t>Vault and feature relocation instructions</w:t>
      </w:r>
    </w:p>
    <w:p>
      <w:r>
        <w:t>Vault header must contain only the title/description, Add Item, and Tools. Remove Export, Restore Vault, Wrapped, Halls, For Sale, Import, Sold, Quick Add, and the separate upload icon from the header strip. Relocate them as follows; do not delete their functionality.</w:t>
      </w:r>
    </w:p>
    <w:tbl>
      <w:tblPr>
        <w:tblW w:type="auto" w:w="0"/>
        <w:tblLayout w:type="fixed"/>
        <w:tblLook w:firstColumn="1" w:firstRow="1" w:lastColumn="0" w:lastRow="0" w:noHBand="0" w:noVBand="1" w:val="04A0"/>
      </w:tblPr>
      <w:tblGrid>
        <w:gridCol w:w="1944"/>
        <w:gridCol w:w="8136"/>
      </w:tblGrid>
      <w:tr>
        <w:trPr>
          <w:tblHeader/>
          <w:cantSplit/>
        </w:trPr>
        <w:tc>
          <w:tcPr>
            <w:tcW w:type="dxa" w:w="1944"/>
            <w:shd w:fill="E9EDF0"/>
          </w:tcPr>
          <w:p>
            <w:pPr>
              <w:spacing w:after="100"/>
            </w:pPr>
            <w:r>
              <w:rPr>
                <w:b/>
                <w:sz w:val="20"/>
              </w:rPr>
              <w:t>Existing feature</w:t>
            </w:r>
          </w:p>
        </w:tc>
        <w:tc>
          <w:tcPr>
            <w:tcW w:type="dxa" w:w="8136"/>
            <w:shd w:fill="E9EDF0"/>
          </w:tcPr>
          <w:p>
            <w:pPr>
              <w:spacing w:after="100"/>
            </w:pPr>
            <w:r>
              <w:rPr>
                <w:b/>
                <w:sz w:val="20"/>
              </w:rPr>
              <w:t>Required destination</w:t>
            </w:r>
          </w:p>
        </w:tc>
      </w:tr>
      <w:tr>
        <w:trPr>
          <w:cantSplit/>
        </w:trPr>
        <w:tc>
          <w:tcPr>
            <w:tcW w:type="dxa" w:w="1944"/>
          </w:tcPr>
          <w:p>
            <w:pPr>
              <w:spacing w:after="100"/>
            </w:pPr>
            <w:r>
              <w:rPr>
                <w:sz w:val="20"/>
              </w:rPr>
              <w:t>For Sale and Sold</w:t>
            </w:r>
          </w:p>
        </w:tc>
        <w:tc>
          <w:tcPr>
            <w:tcW w:type="dxa" w:w="8136"/>
          </w:tcPr>
          <w:p>
            <w:pPr>
              <w:spacing w:after="100"/>
            </w:pPr>
            <w:r>
              <w:rPr>
                <w:sz w:val="20"/>
              </w:rPr>
              <w:t>Local navigation immediately below the Vault header: Items /vault, For Sale /vault/for-sale, Sold /vault/sold.</w:t>
            </w:r>
          </w:p>
        </w:tc>
      </w:tr>
      <w:tr>
        <w:trPr>
          <w:cantSplit/>
        </w:trPr>
        <w:tc>
          <w:tcPr>
            <w:tcW w:type="dxa" w:w="1944"/>
          </w:tcPr>
          <w:p>
            <w:pPr>
              <w:spacing w:after="100"/>
            </w:pPr>
            <w:r>
              <w:rPr>
                <w:sz w:val="20"/>
              </w:rPr>
              <w:t>Insights and Goals</w:t>
            </w:r>
          </w:p>
        </w:tc>
        <w:tc>
          <w:tcPr>
            <w:tcW w:type="dxa" w:w="8136"/>
          </w:tcPr>
          <w:p>
            <w:pPr>
              <w:spacing w:after="100"/>
            </w:pPr>
            <w:r>
              <w:rPr>
                <w:sz w:val="20"/>
              </w:rPr>
              <w:t>Vault local tools link to Insights /portfolio and Goals /goals. Home collection summary also links directly to Insights.</w:t>
            </w:r>
          </w:p>
        </w:tc>
      </w:tr>
      <w:tr>
        <w:trPr>
          <w:cantSplit/>
        </w:trPr>
        <w:tc>
          <w:tcPr>
            <w:tcW w:type="dxa" w:w="1944"/>
          </w:tcPr>
          <w:p>
            <w:pPr>
              <w:spacing w:after="100"/>
            </w:pPr>
            <w:r>
              <w:rPr>
                <w:sz w:val="20"/>
              </w:rPr>
              <w:t>Import and Export</w:t>
            </w:r>
          </w:p>
        </w:tc>
        <w:tc>
          <w:tcPr>
            <w:tcW w:type="dxa" w:w="8136"/>
          </w:tcPr>
          <w:p>
            <w:pPr>
              <w:spacing w:after="100"/>
            </w:pPr>
            <w:r>
              <w:rPr>
                <w:sz w:val="20"/>
              </w:rPr>
              <w:t>Vault Tools menu: Import /vault/import and Export records using the existing export workflow.</w:t>
            </w:r>
          </w:p>
        </w:tc>
      </w:tr>
      <w:tr>
        <w:trPr>
          <w:cantSplit/>
        </w:trPr>
        <w:tc>
          <w:tcPr>
            <w:tcW w:type="dxa" w:w="1944"/>
          </w:tcPr>
          <w:p>
            <w:pPr>
              <w:spacing w:after="100"/>
            </w:pPr>
            <w:r>
              <w:rPr>
                <w:sz w:val="20"/>
              </w:rPr>
              <w:t>Restore and backup</w:t>
            </w:r>
          </w:p>
        </w:tc>
        <w:tc>
          <w:tcPr>
            <w:tcW w:type="dxa" w:w="8136"/>
          </w:tcPr>
          <w:p>
            <w:pPr>
              <w:spacing w:after="100"/>
            </w:pPr>
            <w:r>
              <w:rPr>
                <w:sz w:val="20"/>
              </w:rPr>
              <w:t>Settings Data and maintenance only. Remove Restore from everyday navigation. Before reconnecting it there, verify active-profile scope, backup validity and sync effects; if unsafe or unverified, keep recovery unavailable with an honest explanation.</w:t>
            </w:r>
          </w:p>
        </w:tc>
      </w:tr>
      <w:tr>
        <w:trPr>
          <w:cantSplit/>
        </w:trPr>
        <w:tc>
          <w:tcPr>
            <w:tcW w:type="dxa" w:w="1944"/>
          </w:tcPr>
          <w:p>
            <w:pPr>
              <w:spacing w:after="100"/>
            </w:pPr>
            <w:r>
              <w:rPr>
                <w:sz w:val="20"/>
              </w:rPr>
              <w:t>Quick Add and uploads</w:t>
            </w:r>
          </w:p>
        </w:tc>
        <w:tc>
          <w:tcPr>
            <w:tcW w:type="dxa" w:w="8136"/>
          </w:tcPr>
          <w:p>
            <w:pPr>
              <w:spacing w:after="100"/>
            </w:pPr>
            <w:r>
              <w:rPr>
                <w:sz w:val="20"/>
              </w:rPr>
              <w:t>Add Item options: Scan /capture; Quick Add /vault/quick; Manual entry /vault/add; Upload photos for one item /capture?openUpload=1; Batch upload /vault/bulk. Use these labels, not an unexplained upload icon.</w:t>
            </w:r>
          </w:p>
        </w:tc>
      </w:tr>
      <w:tr>
        <w:trPr>
          <w:cantSplit/>
        </w:trPr>
        <w:tc>
          <w:tcPr>
            <w:tcW w:type="dxa" w:w="1944"/>
          </w:tcPr>
          <w:p>
            <w:pPr>
              <w:spacing w:after="100"/>
            </w:pPr>
            <w:r>
              <w:rPr>
                <w:sz w:val="20"/>
              </w:rPr>
              <w:t>Wrapped</w:t>
            </w:r>
          </w:p>
        </w:tc>
        <w:tc>
          <w:tcPr>
            <w:tcW w:type="dxa" w:w="8136"/>
          </w:tcPr>
          <w:p>
            <w:pPr>
              <w:spacing w:after="100"/>
            </w:pPr>
            <w:r>
              <w:rPr>
                <w:sz w:val="20"/>
              </w:rPr>
              <w:t>Rename visible entry to Collection recap. Place in /portfolio under a Collection tools menu; retain existing sheet. Remove it from Vault’s header. It may be shared through its existing sharing workflow.</w:t>
            </w:r>
          </w:p>
        </w:tc>
      </w:tr>
      <w:tr>
        <w:trPr>
          <w:cantSplit/>
        </w:trPr>
        <w:tc>
          <w:tcPr>
            <w:tcW w:type="dxa" w:w="1944"/>
          </w:tcPr>
          <w:p>
            <w:pPr>
              <w:spacing w:after="100"/>
            </w:pPr>
            <w:r>
              <w:rPr>
                <w:sz w:val="20"/>
              </w:rPr>
              <w:t>Halls</w:t>
            </w:r>
          </w:p>
        </w:tc>
        <w:tc>
          <w:tcPr>
            <w:tcW w:type="dxa" w:w="8136"/>
          </w:tcPr>
          <w:p>
            <w:pPr>
              <w:spacing w:after="100"/>
            </w:pPr>
            <w:r>
              <w:rPr>
                <w:sz w:val="20"/>
              </w:rPr>
              <w:t>Rename visible entry to Build exhibition from search. Put it in Exhibitions Tools, linking to existing /vault/halls. Preserve OR search, universe/category filters, selection, saved exhibition creation, and existing links. Keep the route; do not confuse this with 3D rooms.</w:t>
            </w:r>
          </w:p>
        </w:tc>
      </w:tr>
    </w:tbl>
    <w:p>
      <w:pPr>
        <w:pStyle w:val="Heading2"/>
      </w:pPr>
      <w:r>
        <w:t>Account menu and Settings destinations</w:t>
      </w:r>
    </w:p>
    <w:p>
      <w:r>
        <w:t>Account menu order: identity and collector level/progress; existing personal/business profile switcher; Settings; Appearance shortcut; Invite Friends /account/invite; Admin only for authorized roles; Sign out. Remove the full theme/icon/logo pickers from this menu; put them in Preferences. Preserve their choices and persistence.</w:t>
      </w:r>
    </w:p>
    <w:p>
      <w:r>
        <w:t>Use these destinations. Profile: /account. Preferences: /account?section=preferences. Privacy and security: /account/security. Billing: /account/billing, with Contact information linking to /account?section=contact. Workspace and team: existing /account/workspace, /account/team, /account/roles. Data and maintenance: /account?section=data. Make query sections actual focused views with direct links, not scroll anchors into the original long page.</w:t>
      </w:r>
    </w:p>
    <w:p>
      <w:r>
        <w:t>Profile contains name, handle, bio, avatar, social links and collection interests. Preferences contains themes, dark/light, icons, logo, universes displayed, and notifications. Keep collection interests distinct from universe display filters. Move age verification and visibility into security/privacy. Contact stays private. Maintenance contains backup, recovery, sync/review, image repair, and local cache controls. Move Watchlist out of Account to Discover.</w:t>
      </w:r>
    </w:p>
    <w:p>
      <w:r>
        <w:br w:type="page"/>
      </w:r>
    </w:p>
    <w:p>
      <w:pPr>
        <w:pStyle w:val="Heading1"/>
      </w:pPr>
      <w:r>
        <w:t>Home Lounge and restricted features</w:t>
      </w:r>
    </w:p>
    <w:p>
      <w:pPr>
        <w:pStyle w:val="Heading2"/>
      </w:pPr>
      <w:r>
        <w:t>Home exact content order</w:t>
      </w:r>
    </w:p>
    <w:p>
      <w:pPr>
        <w:pStyle w:val="ListBullet"/>
      </w:pPr>
      <w:r>
        <w:t>Collection summary with item count, value and truthful valuation basis, direct Insights link, and desktop Add Item. Show action-required notices immediately below this summary only when present.</w:t>
      </w:r>
    </w:p>
    <w:p>
      <w:pPr>
        <w:pStyle w:val="ListBullet"/>
      </w:pPr>
      <w:r>
        <w:t>Recently added: up to six real items on desktop and a short horizontal row on mobile; View Vault links to /vault.</w:t>
      </w:r>
    </w:p>
    <w:p>
      <w:pPr>
        <w:pStyle w:val="ListBullet"/>
      </w:pPr>
      <w:r>
        <w:t>Your exhibitions: one compact preview, View all /museum, and Create exhibition /museum/new. Remove the duplicate featured/active presentation.</w:t>
      </w:r>
    </w:p>
    <w:p>
      <w:pPr>
        <w:pStyle w:val="ListBullet"/>
      </w:pPr>
      <w:r>
        <w:t>From the Lounge: up to three existing community posts ordered by recent activity, author, relative time, and a short excerpt. Reuse existing community data access and publication rules. Each entry links to the existing post/thread behavior; Open Lounge links to /community-board. If comment activity is unavailable, order by post time and label it Recent posts.</w:t>
      </w:r>
    </w:p>
    <w:p>
      <w:pPr>
        <w:pStyle w:val="ListBullet"/>
      </w:pPr>
      <w:r>
        <w:t>Learning preview: one existing Learn article if the current content has a stable link; otherwise show a Learn link to /learn. Do not invent a feed, event, article, metric, or engagement score.</w:t>
      </w:r>
    </w:p>
    <w:p>
      <w:r>
        <w:t>Remove Home bio/social editing and the full curator strength, top-performer, and value-history blocks. Their data belongs in Profile or Insights. Keep a direct Activity /activity link with the collection summary; use current collection activity only, separate from Lounge’s social preview.</w:t>
      </w:r>
    </w:p>
    <w:p>
      <w:pPr>
        <w:pStyle w:val="Heading2"/>
      </w:pPr>
      <w:r>
        <w:t>Lounge structure</w:t>
      </w:r>
    </w:p>
    <w:p>
      <w:r>
        <w:t>Keep Lounge in primary navigation. Add visible Community and Learn local navigation to /community-board and /learn, respectively. Keep this same local navigation on Learn. Preserve the existing social interface and educational content during the first migration. Do not nest Learn under Help or bury Lounge in More.</w:t>
      </w:r>
    </w:p>
    <w:p>
      <w:pPr>
        <w:pStyle w:val="Heading2"/>
      </w:pPr>
      <w:r>
        <w:t>Access instructions</w:t>
      </w:r>
    </w:p>
    <w:p>
      <w:pPr>
        <w:pStyle w:val="ListBullet"/>
      </w:pPr>
      <w:r>
        <w:t>Ordinary Exhibitions remain available under existing permissions. Do not gate all /museum routes merely because they share that path prefix.</w:t>
      </w:r>
    </w:p>
    <w:p>
      <w:pPr>
        <w:pStyle w:val="ListBullet"/>
      </w:pPr>
      <w:r>
        <w:t>3D Gallery remains invite-only and explicitly approved by the owner using the existing approval flag. Retain request and pending states, but they cannot enable access. Approved users see Open 3D Gallery; unapproved users may see the existing request-access entry only within Exhibitions. Enforce the restriction for direct builder URLs and protected operations, not only the button.</w:t>
      </w:r>
    </w:p>
    <w:p>
      <w:pPr>
        <w:pStyle w:val="ListBullet"/>
      </w:pPr>
      <w:r>
        <w:t>Museum is Alpha and owner-only. Hide VLTD Museum, Museum Builder, campus/map links, search/command entries, and related navigation from every other account, including non-owner admins. Enforce owner-only access on the direct routes and relevant data operations. Label owner-facing controls Museum Alpha and Museum Builder Alpha. Preserve MFA.</w:t>
      </w:r>
    </w:p>
    <w:p>
      <w:r>
        <w:t>Correct the known source mismatch now: museum/page.tsx exposes VLTD Museum without the owner condition; VltdMuseumAdminGate.tsx accepts any admin; VirtualGalleryRoom.tsx sets museum map access from role !== null. Use the existing owner-role check consistently, including aliases and entry points. MuseumBuilderOwnerGate already uses role === owner. Verify the latest source before patching; if already fixed, test and report it rather than duplicating the change.</w:t>
      </w:r>
    </w:p>
    <w:p>
      <w:r>
        <w:br w:type="page"/>
      </w:r>
    </w:p>
    <w:p>
      <w:pPr>
        <w:pStyle w:val="Heading1"/>
      </w:pPr>
      <w:r>
        <w:t>Work order and completion criteria</w:t>
      </w:r>
    </w:p>
    <w:tbl>
      <w:tblPr>
        <w:tblW w:type="auto" w:w="0"/>
        <w:tblLayout w:type="fixed"/>
        <w:tblLook w:firstColumn="1" w:firstRow="1" w:lastColumn="0" w:lastRow="0" w:noHBand="0" w:noVBand="1" w:val="04A0"/>
      </w:tblPr>
      <w:tblGrid>
        <w:gridCol w:w="1800"/>
        <w:gridCol w:w="8280"/>
      </w:tblGrid>
      <w:tr>
        <w:trPr>
          <w:tblHeader/>
          <w:cantSplit/>
        </w:trPr>
        <w:tc>
          <w:tcPr>
            <w:tcW w:type="dxa" w:w="1800"/>
            <w:shd w:fill="E9EDF0"/>
          </w:tcPr>
          <w:p>
            <w:pPr>
              <w:spacing w:after="100"/>
            </w:pPr>
            <w:r>
              <w:rPr>
                <w:b/>
                <w:sz w:val="20"/>
              </w:rPr>
              <w:t>Batch</w:t>
            </w:r>
          </w:p>
        </w:tc>
        <w:tc>
          <w:tcPr>
            <w:tcW w:type="dxa" w:w="8280"/>
            <w:shd w:fill="E9EDF0"/>
          </w:tcPr>
          <w:p>
            <w:pPr>
              <w:spacing w:after="100"/>
            </w:pPr>
            <w:r>
              <w:rPr>
                <w:b/>
                <w:sz w:val="20"/>
              </w:rPr>
              <w:t>Implement and deliver</w:t>
            </w:r>
          </w:p>
        </w:tc>
      </w:tr>
      <w:tr>
        <w:trPr>
          <w:cantSplit/>
        </w:trPr>
        <w:tc>
          <w:tcPr>
            <w:tcW w:type="dxa" w:w="1800"/>
          </w:tcPr>
          <w:p>
            <w:pPr>
              <w:spacing w:after="100"/>
            </w:pPr>
            <w:r>
              <w:rPr>
                <w:sz w:val="20"/>
              </w:rPr>
              <w:t>1 Foundation</w:t>
            </w:r>
          </w:p>
        </w:tc>
        <w:tc>
          <w:tcPr>
            <w:tcW w:type="dxa" w:w="8280"/>
          </w:tcPr>
          <w:p>
            <w:pPr>
              <w:spacing w:after="100"/>
            </w:pPr>
            <w:r>
              <w:rPr>
                <w:sz w:val="20"/>
              </w:rPr>
              <w:t>Enforce owner-only Museum and approved-only 3D access. Implement shared pill/dropdown/header rules. Migrate Events filters and Vault toolbar, Add Item options, export/restore placement, and local navigation. Publish the first production result.</w:t>
            </w:r>
          </w:p>
        </w:tc>
      </w:tr>
      <w:tr>
        <w:trPr>
          <w:cantSplit/>
        </w:trPr>
        <w:tc>
          <w:tcPr>
            <w:tcW w:type="dxa" w:w="1800"/>
          </w:tcPr>
          <w:p>
            <w:pPr>
              <w:spacing w:after="100"/>
            </w:pPr>
            <w:r>
              <w:rPr>
                <w:sz w:val="20"/>
              </w:rPr>
              <w:t>2 Navigation</w:t>
            </w:r>
          </w:p>
        </w:tc>
        <w:tc>
          <w:tcPr>
            <w:tcW w:type="dxa" w:w="8280"/>
          </w:tcPr>
          <w:p>
            <w:pPr>
              <w:spacing w:after="100"/>
            </w:pPr>
            <w:r>
              <w:rPr>
                <w:sz w:val="20"/>
              </w:rPr>
              <w:t>Implement five primary destinations; remove More/Command Center; move Guide to Help. Add Lounge/Learn navigation, Discover feature links, account menu simplification, and focused Settings categories. Redirect /more to /dashboard.</w:t>
            </w:r>
          </w:p>
        </w:tc>
      </w:tr>
      <w:tr>
        <w:trPr>
          <w:cantSplit/>
        </w:trPr>
        <w:tc>
          <w:tcPr>
            <w:tcW w:type="dxa" w:w="1800"/>
          </w:tcPr>
          <w:p>
            <w:pPr>
              <w:spacing w:after="100"/>
            </w:pPr>
            <w:r>
              <w:rPr>
                <w:sz w:val="20"/>
              </w:rPr>
              <w:t>3 Home and features</w:t>
            </w:r>
          </w:p>
        </w:tc>
        <w:tc>
          <w:tcPr>
            <w:tcW w:type="dxa" w:w="8280"/>
          </w:tcPr>
          <w:p>
            <w:pPr>
              <w:spacing w:after="100"/>
            </w:pPr>
            <w:r>
              <w:rPr>
                <w:sz w:val="20"/>
              </w:rPr>
              <w:t>Implement Home’s fixed order and real Lounge/learning preview. Relocate and rename Halls and Wrapped. Reconcile recap inclusion rules, active profile, and valuation with the shared collection calculation before enabling verified sharing.</w:t>
            </w:r>
          </w:p>
        </w:tc>
      </w:tr>
      <w:tr>
        <w:trPr>
          <w:cantSplit/>
        </w:trPr>
        <w:tc>
          <w:tcPr>
            <w:tcW w:type="dxa" w:w="1800"/>
          </w:tcPr>
          <w:p>
            <w:pPr>
              <w:spacing w:after="100"/>
            </w:pPr>
            <w:r>
              <w:rPr>
                <w:sz w:val="20"/>
              </w:rPr>
              <w:t>4 App wide consistency</w:t>
            </w:r>
          </w:p>
        </w:tc>
        <w:tc>
          <w:tcPr>
            <w:tcW w:type="dxa" w:w="8280"/>
          </w:tcPr>
          <w:p>
            <w:pPr>
              <w:spacing w:after="100"/>
            </w:pPr>
            <w:r>
              <w:rPr>
                <w:sz w:val="20"/>
              </w:rPr>
              <w:t>Migrate headers, controls, menus, sheets, filters and states on all remaining main pages and account subpages. Search for hand-built overrides and migrate affected routes. Preserve behavior. Complete production acceptance.</w:t>
            </w:r>
          </w:p>
        </w:tc>
      </w:tr>
    </w:tbl>
    <w:p>
      <w:pPr>
        <w:pStyle w:val="Heading2"/>
      </w:pPr>
      <w:r>
        <w:t>Definition of done for every batch</w:t>
      </w:r>
    </w:p>
    <w:p>
      <w:pPr>
        <w:pStyle w:val="ListBullet"/>
      </w:pPr>
      <w:r>
        <w:t>Functional changes are live on the production alias. Return batch number, commit SHA, deployment URL/identifier, changed routes, tests, and known gaps. A source change, local build, screenshot, or push alone is not completion.</w:t>
      </w:r>
    </w:p>
    <w:p>
      <w:pPr>
        <w:pStyle w:val="ListBullet"/>
      </w:pPr>
      <w:r>
        <w:t>At representative 390px mobile and desktop widths, primary actions remain visible, pills align, dropdown arrows match, labels are legible, and pages do not overflow horizontally. Menus open above navigation and close normally with focus return.</w:t>
      </w:r>
    </w:p>
    <w:p>
      <w:pPr>
        <w:pStyle w:val="ListBullet"/>
      </w:pPr>
      <w:r>
        <w:t>Graphite, Gunmetal and Titanium work in dark and light mode; preserve Classic/Simple Glass icons and existing logo choices. Test selected, hover, disabled, loading and error states on affected shared controls.</w:t>
      </w:r>
    </w:p>
    <w:p>
      <w:pPr>
        <w:pStyle w:val="ListBullet"/>
      </w:pPr>
      <w:r>
        <w:t>Verify owner, non-owner admin, approved 3D user, unapproved user, and signed-out states using approved test sessions. Check both UI visibility and direct URLs/authorization. Unavailable test accounts or backend checks are Not verified, not Passed.</w:t>
      </w:r>
    </w:p>
    <w:p>
      <w:pPr>
        <w:pStyle w:val="ListBullet"/>
      </w:pPr>
      <w:r>
        <w:t>Run appropriate type, lint, build and meaningful behavior checks. Check production requests and console errors. Preserve cloud hydration and avoid false empty data or cross-profile results.</w:t>
      </w:r>
    </w:p>
    <w:p>
      <w:pPr>
        <w:pStyle w:val="Heading2"/>
      </w:pPr>
      <w:r>
        <w:t>Known functional evidence</w:t>
      </w:r>
    </w:p>
    <w:p>
      <w:r>
        <w:t>Wrapped opened in the 11 October production review, but displayed 1,484 items/about $115K versus Vault’s 1,477/$113,692. Generation/download/share were not tested. Halls opened and listed saved exhibitions; search/save/auto-tag were not tested. Restore overwrites locally stored vault JSON from vltd_vault_backup. Do not claim these are verified based on their labels or because the entry opens.</w:t>
      </w:r>
    </w:p>
    <w:p>
      <w:pPr>
        <w:pStyle w:val="Heading2"/>
      </w:pPr>
      <w:r>
        <w:t>Verification loop and questions</w:t>
      </w:r>
    </w:p>
    <w:p>
      <w:r>
        <w:t>The owner passes this document to the coder. The coder implements and reports a production batch. The owner says it has been pushed and relays the result. The designer checks that deployment against the criteria, returns one list with Passed, Failed, or Not verified, and writes exact corrections. Fold new feedback into this same document. Keep inventory notes brief and internal; they do not replace implementation.</w:t>
      </w:r>
    </w:p>
    <w:p>
      <w:r>
        <w:t>Ask only about genuine blockers or material changes outside this scope. Do not ask where the listed features belong, whether to start Batch 1, whether to keep the existing themes, or whether ordinary button inconsistencies should be fixed. If a referenced route differs in current source, use the existing equivalent and report that substitution.</w:t>
      </w:r>
    </w:p>
    <w:p>
      <w:pPr>
        <w:pStyle w:val="Heading2"/>
      </w:pPr>
      <w:r>
        <w:t>Relevant source files</w:t>
      </w:r>
    </w:p>
    <w:p>
      <w:r>
        <w:t>TopNav.tsx, BottomNav.tsx, layout/PageHeader.tsx, ui/PillButton.tsx, ui/PillSelect.tsx, ui/DropdownPill.tsx, HomeClient.tsx, more/page.tsx, account/page.tsx and subroutes, vault/VaultListView.tsx, events/page.tsx, museum/page.tsx, discover/page.tsx, community-board/page.tsx, learn/page.tsx, portfolio, VaultWrappedSheet.tsx, vault/halls/page.tsx, RestoreVaultButton.tsx, museumBeta.ts and the Museum/3D authorization gates. Paths are relative to src; inspect additional callers of changed shared components.</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VLTD UI consolidation   |   11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VLTD UI Implementation Instructions</dc:title>
  <dc:subject>Revision 2 direct implementation and production acceptance</dc:subject>
  <dc:creator>VLTD product design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