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spacing w:line="240" w:lineRule="auto"/>
        <w:ind w:firstLine="72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МИНОБРНАУКИ РОССИИ</w:t>
      </w:r>
    </w:p>
    <w:p>
      <w:pPr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spacing w:line="240" w:lineRule="auto"/>
        <w:ind w:firstLine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федеральное государственное бюджетное образовательное учреждение </w:t>
        <w:br/>
        <w:t xml:space="preserve">высшего образования</w:t>
      </w:r>
    </w:p>
    <w:p>
      <w:pPr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spacing w:line="240" w:lineRule="auto"/>
        <w:ind w:firstLine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«ИВАНОВСКИЙ ГОСУДАРСТВЕННЫЙ ЭНЕРГЕТИЧЕСКИЙ УНИВЕРСИТЕТ </w:t>
      </w:r>
      <w:r>
        <w:rPr>
          <w:smallCaps/>
          <w:color w:val="000000"/>
          <w:sz w:val="28"/>
          <w:szCs w:val="28"/>
        </w:rPr>
        <w:t xml:space="preserve">ИМЕНИ В.И. ЛЕНИНА</w:t>
      </w:r>
      <w:r>
        <w:rPr>
          <w:color w:val="000000"/>
          <w:sz w:val="28"/>
          <w:szCs w:val="28"/>
        </w:rPr>
        <w:t xml:space="preserve">»</w:t>
      </w:r>
    </w:p>
    <w:p>
      <w:pPr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spacing w:line="240" w:lineRule="auto"/>
        <w:ind w:firstLine="0"/>
        <w:jc w:val="center"/>
        <w:rPr>
          <w:color w:val="000000"/>
          <w:sz w:val="28"/>
          <w:szCs w:val="28"/>
        </w:rPr>
      </w:pPr>
    </w:p>
    <w:p>
      <w:pPr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spacing w:line="240" w:lineRule="auto"/>
        <w:ind w:firstLine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Кафедра программного обеспечения компьютерных систем</w:t>
      </w:r>
    </w:p>
    <w:p>
      <w:pPr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spacing w:line="240" w:lineRule="auto"/>
        <w:ind w:firstLine="0"/>
        <w:jc w:val="center"/>
        <w:rPr>
          <w:color w:val="000000"/>
          <w:sz w:val="28"/>
          <w:szCs w:val="28"/>
        </w:rPr>
      </w:pPr>
    </w:p>
    <w:p>
      <w:pPr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spacing w:line="240" w:lineRule="auto"/>
        <w:ind w:firstLine="0"/>
        <w:jc w:val="center"/>
        <w:rPr>
          <w:color w:val="000000"/>
          <w:sz w:val="28"/>
          <w:szCs w:val="28"/>
        </w:rPr>
      </w:pPr>
    </w:p>
    <w:p>
      <w:pPr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spacing w:line="240" w:lineRule="auto"/>
        <w:ind w:firstLine="0"/>
        <w:jc w:val="center"/>
        <w:rPr>
          <w:color w:val="000000"/>
          <w:sz w:val="28"/>
          <w:szCs w:val="28"/>
        </w:rPr>
      </w:pPr>
    </w:p>
    <w:p>
      <w:pPr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spacing w:line="240" w:lineRule="auto"/>
        <w:ind w:firstLine="0"/>
        <w:jc w:val="center"/>
        <w:rPr>
          <w:color w:val="000000"/>
          <w:sz w:val="28"/>
          <w:szCs w:val="28"/>
        </w:rPr>
      </w:pPr>
    </w:p>
    <w:p>
      <w:pPr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spacing w:line="240" w:lineRule="auto"/>
        <w:ind w:firstLine="0"/>
        <w:jc w:val="center"/>
        <w:rPr>
          <w:color w:val="000000"/>
          <w:sz w:val="28"/>
          <w:szCs w:val="28"/>
        </w:rPr>
      </w:pPr>
    </w:p>
    <w:p>
      <w:pPr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spacing w:line="240" w:lineRule="auto"/>
        <w:ind w:firstLine="0"/>
        <w:jc w:val="center"/>
        <w:rPr>
          <w:color w:val="000000"/>
          <w:sz w:val="28"/>
          <w:szCs w:val="28"/>
        </w:rPr>
      </w:pPr>
    </w:p>
    <w:p>
      <w:pPr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spacing w:line="240" w:lineRule="auto"/>
        <w:ind w:firstLine="0"/>
        <w:jc w:val="center"/>
        <w:rPr>
          <w:color w:val="000000"/>
          <w:sz w:val="28"/>
          <w:szCs w:val="28"/>
        </w:rPr>
      </w:pPr>
    </w:p>
    <w:p>
      <w:pPr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spacing w:line="240" w:lineRule="auto"/>
        <w:ind w:firstLine="0"/>
        <w:jc w:val="center"/>
        <w:rPr>
          <w:color w:val="000000"/>
          <w:sz w:val="28"/>
          <w:szCs w:val="28"/>
        </w:rPr>
      </w:pPr>
    </w:p>
    <w:p>
      <w:pPr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spacing w:line="240" w:lineRule="auto"/>
        <w:ind w:firstLine="0"/>
        <w:jc w:val="center"/>
        <w:rPr>
          <w:color w:val="000000"/>
          <w:sz w:val="28"/>
          <w:szCs w:val="28"/>
        </w:rPr>
      </w:pPr>
    </w:p>
    <w:p>
      <w:pPr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spacing w:line="240" w:lineRule="auto"/>
        <w:ind w:firstLine="0"/>
        <w:jc w:val="center"/>
        <w:rPr>
          <w:color w:val="000000"/>
          <w:sz w:val="28"/>
          <w:szCs w:val="28"/>
        </w:rPr>
      </w:pPr>
    </w:p>
    <w:p>
      <w:pPr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spacing w:line="240" w:lineRule="auto"/>
        <w:ind w:firstLine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ОТЧЕТ</w:t>
      </w:r>
    </w:p>
    <w:p>
      <w:pPr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spacing w:line="240" w:lineRule="auto"/>
        <w:ind w:firstLine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 ЛАБОРАТОРНЫМ РАБОТАМ</w:t>
      </w:r>
    </w:p>
    <w:p>
      <w:pPr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spacing w:line="240" w:lineRule="auto"/>
        <w:ind w:firstLine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 КУРСУ</w:t>
      </w:r>
    </w:p>
    <w:p>
      <w:pPr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spacing w:line="240" w:lineRule="auto"/>
        <w:ind w:firstLine="0"/>
        <w:jc w:val="center"/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«</w:t>
      </w:r>
      <w:r>
        <w:rPr>
          <w:color w:val="000000"/>
          <w:sz w:val="28"/>
          <w:szCs w:val="28"/>
        </w:rPr>
        <w:t xml:space="preserve">УПРАВЛЕНИЕ ЖИЗНЕННЫМ ЦИКЛОМ ПО»</w:t>
      </w:r>
    </w:p>
    <w:p>
      <w:pPr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spacing w:line="240" w:lineRule="auto"/>
        <w:ind w:firstLine="0"/>
        <w:jc w:val="center"/>
        <w:rPr>
          <w:color w:val="000000"/>
          <w:sz w:val="28"/>
          <w:szCs w:val="28"/>
        </w:rPr>
      </w:pPr>
    </w:p>
    <w:p>
      <w:pPr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spacing w:line="240" w:lineRule="auto"/>
        <w:ind w:firstLine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 xml:space="preserve">ИИ-АНАЛИТИК ДЛЯ ПРОВЕРКИ ЮРИДИЧЕСКИХ ДОКУМЕНТОВ НА РИСКИ И ПРОТИВОРЕЧИЯ </w:t>
      </w:r>
    </w:p>
    <w:p>
      <w:pPr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spacing w:line="240" w:lineRule="auto"/>
        <w:ind w:firstLine="0"/>
        <w:jc w:val="center"/>
        <w:rPr>
          <w:color w:val="000000"/>
          <w:sz w:val="28"/>
          <w:szCs w:val="28"/>
        </w:rPr>
      </w:pPr>
    </w:p>
    <w:p>
      <w:pPr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spacing w:line="240" w:lineRule="auto"/>
        <w:ind w:firstLine="0"/>
        <w:jc w:val="center"/>
        <w:rPr>
          <w:color w:val="000000"/>
          <w:sz w:val="28"/>
          <w:szCs w:val="28"/>
        </w:rPr>
      </w:pPr>
    </w:p>
    <w:p>
      <w:pPr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spacing w:line="240" w:lineRule="auto"/>
        <w:ind w:firstLine="0"/>
        <w:jc w:val="center"/>
        <w:rPr>
          <w:color w:val="000000"/>
          <w:sz w:val="28"/>
          <w:szCs w:val="28"/>
        </w:rPr>
      </w:pPr>
    </w:p>
    <w:p>
      <w:pPr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spacing w:line="240" w:lineRule="auto"/>
        <w:ind w:firstLine="0"/>
        <w:jc w:val="center"/>
        <w:rPr>
          <w:color w:val="000000"/>
          <w:sz w:val="28"/>
          <w:szCs w:val="28"/>
        </w:rPr>
      </w:pPr>
    </w:p>
    <w:p>
      <w:pPr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spacing w:line="240" w:lineRule="auto"/>
        <w:ind w:firstLine="0"/>
        <w:jc w:val="center"/>
        <w:rPr>
          <w:color w:val="000000"/>
          <w:sz w:val="28"/>
          <w:szCs w:val="28"/>
        </w:rPr>
      </w:pPr>
    </w:p>
    <w:p>
      <w:pPr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spacing w:line="240" w:lineRule="auto"/>
        <w:ind w:firstLine="0"/>
        <w:jc w:val="center"/>
        <w:rPr>
          <w:color w:val="000000"/>
          <w:sz w:val="28"/>
          <w:szCs w:val="28"/>
        </w:rPr>
      </w:pPr>
    </w:p>
    <w:p>
      <w:pPr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spacing w:line="240" w:lineRule="auto"/>
        <w:ind w:firstLine="0"/>
        <w:jc w:val="left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 xml:space="preserve">Выполнил студент группы 1-41м</w:t>
        <w:tab/>
      </w:r>
      <w:r>
        <w:rPr>
          <w:color w:val="000000"/>
          <w:sz w:val="28"/>
          <w:szCs w:val="28"/>
          <w:u w:val="single"/>
        </w:rPr>
        <w:tab/>
        <w:tab/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  <w:lang w:val="ru-RU"/>
        </w:rPr>
        <w:t xml:space="preserve">К.А. Федоров</w:t>
      </w:r>
    </w:p>
    <w:p>
      <w:pPr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spacing w:line="240" w:lineRule="auto"/>
        <w:ind w:firstLine="0"/>
        <w:jc w:val="center"/>
        <w:rPr>
          <w:color w:val="000000"/>
        </w:rPr>
      </w:pPr>
      <w:r>
        <w:rPr>
          <w:color w:val="000000"/>
        </w:rPr>
        <w:tab/>
        <w:tab/>
        <w:tab/>
        <w:t xml:space="preserve">подпись, дата</w:t>
      </w:r>
    </w:p>
    <w:p>
      <w:pPr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spacing w:line="240" w:lineRule="auto"/>
        <w:ind w:firstLine="0"/>
        <w:jc w:val="center"/>
        <w:rPr>
          <w:color w:val="000000"/>
          <w:sz w:val="28"/>
          <w:szCs w:val="28"/>
        </w:rPr>
      </w:pPr>
    </w:p>
    <w:p>
      <w:pPr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spacing w:line="240" w:lineRule="auto"/>
        <w:ind w:firstLine="0"/>
        <w:jc w:val="center"/>
        <w:rPr>
          <w:color w:val="000000"/>
          <w:sz w:val="28"/>
          <w:szCs w:val="28"/>
        </w:rPr>
      </w:pPr>
    </w:p>
    <w:p>
      <w:pPr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spacing w:line="240" w:lineRule="auto"/>
        <w:ind w:firstLine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Проверил доц. канд. техн. наук</w:t>
        <w:tab/>
      </w:r>
      <w:r>
        <w:rPr>
          <w:color w:val="000000"/>
          <w:sz w:val="28"/>
          <w:szCs w:val="28"/>
          <w:u w:val="single"/>
        </w:rPr>
        <w:tab/>
        <w:tab/>
        <w:tab/>
        <w:tab/>
      </w:r>
      <w:r>
        <w:rPr>
          <w:color w:val="000000"/>
          <w:sz w:val="28"/>
          <w:szCs w:val="28"/>
        </w:rPr>
        <w:tab/>
        <w:t xml:space="preserve">А.М. Садыков</w:t>
      </w:r>
    </w:p>
    <w:p>
      <w:pPr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spacing w:line="240" w:lineRule="auto"/>
        <w:ind w:firstLine="0"/>
        <w:jc w:val="center"/>
        <w:rPr>
          <w:color w:val="000000"/>
        </w:rPr>
      </w:pPr>
      <w:r>
        <w:rPr>
          <w:color w:val="000000"/>
        </w:rPr>
        <w:tab/>
        <w:tab/>
        <w:tab/>
        <w:t xml:space="preserve">подпись, дата</w:t>
      </w:r>
    </w:p>
    <w:p>
      <w:pPr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spacing w:line="240" w:lineRule="auto"/>
        <w:ind w:firstLine="0"/>
        <w:jc w:val="center"/>
        <w:rPr>
          <w:color w:val="000000"/>
          <w:sz w:val="28"/>
          <w:szCs w:val="28"/>
        </w:rPr>
      </w:pPr>
    </w:p>
    <w:p>
      <w:pPr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spacing w:line="240" w:lineRule="auto"/>
        <w:ind w:firstLine="0"/>
        <w:jc w:val="center"/>
        <w:rPr>
          <w:sz w:val="28"/>
          <w:szCs w:val="28"/>
        </w:rPr>
      </w:pPr>
    </w:p>
    <w:p>
      <w:pPr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spacing w:line="240" w:lineRule="auto"/>
        <w:ind w:firstLine="0"/>
        <w:jc w:val="center"/>
        <w:rPr>
          <w:sz w:val="28"/>
          <w:szCs w:val="28"/>
        </w:rPr>
      </w:pPr>
    </w:p>
    <w:p>
      <w:pPr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spacing w:line="240" w:lineRule="auto"/>
        <w:ind w:firstLine="0"/>
        <w:jc w:val="center"/>
        <w:rPr>
          <w:sz w:val="28"/>
          <w:szCs w:val="28"/>
        </w:rPr>
      </w:pPr>
    </w:p>
    <w:p>
      <w:pPr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spacing w:line="240" w:lineRule="auto"/>
        <w:ind w:firstLine="0"/>
        <w:jc w:val="center"/>
        <w:rPr>
          <w:sz w:val="28"/>
          <w:szCs w:val="28"/>
        </w:rPr>
      </w:pPr>
    </w:p>
    <w:p>
      <w:pPr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spacing w:line="240" w:lineRule="auto"/>
        <w:ind w:firstLine="0"/>
        <w:jc w:val="center"/>
        <w:rPr>
          <w:color w:val="000000"/>
          <w:sz w:val="28"/>
          <w:szCs w:val="28"/>
        </w:rPr>
      </w:pPr>
    </w:p>
    <w:p>
      <w:pPr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spacing w:line="240" w:lineRule="auto"/>
        <w:ind w:firstLine="0"/>
        <w:jc w:val="center"/>
        <w:rPr>
          <w:color w:val="000000"/>
          <w:sz w:val="28"/>
          <w:szCs w:val="28"/>
        </w:rPr>
      </w:pPr>
    </w:p>
    <w:p>
      <w:pPr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spacing w:line="240" w:lineRule="auto"/>
        <w:ind w:firstLine="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 xml:space="preserve">Иваново 202</w:t>
      </w:r>
      <w:r>
        <w:rPr>
          <w:color w:val="000000"/>
          <w:sz w:val="28"/>
          <w:szCs w:val="28"/>
          <w:lang w:val="ru-RU"/>
        </w:rPr>
        <w:t xml:space="preserve">6</w:t>
      </w:r>
    </w:p>
    <w:p>
      <w:pPr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spacing w:before="240"/>
        <w:ind w:firstLine="0"/>
        <w:jc w:val="center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Содержание</w:t>
      </w:r>
    </w:p>
    <w:sdt>
      <w:sdtPr>
        <w:id w:val="1524568697"/>
        <w:docPartObj>
          <w:docPartGallery w:val="Table of Contents"/>
          <w:docPartUnique/>
        </w:docPartObj>
      </w:sdtPr>
      <w:sdtContent>
        <w:p>
          <w:pPr>
            <w:pBdr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  <w:between w:val="nil" w:sz="4" w:space="0" w:color="auto"/>
            </w:pBdr>
            <w:tabs>
              <w:tab w:val="right" w:pos="9969"/>
            </w:tabs>
            <w:spacing w:after="100"/>
            <w:rPr>
              <w:rFonts w:ascii="Cambria" w:hAnsi="Cambria" w:eastAsia="Cambria" w:cs="Cambria"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 </w:instrText>
          </w:r>
          <w:r>
            <w:fldChar w:fldCharType="separate"/>
          </w:r>
          <w:hyperlink w:anchor="_heading=h.49x2ik5" w:history="1">
            <w:r>
              <w:rPr>
                <w:color w:val="000000"/>
              </w:rPr>
              <w:t xml:space="preserve">1. Документ Product Opportunity Assessment</w:t>
              <w:tab/>
              <w:t xml:space="preserve">3</w:t>
            </w:r>
          </w:hyperlink>
        </w:p>
        <w:p>
          <w:pPr>
            <w:pBdr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  <w:between w:val="nil" w:sz="4" w:space="0" w:color="auto"/>
            </w:pBdr>
            <w:tabs>
              <w:tab w:val="left" w:pos="880"/>
              <w:tab w:val="right" w:pos="9969"/>
            </w:tabs>
            <w:spacing w:after="100"/>
            <w:ind w:left="240" w:firstLine="327"/>
            <w:jc w:val="left"/>
            <w:rPr>
              <w:rFonts w:ascii="Cambria" w:hAnsi="Cambria" w:eastAsia="Cambria" w:cs="Cambria"/>
              <w:color w:val="000000"/>
              <w:sz w:val="22"/>
              <w:szCs w:val="22"/>
            </w:rPr>
          </w:pPr>
          <w:hyperlink w:anchor="_heading=h.2p2csry" w:history="1">
            <w:r>
              <w:rPr>
                <w:color w:val="000000"/>
              </w:rPr>
              <w:t xml:space="preserve">1.1. Проблема</w:t>
              <w:tab/>
              <w:t xml:space="preserve">3</w:t>
            </w:r>
          </w:hyperlink>
        </w:p>
        <w:p>
          <w:pPr>
            <w:pBdr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  <w:between w:val="nil" w:sz="4" w:space="0" w:color="auto"/>
            </w:pBdr>
            <w:tabs>
              <w:tab w:val="left" w:pos="880"/>
              <w:tab w:val="right" w:pos="9969"/>
            </w:tabs>
            <w:spacing w:after="100"/>
            <w:ind w:left="240" w:firstLine="327"/>
            <w:jc w:val="left"/>
            <w:rPr>
              <w:rFonts w:ascii="Cambria" w:hAnsi="Cambria" w:eastAsia="Cambria" w:cs="Cambria"/>
              <w:color w:val="000000"/>
              <w:sz w:val="22"/>
              <w:szCs w:val="22"/>
            </w:rPr>
          </w:pPr>
          <w:hyperlink w:anchor="_heading=h.147n2zr" w:history="1">
            <w:r>
              <w:rPr>
                <w:color w:val="000000"/>
              </w:rPr>
              <w:t xml:space="preserve">1.2. Целевая аудитория. Типы пользователей.</w:t>
              <w:tab/>
              <w:t xml:space="preserve">3</w:t>
            </w:r>
          </w:hyperlink>
        </w:p>
        <w:p>
          <w:pPr>
            <w:pBdr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  <w:between w:val="nil" w:sz="4" w:space="0" w:color="auto"/>
            </w:pBdr>
            <w:tabs>
              <w:tab w:val="left" w:pos="880"/>
              <w:tab w:val="right" w:pos="9969"/>
            </w:tabs>
            <w:spacing w:after="100"/>
            <w:ind w:left="240" w:firstLine="327"/>
            <w:jc w:val="left"/>
            <w:rPr>
              <w:rFonts w:ascii="Cambria" w:hAnsi="Cambria" w:eastAsia="Cambria" w:cs="Cambria"/>
              <w:color w:val="000000"/>
              <w:sz w:val="22"/>
              <w:szCs w:val="22"/>
            </w:rPr>
          </w:pPr>
          <w:hyperlink w:anchor="_heading=h.3o7alnk" w:history="1">
            <w:r>
              <w:rPr>
                <w:color w:val="000000"/>
              </w:rPr>
              <w:t xml:space="preserve">1.3. Размер рынка. Объем ЦА. Какое потенциальное количество пользователей</w:t>
              <w:tab/>
              <w:t xml:space="preserve">4</w:t>
            </w:r>
          </w:hyperlink>
        </w:p>
        <w:p>
          <w:pPr>
            <w:pBdr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  <w:between w:val="nil" w:sz="4" w:space="0" w:color="auto"/>
            </w:pBdr>
            <w:tabs>
              <w:tab w:val="left" w:pos="880"/>
              <w:tab w:val="right" w:pos="9969"/>
            </w:tabs>
            <w:spacing w:after="100"/>
            <w:ind w:left="240" w:firstLine="327"/>
            <w:jc w:val="left"/>
            <w:rPr>
              <w:rFonts w:ascii="Cambria" w:hAnsi="Cambria" w:eastAsia="Cambria" w:cs="Cambria"/>
              <w:color w:val="000000"/>
              <w:sz w:val="22"/>
              <w:szCs w:val="22"/>
            </w:rPr>
          </w:pPr>
          <w:hyperlink w:anchor="_heading=h.23ckvvd" w:history="1">
            <w:r>
              <w:rPr>
                <w:color w:val="000000"/>
              </w:rPr>
              <w:t xml:space="preserve">1.4. Критерии успешного продукта. Как будет измеряться успешность продукта?</w:t>
              <w:tab/>
              <w:t xml:space="preserve">5</w:t>
            </w:r>
          </w:hyperlink>
        </w:p>
        <w:p>
          <w:pPr>
            <w:pBdr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  <w:between w:val="nil" w:sz="4" w:space="0" w:color="auto"/>
            </w:pBdr>
            <w:tabs>
              <w:tab w:val="left" w:pos="880"/>
              <w:tab w:val="right" w:pos="9969"/>
            </w:tabs>
            <w:spacing w:after="100"/>
            <w:ind w:left="240" w:firstLine="327"/>
            <w:jc w:val="left"/>
            <w:rPr>
              <w:rFonts w:ascii="Cambria" w:hAnsi="Cambria" w:eastAsia="Cambria" w:cs="Cambria"/>
              <w:color w:val="000000"/>
              <w:sz w:val="22"/>
              <w:szCs w:val="22"/>
            </w:rPr>
          </w:pPr>
          <w:hyperlink w:anchor="_heading=h.ihv636" w:history="1">
            <w:r>
              <w:rPr>
                <w:color w:val="000000"/>
              </w:rPr>
              <w:t xml:space="preserve">1.5. Конкуренты (альтернативы). Как сейчас решается эта проблема.</w:t>
              <w:tab/>
              <w:t xml:space="preserve">6</w:t>
            </w:r>
          </w:hyperlink>
        </w:p>
        <w:p>
          <w:pPr>
            <w:pBdr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  <w:between w:val="nil" w:sz="4" w:space="0" w:color="auto"/>
            </w:pBdr>
            <w:tabs>
              <w:tab w:val="left" w:pos="880"/>
              <w:tab w:val="right" w:pos="9969"/>
            </w:tabs>
            <w:spacing w:after="100"/>
            <w:ind w:left="240" w:firstLine="327"/>
            <w:jc w:val="left"/>
            <w:rPr>
              <w:rFonts w:ascii="Cambria" w:hAnsi="Cambria" w:eastAsia="Cambria" w:cs="Cambria"/>
              <w:color w:val="000000"/>
              <w:sz w:val="22"/>
              <w:szCs w:val="22"/>
            </w:rPr>
          </w:pPr>
          <w:hyperlink w:anchor="_heading=h.32hioqz" w:history="1">
            <w:r>
              <w:rPr>
                <w:color w:val="000000"/>
              </w:rPr>
              <w:t xml:space="preserve">1.6. Преимущество продукта по сравнению с другими. Новые функции.</w:t>
              <w:tab/>
              <w:t xml:space="preserve">7</w:t>
            </w:r>
          </w:hyperlink>
        </w:p>
        <w:p>
          <w:pPr>
            <w:pBdr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  <w:between w:val="nil" w:sz="4" w:space="0" w:color="auto"/>
            </w:pBdr>
            <w:tabs>
              <w:tab w:val="left" w:pos="880"/>
              <w:tab w:val="right" w:pos="9969"/>
            </w:tabs>
            <w:spacing w:after="100"/>
            <w:ind w:left="240" w:firstLine="327"/>
            <w:jc w:val="left"/>
            <w:rPr>
              <w:rFonts w:ascii="Cambria" w:hAnsi="Cambria" w:eastAsia="Cambria" w:cs="Cambria"/>
              <w:color w:val="000000"/>
              <w:sz w:val="22"/>
              <w:szCs w:val="22"/>
            </w:rPr>
          </w:pPr>
          <w:hyperlink w:anchor="_heading=h.1hmsyys" w:history="1">
            <w:r>
              <w:rPr>
                <w:color w:val="000000"/>
              </w:rPr>
              <w:t xml:space="preserve">1.7. Время выхода продукта. Почему нужно выпустить продукт сейчас?</w:t>
              <w:tab/>
              <w:t xml:space="preserve">7</w:t>
            </w:r>
          </w:hyperlink>
        </w:p>
        <w:p>
          <w:pPr>
            <w:pBdr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  <w:between w:val="nil" w:sz="4" w:space="0" w:color="auto"/>
            </w:pBdr>
            <w:tabs>
              <w:tab w:val="left" w:pos="880"/>
              <w:tab w:val="right" w:pos="9969"/>
            </w:tabs>
            <w:spacing w:after="100"/>
            <w:ind w:left="240" w:firstLine="327"/>
            <w:jc w:val="left"/>
            <w:rPr>
              <w:rFonts w:ascii="Cambria" w:hAnsi="Cambria" w:eastAsia="Cambria" w:cs="Cambria"/>
              <w:color w:val="000000"/>
              <w:sz w:val="22"/>
              <w:szCs w:val="22"/>
            </w:rPr>
          </w:pPr>
          <w:hyperlink w:anchor="_heading=h.41mghml" w:history="1">
            <w:r>
              <w:rPr>
                <w:color w:val="000000"/>
              </w:rPr>
              <w:t xml:space="preserve">1.8. Как продвигать продукт на рынке. Как пользователи узнают о продукте.</w:t>
              <w:tab/>
              <w:t xml:space="preserve">7</w:t>
            </w:r>
          </w:hyperlink>
        </w:p>
        <w:p>
          <w:pPr>
            <w:pBdr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  <w:between w:val="nil" w:sz="4" w:space="0" w:color="auto"/>
            </w:pBdr>
            <w:tabs>
              <w:tab w:val="left" w:pos="880"/>
              <w:tab w:val="right" w:pos="9969"/>
            </w:tabs>
            <w:spacing w:after="100"/>
            <w:ind w:left="240" w:firstLine="327"/>
            <w:jc w:val="left"/>
            <w:rPr>
              <w:rFonts w:ascii="Cambria" w:hAnsi="Cambria" w:eastAsia="Cambria" w:cs="Cambria"/>
              <w:color w:val="000000"/>
              <w:sz w:val="22"/>
              <w:szCs w:val="22"/>
            </w:rPr>
          </w:pPr>
          <w:hyperlink w:anchor="_heading=h.2grqrue" w:history="1">
            <w:r>
              <w:rPr>
                <w:color w:val="000000"/>
              </w:rPr>
              <w:t xml:space="preserve">1.9. Ключевые факторы успеха. Что должно быть обязательно? Ограничения, зависимость.</w:t>
              <w:tab/>
              <w:t xml:space="preserve">7</w:t>
            </w:r>
          </w:hyperlink>
        </w:p>
        <w:p>
          <w:pPr>
            <w:pBdr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  <w:between w:val="nil" w:sz="4" w:space="0" w:color="auto"/>
            </w:pBdr>
            <w:tabs>
              <w:tab w:val="left" w:pos="880"/>
              <w:tab w:val="right" w:pos="9969"/>
            </w:tabs>
            <w:spacing w:after="100"/>
            <w:ind w:left="240" w:firstLine="327"/>
            <w:jc w:val="left"/>
            <w:rPr>
              <w:rFonts w:ascii="Cambria" w:hAnsi="Cambria" w:eastAsia="Cambria" w:cs="Cambria"/>
              <w:color w:val="000000"/>
              <w:sz w:val="22"/>
              <w:szCs w:val="22"/>
            </w:rPr>
          </w:pPr>
          <w:hyperlink w:anchor="_heading=h.vx1227" w:history="1">
            <w:r>
              <w:rPr>
                <w:color w:val="000000"/>
              </w:rPr>
              <w:t xml:space="preserve">1.10. Рекомендация product manager (да/нет).</w:t>
              <w:tab/>
              <w:t xml:space="preserve">7</w:t>
            </w:r>
          </w:hyperlink>
        </w:p>
        <w:p>
          <w:pPr>
            <w:pBdr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  <w:between w:val="nil" w:sz="4" w:space="0" w:color="auto"/>
            </w:pBdr>
            <w:tabs>
              <w:tab w:val="right" w:pos="9969"/>
            </w:tabs>
            <w:spacing w:after="100"/>
            <w:rPr>
              <w:rFonts w:ascii="Cambria" w:hAnsi="Cambria" w:eastAsia="Cambria" w:cs="Cambria"/>
              <w:color w:val="000000"/>
              <w:sz w:val="22"/>
              <w:szCs w:val="22"/>
            </w:rPr>
          </w:pPr>
          <w:hyperlink w:anchor="_heading=h.3fwokq0" w:history="1">
            <w:r>
              <w:rPr>
                <w:color w:val="000000"/>
              </w:rPr>
              <w:t xml:space="preserve">2. Результаты прототипирования</w:t>
              <w:tab/>
              <w:t xml:space="preserve">8</w:t>
            </w:r>
          </w:hyperlink>
        </w:p>
        <w:p>
          <w:pPr>
            <w:pBdr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  <w:between w:val="nil" w:sz="4" w:space="0" w:color="auto"/>
            </w:pBdr>
            <w:tabs>
              <w:tab w:val="left" w:pos="880"/>
              <w:tab w:val="right" w:pos="9969"/>
            </w:tabs>
            <w:spacing w:after="100"/>
            <w:ind w:left="240" w:firstLine="327"/>
            <w:jc w:val="left"/>
            <w:rPr>
              <w:rFonts w:ascii="Cambria" w:hAnsi="Cambria" w:eastAsia="Cambria" w:cs="Cambria"/>
              <w:color w:val="000000"/>
              <w:sz w:val="22"/>
              <w:szCs w:val="22"/>
            </w:rPr>
          </w:pPr>
          <w:hyperlink w:anchor="_heading=h.lnxbz9" w:history="1">
            <w:r>
              <w:rPr>
                <w:color w:val="000000"/>
              </w:rPr>
              <w:t xml:space="preserve">2.1. Story Mapping</w:t>
              <w:tab/>
              <w:t xml:space="preserve">8</w:t>
            </w:r>
          </w:hyperlink>
        </w:p>
        <w:p>
          <w:pPr>
            <w:pBdr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  <w:between w:val="nil" w:sz="4" w:space="0" w:color="auto"/>
            </w:pBdr>
            <w:tabs>
              <w:tab w:val="left" w:pos="880"/>
              <w:tab w:val="right" w:pos="9969"/>
            </w:tabs>
            <w:spacing w:after="100"/>
            <w:ind w:left="240" w:firstLine="327"/>
            <w:jc w:val="left"/>
            <w:rPr>
              <w:rFonts w:ascii="Cambria" w:hAnsi="Cambria" w:eastAsia="Cambria" w:cs="Cambria"/>
              <w:color w:val="000000"/>
              <w:sz w:val="22"/>
              <w:szCs w:val="22"/>
            </w:rPr>
          </w:pPr>
          <w:hyperlink w:anchor="_heading=h.44sinio" w:history="1">
            <w:r>
              <w:rPr>
                <w:color w:val="000000"/>
              </w:rPr>
              <w:t xml:space="preserve">2.2. Прототип</w:t>
              <w:tab/>
              <w:t xml:space="preserve">9</w:t>
            </w:r>
          </w:hyperlink>
        </w:p>
        <w:p>
          <w:pPr>
            <w:pBdr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  <w:between w:val="nil" w:sz="4" w:space="0" w:color="auto"/>
            </w:pBdr>
            <w:tabs>
              <w:tab w:val="right" w:pos="9969"/>
            </w:tabs>
            <w:spacing w:after="100"/>
            <w:rPr>
              <w:rFonts w:ascii="Cambria" w:hAnsi="Cambria" w:eastAsia="Cambria" w:cs="Cambria"/>
              <w:color w:val="000000"/>
              <w:sz w:val="22"/>
              <w:szCs w:val="22"/>
            </w:rPr>
          </w:pPr>
          <w:hyperlink w:anchor="_heading=h.1v1yuxt" w:history="1">
            <w:r>
              <w:rPr>
                <w:color w:val="000000"/>
              </w:rPr>
              <w:t xml:space="preserve">3. Результаты организации процесса разработки</w:t>
              <w:tab/>
              <w:t xml:space="preserve">10</w:t>
            </w:r>
          </w:hyperlink>
        </w:p>
        <w:p>
          <w:pPr>
            <w:pBdr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  <w:between w:val="nil" w:sz="4" w:space="0" w:color="auto"/>
            </w:pBdr>
            <w:tabs>
              <w:tab w:val="left" w:pos="880"/>
              <w:tab w:val="right" w:pos="9969"/>
            </w:tabs>
            <w:spacing w:after="100"/>
            <w:ind w:left="240" w:firstLine="327"/>
            <w:jc w:val="left"/>
            <w:rPr>
              <w:rFonts w:ascii="Cambria" w:hAnsi="Cambria" w:eastAsia="Cambria" w:cs="Cambria"/>
              <w:color w:val="000000"/>
              <w:sz w:val="22"/>
              <w:szCs w:val="22"/>
            </w:rPr>
          </w:pPr>
          <w:hyperlink w:anchor="_heading=h.3j2qqm3" w:history="1">
            <w:r>
              <w:rPr>
                <w:color w:val="000000"/>
              </w:rPr>
              <w:t xml:space="preserve">3.1. User Stories</w:t>
              <w:tab/>
              <w:t xml:space="preserve">10</w:t>
            </w:r>
          </w:hyperlink>
        </w:p>
        <w:p>
          <w:pPr>
            <w:pBdr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  <w:between w:val="nil" w:sz="4" w:space="0" w:color="auto"/>
            </w:pBdr>
            <w:tabs>
              <w:tab w:val="left" w:pos="880"/>
              <w:tab w:val="right" w:pos="9969"/>
            </w:tabs>
            <w:spacing w:after="100"/>
            <w:ind w:left="240" w:firstLine="327"/>
            <w:jc w:val="left"/>
            <w:rPr>
              <w:rFonts w:ascii="Cambria" w:hAnsi="Cambria" w:eastAsia="Cambria" w:cs="Cambria"/>
              <w:color w:val="000000"/>
              <w:sz w:val="22"/>
              <w:szCs w:val="22"/>
            </w:rPr>
          </w:pPr>
          <w:hyperlink w:anchor="_heading=h.1y810tw" w:history="1">
            <w:r>
              <w:rPr>
                <w:color w:val="000000"/>
              </w:rPr>
              <w:t xml:space="preserve">3.2. Product Backlog</w:t>
              <w:tab/>
              <w:t xml:space="preserve">10</w:t>
            </w:r>
          </w:hyperlink>
        </w:p>
        <w:p>
          <w:pPr>
            <w:pBdr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  <w:between w:val="nil" w:sz="4" w:space="0" w:color="auto"/>
            </w:pBdr>
            <w:tabs>
              <w:tab w:val="left" w:pos="880"/>
              <w:tab w:val="right" w:pos="9969"/>
            </w:tabs>
            <w:spacing w:after="100"/>
            <w:ind w:left="240" w:firstLine="327"/>
            <w:jc w:val="left"/>
            <w:rPr>
              <w:rFonts w:ascii="Cambria" w:hAnsi="Cambria" w:eastAsia="Cambria" w:cs="Cambria"/>
              <w:color w:val="000000"/>
              <w:sz w:val="22"/>
              <w:szCs w:val="22"/>
            </w:rPr>
          </w:pPr>
          <w:hyperlink w:anchor="_heading=h.4i7ojhp" w:history="1">
            <w:r>
              <w:rPr>
                <w:color w:val="000000"/>
              </w:rPr>
              <w:t xml:space="preserve">3.3. Часть доски с задачами</w:t>
              <w:tab/>
              <w:t xml:space="preserve">11</w:t>
            </w:r>
          </w:hyperlink>
        </w:p>
        <w:p>
          <w:pPr>
            <w:pBdr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  <w:between w:val="nil" w:sz="4" w:space="0" w:color="auto"/>
            </w:pBdr>
            <w:tabs>
              <w:tab w:val="left" w:pos="880"/>
              <w:tab w:val="right" w:pos="9969"/>
            </w:tabs>
            <w:spacing w:after="100"/>
            <w:ind w:left="240" w:firstLine="327"/>
            <w:jc w:val="left"/>
            <w:rPr>
              <w:rFonts w:ascii="Cambria" w:hAnsi="Cambria" w:eastAsia="Cambria" w:cs="Cambria"/>
              <w:color w:val="000000"/>
              <w:sz w:val="22"/>
              <w:szCs w:val="22"/>
            </w:rPr>
          </w:pPr>
          <w:hyperlink w:anchor="_heading=h.2xcytpi" w:history="1">
            <w:r>
              <w:rPr>
                <w:color w:val="000000"/>
              </w:rPr>
              <w:t xml:space="preserve">3.4. Репозиторий проекта на Azure DevOps</w:t>
              <w:tab/>
              <w:t xml:space="preserve">11</w:t>
            </w:r>
          </w:hyperlink>
        </w:p>
        <w:p>
          <w:pPr>
            <w:pBdr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  <w:between w:val="nil" w:sz="4" w:space="0" w:color="auto"/>
            </w:pBdr>
            <w:tabs>
              <w:tab w:val="right" w:pos="9969"/>
            </w:tabs>
            <w:spacing w:after="100"/>
            <w:rPr>
              <w:rFonts w:ascii="Cambria" w:hAnsi="Cambria" w:eastAsia="Cambria" w:cs="Cambria"/>
              <w:color w:val="000000"/>
              <w:sz w:val="22"/>
              <w:szCs w:val="22"/>
            </w:rPr>
          </w:pPr>
          <w:hyperlink w:anchor="_heading=h.4f1mdlm" w:history="1">
            <w:r>
              <w:rPr>
                <w:color w:val="000000"/>
              </w:rPr>
              <w:t xml:space="preserve">4. Результаты разработки минимально жизнеспособного продукта</w:t>
              <w:tab/>
              <w:t xml:space="preserve">12</w:t>
            </w:r>
          </w:hyperlink>
        </w:p>
        <w:p>
          <w:pPr>
            <w:pBdr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  <w:between w:val="nil" w:sz="4" w:space="0" w:color="auto"/>
            </w:pBdr>
            <w:tabs>
              <w:tab w:val="left" w:pos="880"/>
              <w:tab w:val="right" w:pos="9969"/>
            </w:tabs>
            <w:spacing w:after="100"/>
            <w:ind w:left="240" w:firstLine="327"/>
            <w:jc w:val="left"/>
            <w:rPr>
              <w:rFonts w:ascii="Cambria" w:hAnsi="Cambria" w:eastAsia="Cambria" w:cs="Cambria"/>
              <w:color w:val="000000"/>
              <w:sz w:val="22"/>
              <w:szCs w:val="22"/>
            </w:rPr>
          </w:pPr>
          <w:hyperlink w:anchor="_heading=h.3whwml4" w:history="1">
            <w:r>
              <w:rPr>
                <w:color w:val="000000"/>
              </w:rPr>
              <w:t xml:space="preserve">4.1. Разработка MVP</w:t>
              <w:tab/>
              <w:t xml:space="preserve">12</w:t>
            </w:r>
          </w:hyperlink>
        </w:p>
        <w:p>
          <w:pPr>
            <w:pBdr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  <w:between w:val="nil" w:sz="4" w:space="0" w:color="auto"/>
            </w:pBdr>
            <w:tabs>
              <w:tab w:val="left" w:pos="880"/>
              <w:tab w:val="right" w:pos="9969"/>
            </w:tabs>
            <w:spacing w:after="100"/>
            <w:ind w:left="240" w:firstLine="327"/>
            <w:jc w:val="left"/>
            <w:rPr>
              <w:rFonts w:ascii="Cambria" w:hAnsi="Cambria" w:eastAsia="Cambria" w:cs="Cambria"/>
              <w:color w:val="000000"/>
              <w:sz w:val="22"/>
              <w:szCs w:val="22"/>
            </w:rPr>
          </w:pPr>
          <w:hyperlink w:anchor="_heading=h.2bn6wsx" w:history="1">
            <w:r>
              <w:rPr>
                <w:color w:val="000000"/>
                <w:highlight w:val="white"/>
              </w:rPr>
              <w:t xml:space="preserve">4.2. Заливание код в Git и изменять статус в системе управления проектами</w:t>
            </w:r>
            <w:r>
              <w:rPr>
                <w:color w:val="000000"/>
              </w:rPr>
              <w:tab/>
              <w:t xml:space="preserve">12</w:t>
            </w:r>
          </w:hyperlink>
        </w:p>
        <w:p>
          <w:pPr>
            <w:pBdr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  <w:between w:val="nil" w:sz="4" w:space="0" w:color="auto"/>
            </w:pBdr>
            <w:tabs>
              <w:tab w:val="left" w:pos="880"/>
              <w:tab w:val="right" w:pos="9969"/>
            </w:tabs>
            <w:spacing w:after="100"/>
            <w:ind w:left="240" w:firstLine="327"/>
            <w:jc w:val="left"/>
            <w:rPr>
              <w:rFonts w:ascii="Cambria" w:hAnsi="Cambria" w:eastAsia="Cambria" w:cs="Cambria"/>
              <w:color w:val="000000"/>
              <w:sz w:val="22"/>
              <w:szCs w:val="22"/>
            </w:rPr>
          </w:pPr>
          <w:hyperlink w:anchor="_heading=h.2u6wntf" w:history="1">
            <w:r>
              <w:rPr>
                <w:color w:val="000000"/>
              </w:rPr>
              <w:t xml:space="preserve">4.3. Добавление настройки окружения в задачи первого спринта</w:t>
              <w:tab/>
              <w:t xml:space="preserve">13</w:t>
            </w:r>
          </w:hyperlink>
        </w:p>
        <w:p>
          <w:pPr>
            <w:pBdr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  <w:between w:val="nil" w:sz="4" w:space="0" w:color="auto"/>
            </w:pBdr>
            <w:tabs>
              <w:tab w:val="left" w:pos="880"/>
              <w:tab w:val="right" w:pos="9969"/>
            </w:tabs>
            <w:spacing w:after="100"/>
            <w:ind w:left="240" w:firstLine="327"/>
            <w:jc w:val="left"/>
            <w:rPr>
              <w:rFonts w:ascii="Cambria" w:hAnsi="Cambria" w:eastAsia="Cambria" w:cs="Cambria"/>
              <w:color w:val="000000"/>
              <w:sz w:val="22"/>
              <w:szCs w:val="22"/>
            </w:rPr>
          </w:pPr>
          <w:hyperlink w:anchor="_heading=h.3as4poj" w:history="1">
            <w:r>
              <w:rPr>
                <w:color w:val="000000"/>
              </w:rPr>
              <w:t xml:space="preserve">4.4. Использование паттерна</w:t>
              <w:tab/>
              <w:t xml:space="preserve">13</w:t>
            </w:r>
          </w:hyperlink>
        </w:p>
        <w:p>
          <w:pPr>
            <w:pBdr>
              <w:top w:val="nil" w:sz="4" w:space="0" w:color="auto"/>
              <w:left w:val="nil" w:sz="4" w:space="0" w:color="auto"/>
              <w:bottom w:val="nil" w:sz="4" w:space="0" w:color="auto"/>
              <w:right w:val="nil" w:sz="4" w:space="0" w:color="auto"/>
              <w:between w:val="nil" w:sz="4" w:space="0" w:color="auto"/>
            </w:pBdr>
            <w:tabs>
              <w:tab w:val="left" w:pos="880"/>
              <w:tab w:val="right" w:pos="9969"/>
            </w:tabs>
            <w:spacing w:after="100"/>
            <w:ind w:left="240" w:firstLine="327"/>
            <w:jc w:val="left"/>
            <w:rPr>
              <w:rFonts w:ascii="Cambria" w:hAnsi="Cambria" w:eastAsia="Cambria" w:cs="Cambria"/>
              <w:color w:val="000000"/>
              <w:sz w:val="22"/>
              <w:szCs w:val="22"/>
            </w:rPr>
          </w:pPr>
          <w:hyperlink w:anchor="_heading=h.1pxezwc" w:history="1">
            <w:r>
              <w:rPr>
                <w:color w:val="000000"/>
              </w:rPr>
              <w:t xml:space="preserve">4.5. Тестирование</w:t>
              <w:tab/>
              <w:t xml:space="preserve">13</w:t>
            </w:r>
          </w:hyperlink>
        </w:p>
        <w:p>
          <w:pPr>
            <w:tabs>
              <w:tab w:val="right" w:pos="9982"/>
            </w:tabs>
            <w:spacing w:before="200" w:after="80" w:line="240" w:lineRule="auto"/>
            <w:ind w:firstLine="0"/>
            <w:rPr>
              <w:sz w:val="22"/>
              <w:szCs w:val="22"/>
            </w:rPr>
          </w:pPr>
          <w:r>
            <w:fldChar w:fldCharType="end"/>
          </w:r>
        </w:p>
      </w:sdtContent>
    </w:sdt>
    <w:p>
      <w:pPr>
        <w:rPr>
          <w:b/>
          <w:bCs/>
          <w:sz w:val="28"/>
          <w:szCs w:val="28"/>
        </w:rPr>
      </w:pPr>
      <w:r>
        <w:br w:type="page"/>
      </w:r>
    </w:p>
    <w:p>
      <w:pPr>
        <w:keepNext/>
        <w:keepLines/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jc w:val="center"/>
        <w:rPr>
          <w:b/>
          <w:bCs/>
          <w:color w:val="000000"/>
          <w:sz w:val="28"/>
          <w:szCs w:val="28"/>
          <w:lang w:val="en-GB"/>
        </w:rPr>
      </w:pPr>
      <w:bookmarkStart w:id="0" w:name="_heading=h.49x2ik5"/>
      <w:bookmarkEnd w:id="0"/>
      <w:r>
        <w:rPr>
          <w:b/>
          <w:bCs/>
          <w:color w:val="000000"/>
          <w:sz w:val="28"/>
          <w:szCs w:val="28"/>
          <w:lang w:val="en-GB"/>
        </w:rPr>
        <w:t xml:space="preserve">1. </w:t>
      </w:r>
      <w:r>
        <w:rPr>
          <w:b/>
          <w:bCs/>
          <w:color w:val="000000"/>
          <w:sz w:val="28"/>
          <w:szCs w:val="28"/>
        </w:rPr>
        <w:t xml:space="preserve">Документ</w:t>
      </w:r>
      <w:r>
        <w:rPr>
          <w:b/>
          <w:bCs/>
          <w:color w:val="000000"/>
          <w:sz w:val="28"/>
          <w:szCs w:val="28"/>
          <w:lang w:val="en-GB"/>
        </w:rPr>
        <w:t xml:space="preserve"> Product Opportunity Assessment</w:t>
      </w:r>
    </w:p>
    <w:p>
      <w:pPr>
        <w:keepNext/>
        <w:keepLines/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spacing w:before="360" w:after="80"/>
        <w:ind w:firstLine="709"/>
        <w:rPr>
          <w:color w:val="000000"/>
          <w:lang w:val="en-GB"/>
        </w:rPr>
      </w:pPr>
      <w:bookmarkStart w:id="1" w:name="_heading=h.2p2csry"/>
      <w:bookmarkEnd w:id="1"/>
      <w:r>
        <w:rPr>
          <w:b/>
          <w:bCs/>
          <w:color w:val="000000"/>
          <w:lang w:val="en-GB"/>
        </w:rPr>
        <w:t xml:space="preserve">1</w:t>
      </w:r>
      <w:bookmarkStart w:id="2" w:name="OLE_LINK1"/>
      <w:r>
        <w:rPr>
          <w:b/>
          <w:bCs/>
          <w:color w:val="000000"/>
          <w:lang w:val="en-GB"/>
        </w:rPr>
        <w:t xml:space="preserve">.1. </w:t>
      </w:r>
      <w:r>
        <w:rPr>
          <w:b/>
          <w:bCs/>
          <w:color w:val="000000"/>
        </w:rPr>
        <w:t xml:space="preserve">Проблема</w:t>
      </w:r>
      <w:r>
        <w:rPr>
          <w:b/>
          <w:bCs/>
          <w:color w:val="000000"/>
          <w:lang w:val="en-GB"/>
        </w:rPr>
        <w:tab/>
      </w:r>
    </w:p>
    <w:p>
      <w:pPr>
        <w:ind w:firstLine="709"/>
      </w:pPr>
      <w:r>
        <w:t xml:space="preserve">Люди, работающие с юридическими договорами, тратят огромное количество времени на их ручную проверку, а из-за усталости и «замыливания глаза» часто пропускают критически важные условия: скрытые штрафы, противоречивые сроки, неограниченную финансовую ответственность. Проблема очень важная, так как пропущенный риск в договоре может привести к серьёзным финансовым потерям компании, судебным разбирательствам и репутационным ущербам. Разрабатываемое приложение позволит автоматически анализировать договоры, находить в них риски и логические противоречия, а также предлагать безопасные альтернативные формулировки. </w:t>
      </w:r>
    </w:p>
    <w:p>
      <w:pPr>
        <w:keepNext/>
        <w:keepLines/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spacing w:before="360" w:after="80"/>
        <w:ind w:firstLine="709"/>
        <w:rPr>
          <w:color w:val="000000"/>
        </w:rPr>
      </w:pPr>
      <w:bookmarkStart w:id="3" w:name="_heading=h.147n2zr"/>
      <w:bookmarkEnd w:id="3"/>
      <w:r>
        <w:rPr>
          <w:b/>
          <w:bCs/>
          <w:color w:val="000000"/>
        </w:rPr>
        <w:t xml:space="preserve">1.2. Целевая аудитория. Типы пользователей. </w:t>
      </w:r>
    </w:p>
    <w:p>
      <w:pPr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ind w:firstLine="709"/>
        <w:rPr>
          <w:i/>
          <w:iCs/>
          <w:color w:val="000000"/>
        </w:rPr>
      </w:pPr>
      <w:r>
        <w:rPr>
          <w:i/>
          <w:iCs/>
          <w:color w:val="000000"/>
        </w:rPr>
        <w:t xml:space="preserve">Портреты пользователей:</w:t>
      </w:r>
    </w:p>
    <w:p>
      <w:pPr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ind w:firstLine="709"/>
        <w:rPr>
          <w:color w:val="000000"/>
        </w:rPr>
      </w:pPr>
      <w:r>
        <w:rPr>
          <w:color w:val="000000"/>
        </w:rPr>
        <w:t xml:space="preserve">Имя: </w:t>
      </w:r>
      <w:r>
        <w:rPr>
          <w:color w:val="000000"/>
          <w:lang w:val="ru-RU"/>
        </w:rPr>
        <w:t xml:space="preserve">Алексей</w:t>
      </w:r>
      <w:r>
        <w:rPr>
          <w:color w:val="000000"/>
        </w:rPr>
        <w:t xml:space="preserve">. </w:t>
      </w:r>
    </w:p>
    <w:p>
      <w:pPr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ind w:firstLine="709"/>
        <w:rPr>
          <w:color w:val="000000"/>
        </w:rPr>
      </w:pPr>
      <w:r>
        <w:rPr>
          <w:color w:val="000000"/>
        </w:rPr>
        <w:t xml:space="preserve">Кто он: </w:t>
      </w:r>
      <w:r>
        <w:rPr>
          <w:color w:val="000000"/>
          <w:lang w:val="ru-RU"/>
        </w:rPr>
        <w:t xml:space="preserve">юри</w:t>
      </w:r>
      <w:r>
        <w:rPr>
          <w:color w:val="000000"/>
        </w:rPr>
        <w:t xml:space="preserve">ст в средней компании, от 28 до 40 лет, ежедневно проверяет десятки договоров поставки, услуг и NDA.</w:t>
      </w:r>
    </w:p>
    <w:p>
      <w:pPr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ind w:firstLine="709"/>
        <w:rPr>
          <w:color w:val="000000"/>
        </w:rPr>
      </w:pPr>
      <w:r>
        <w:rPr>
          <w:color w:val="000000"/>
        </w:rPr>
        <w:t xml:space="preserve">Что она делает: читает каждый договор от корки до корки, ищет подводные камни, согласовывает правки с контрагентами.</w:t>
      </w:r>
    </w:p>
    <w:p>
      <w:pPr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ind w:firstLine="709"/>
        <w:rPr>
          <w:color w:val="000000"/>
        </w:rPr>
      </w:pPr>
      <w:r>
        <w:rPr>
          <w:color w:val="000000"/>
        </w:rPr>
        <w:t xml:space="preserve">Как взаимодействует с продуктом: загружает договор в приложение, просматривает подсвеченные риски, принимает или отклоняет рекомендации ИИ, редактирует формулировки прямо в интерфейсе.</w:t>
      </w:r>
    </w:p>
    <w:p>
      <w:pPr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ind w:left="1287" w:firstLine="0"/>
        <w:rPr>
          <w:color w:val="000000"/>
        </w:rPr>
      </w:pPr>
    </w:p>
    <w:p>
      <w:pPr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ind w:firstLine="709"/>
        <w:rPr>
          <w:color w:val="000000"/>
        </w:rPr>
      </w:pPr>
      <w:r>
        <w:rPr>
          <w:color w:val="000000"/>
        </w:rPr>
        <w:t xml:space="preserve">Имя:</w:t>
      </w:r>
      <w:r>
        <w:rPr>
          <w:color w:val="000000"/>
          <w:lang w:val="ru-RU"/>
        </w:rPr>
        <w:t xml:space="preserve"> Ольга</w:t>
      </w:r>
      <w:r>
        <w:rPr>
          <w:color w:val="000000"/>
        </w:rPr>
        <w:t xml:space="preserve">.</w:t>
      </w:r>
    </w:p>
    <w:p>
      <w:pPr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ind w:firstLine="709"/>
        <w:rPr>
          <w:color w:val="000000"/>
        </w:rPr>
      </w:pPr>
      <w:r>
        <w:rPr>
          <w:color w:val="000000"/>
        </w:rPr>
        <w:t xml:space="preserve">Кто она: руководитель юридического отдела, от 40 до 55 лет, контролирует качество работы команды и типовые риски компании.</w:t>
      </w:r>
    </w:p>
    <w:p>
      <w:pPr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ind w:firstLine="709"/>
        <w:rPr>
          <w:color w:val="000000"/>
        </w:rPr>
      </w:pPr>
      <w:r>
        <w:rPr>
          <w:color w:val="000000"/>
        </w:rPr>
        <w:t xml:space="preserve">Что она делает: утверждает корпоративные правила проверки договоров (Playbook), следит за нагрузкой юристов, отчитывается перед руководством.</w:t>
      </w:r>
    </w:p>
    <w:p>
      <w:pPr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ind w:firstLine="709"/>
        <w:rPr>
          <w:color w:val="000000"/>
        </w:rPr>
      </w:pPr>
      <w:r>
        <w:rPr>
          <w:color w:val="000000"/>
        </w:rPr>
        <w:t xml:space="preserve">Как взаимодействует с продуктом: настраивает корпоративный Playbook, просматривает аналитику по рискам, контролирует, какие договоры были проверены и какие риски в них найдены.</w:t>
      </w:r>
    </w:p>
    <w:p>
      <w:pPr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ind w:left="1287" w:firstLine="0"/>
        <w:rPr>
          <w:color w:val="000000"/>
        </w:rPr>
      </w:pPr>
    </w:p>
    <w:p>
      <w:pPr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ind w:firstLine="709"/>
        <w:rPr>
          <w:color w:val="000000"/>
        </w:rPr>
      </w:pPr>
      <w:r>
        <w:rPr>
          <w:color w:val="000000"/>
        </w:rPr>
        <w:t xml:space="preserve">Имя: </w:t>
      </w:r>
      <w:r>
        <w:rPr>
          <w:color w:val="000000"/>
          <w:lang w:val="ru-RU"/>
        </w:rPr>
        <w:t xml:space="preserve">Дмитрий</w:t>
      </w:r>
      <w:r>
        <w:rPr>
          <w:color w:val="000000"/>
        </w:rPr>
        <w:t xml:space="preserve">.</w:t>
      </w:r>
    </w:p>
    <w:p>
      <w:pPr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ind w:firstLine="709"/>
        <w:rPr>
          <w:color w:val="000000"/>
        </w:rPr>
      </w:pPr>
      <w:r>
        <w:rPr>
          <w:color w:val="000000"/>
        </w:rPr>
        <w:t xml:space="preserve">Кто он: предприниматель или менеджер по закупкам, от 30 до 50 лет, в компании нет штатного юриста.</w:t>
      </w:r>
    </w:p>
    <w:p>
      <w:pPr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ind w:firstLine="709"/>
        <w:rPr>
          <w:color w:val="000000"/>
        </w:rPr>
      </w:pPr>
      <w:r>
        <w:rPr>
          <w:color w:val="000000"/>
        </w:rPr>
        <w:t xml:space="preserve">Что он делает: подписывает договоры с контрагентами, но не всегда уверен, что всё в порядке.</w:t>
      </w:r>
    </w:p>
    <w:p>
      <w:pPr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ind w:firstLine="709"/>
        <w:rPr>
          <w:color w:val="000000"/>
        </w:rPr>
      </w:pPr>
      <w:r>
        <w:rPr>
          <w:color w:val="000000"/>
        </w:rPr>
        <w:t xml:space="preserve">Как взаимодействует с продуктом: загружает договор, получает краткое резюме с основными рисками и рекомендацией — подписывать или отправлять на доработку.</w:t>
      </w:r>
    </w:p>
    <w:p>
      <w:pPr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ind w:firstLine="709"/>
        <w:rPr>
          <w:color w:val="000000"/>
        </w:rPr>
      </w:pPr>
    </w:p>
    <w:p>
      <w:pPr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ind w:firstLine="709"/>
        <w:rPr>
          <w:i/>
          <w:iCs/>
          <w:color w:val="000000"/>
        </w:rPr>
      </w:pPr>
      <w:r>
        <w:rPr>
          <w:i/>
          <w:iCs/>
          <w:color w:val="000000"/>
        </w:rPr>
        <w:t xml:space="preserve">Процентное соотношение портретов:</w:t>
      </w:r>
    </w:p>
    <w:p>
      <w:pPr>
        <w:numPr>
          <w:ilvl w:val="0"/>
          <w:numId w:val="1"/>
        </w:numPr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</w:pPr>
      <w:r>
        <w:rPr>
          <w:color w:val="000000"/>
          <w:lang w:val="ru-RU"/>
        </w:rPr>
        <w:t xml:space="preserve">Алексей</w:t>
      </w:r>
      <w:r>
        <w:rPr>
          <w:color w:val="000000"/>
        </w:rPr>
        <w:t xml:space="preserve"> – 50%;</w:t>
      </w:r>
    </w:p>
    <w:p>
      <w:pPr>
        <w:numPr>
          <w:ilvl w:val="0"/>
          <w:numId w:val="1"/>
        </w:numPr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</w:pPr>
      <w:r>
        <w:rPr>
          <w:color w:val="000000"/>
          <w:lang w:val="ru-RU"/>
        </w:rPr>
        <w:t xml:space="preserve">Ольга</w:t>
      </w:r>
      <w:r>
        <w:rPr>
          <w:color w:val="000000"/>
        </w:rPr>
        <w:t xml:space="preserve"> – </w:t>
      </w:r>
      <w:r>
        <w:rPr>
          <w:color w:val="000000"/>
          <w:lang w:val="ru-RU"/>
        </w:rPr>
        <w:t xml:space="preserve">2</w:t>
      </w:r>
      <w:r>
        <w:rPr>
          <w:color w:val="000000"/>
        </w:rPr>
        <w:t xml:space="preserve">5%;</w:t>
      </w:r>
    </w:p>
    <w:p>
      <w:pPr>
        <w:numPr>
          <w:ilvl w:val="0"/>
          <w:numId w:val="1"/>
        </w:numPr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</w:pPr>
      <w:r>
        <w:rPr>
          <w:color w:val="000000"/>
          <w:lang w:val="ru-RU"/>
        </w:rPr>
        <w:t xml:space="preserve">Дмитрий</w:t>
      </w:r>
      <w:r>
        <w:rPr>
          <w:color w:val="000000"/>
        </w:rPr>
        <w:t xml:space="preserve"> – </w:t>
      </w:r>
      <w:r>
        <w:rPr>
          <w:color w:val="000000"/>
          <w:lang w:val="ru-RU"/>
        </w:rPr>
        <w:t xml:space="preserve">2</w:t>
      </w:r>
      <w:r>
        <w:rPr>
          <w:color w:val="000000"/>
        </w:rPr>
        <w:t xml:space="preserve">5%.</w:t>
      </w:r>
    </w:p>
    <w:p>
      <w:pPr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ind w:firstLine="709"/>
        <w:rPr>
          <w:i/>
          <w:iCs/>
          <w:color w:val="000000"/>
          <w:lang w:val="ru-RU"/>
        </w:rPr>
      </w:pPr>
      <w:r>
        <w:rPr>
          <w:i/>
          <w:iCs/>
          <w:noProof/>
          <w:color w:val="000000"/>
        </w:rPr>
        <w:drawing>
          <wp:inline distT="0" distB="0" distL="0" distR="0">
            <wp:extent cx="5486400" cy="3200400"/>
            <wp:effectExtent l="0" t="0" r="12700" b="12700"/>
            <wp:docPr id="1" name="Chart 1" descr=""/>
            <wp:cNvGraphicFramePr/>
            <a:graphic>
              <a:graphicData uri="http://schemas.openxmlformats.org/drawingml/2006/chart">
                <c:chart r:id="rId1"/>
              </a:graphicData>
            </a:graphic>
          </wp:inline>
        </w:drawing>
      </w:r>
    </w:p>
    <w:p>
      <w:pPr>
        <w:ind w:left="709" w:firstLine="0"/>
        <w:rPr>
          <w:i/>
          <w:iCs/>
        </w:rPr>
      </w:pPr>
      <w:r>
        <w:rPr>
          <w:i/>
          <w:iCs/>
        </w:rPr>
        <w:t xml:space="preserve">Модель монетизации:</w:t>
      </w:r>
    </w:p>
    <w:p>
      <w:pPr>
        <w:ind w:firstLine="709"/>
        <w:rPr>
          <w:lang w:val="ru-RU"/>
        </w:rPr>
      </w:pPr>
      <w:r>
        <w:t xml:space="preserve">Подписка (SaaS) — бесплатный тариф с ограниченным количеством проверок в месяц, платные тарифы с расширенными возможностями и корпоративными функциями</w:t>
      </w:r>
    </w:p>
    <w:p>
      <w:pPr>
        <w:ind w:firstLine="709"/>
        <w:rPr>
          <w:i/>
          <w:iCs/>
          <w:lang w:val="ru-RU"/>
        </w:rPr>
      </w:pPr>
      <w:r>
        <w:rPr>
          <w:i/>
          <w:iCs/>
        </w:rPr>
        <w:t xml:space="preserve">Критичность проблемы:</w:t>
      </w:r>
    </w:p>
    <w:p>
      <w:pPr>
        <w:ind w:firstLine="709"/>
      </w:pPr>
      <w:r>
        <w:t xml:space="preserve">Проблема является средне-критичной, поскольку проверку договоров можно осуществлять вручную силами штатных юристов или отдавать на аутсорс в юридические фирмы. Недостатки существующих решений — высокая стоимость аутсорса, долгое время ручной проверки, риск человеческой ошибки, а также опасность утечки конфиденциальных данных при копировании текста договора в публичные нейросети (ChatGPT и аналоги). Приложение решает эти проблемы, обеспечивая быструю, дешёвую и безопасную проверку с сохранением истории и структуры документа. </w:t>
      </w:r>
    </w:p>
    <w:p>
      <w:pPr>
        <w:keepNext/>
        <w:keepLines/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spacing w:before="360" w:after="80"/>
        <w:ind w:firstLine="709"/>
        <w:rPr>
          <w:color w:val="000000"/>
        </w:rPr>
      </w:pPr>
      <w:bookmarkStart w:id="4" w:name="_heading=h.3o7alnk"/>
      <w:bookmarkEnd w:id="4"/>
      <w:r>
        <w:rPr>
          <w:b/>
          <w:bCs/>
          <w:color w:val="000000"/>
        </w:rPr>
        <w:t xml:space="preserve">1.3. Размер рынка. Объем ЦА. Какое потенциальное количество пользователей</w:t>
      </w:r>
    </w:p>
    <w:p>
      <w:pPr>
        <w:ind w:firstLine="0"/>
        <w:rPr>
          <w:i/>
          <w:iCs/>
        </w:rPr>
      </w:pPr>
      <w:r>
        <w:rPr>
          <w:i/>
          <w:iCs/>
        </w:rPr>
        <w:t xml:space="preserve">Статистика:</w:t>
      </w:r>
    </w:p>
    <w:p>
      <w:pPr>
        <w:ind w:firstLine="709"/>
      </w:pPr>
      <w:r>
        <w:t xml:space="preserve">На скриншоте приведена статистика запросов, связанных с приложением для</w:t>
      </w:r>
      <w:r>
        <w:rPr>
          <w:lang w:val="ru-RU"/>
        </w:rPr>
        <w:t xml:space="preserve"> анализа юридических документов</w:t>
      </w:r>
      <w:r>
        <w:t xml:space="preserve">.</w:t>
      </w:r>
    </w:p>
    <w:p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>
            <wp:extent cx="6336665" cy="2664460"/>
            <wp:effectExtent l="0" t="0" r="635" b="2540"/>
            <wp:docPr id="2" name="Picture 2" descr=""/>
            <wp:cNvGraphicFramePr/>
            <a:graphic>
              <a:graphicData uri="http://schemas.openxmlformats.org/drawingml/2006/picture">
                <pic:pic>
                  <pic:nvPicPr>
                    <pic:cNvPr id="0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665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6336665" cy="2912745"/>
            <wp:effectExtent l="0" t="0" r="635" b="0"/>
            <wp:docPr id="3" name="Picture 3" descr=""/>
            <wp:cNvGraphicFramePr/>
            <a:graphic>
              <a:graphicData uri="http://schemas.openxmlformats.org/drawingml/2006/picture">
                <pic:pic>
                  <pic:nvPicPr>
                    <pic:cNvPr id="0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665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0"/>
        <w:rPr>
          <w:i/>
          <w:iCs/>
        </w:rPr>
      </w:pPr>
      <w:r>
        <w:rPr>
          <w:i/>
          <w:iCs/>
        </w:rPr>
        <w:t xml:space="preserve">Анализ рынка сверху-вниз:</w:t>
      </w:r>
    </w:p>
    <w:p>
      <w:pPr>
        <w:ind w:firstLine="0"/>
        <w:jc w:val="center"/>
        <w:rPr>
          <w:i/>
          <w:iCs/>
          <w:lang w:val="ru-RU"/>
        </w:rPr>
      </w:pPr>
    </w:p>
    <w:p>
      <w:pPr>
        <w:ind w:firstLine="0"/>
        <w:jc w:val="center"/>
        <w:rPr>
          <w:i/>
          <w:iCs/>
          <w:lang w:val="ru-RU"/>
        </w:rPr>
      </w:pPr>
      <w:r>
        <w:rPr>
          <w:i/>
          <w:iCs/>
          <w:noProof/>
          <w:lang w:val="ru-RU"/>
        </w:rPr>
        <w:drawing>
          <wp:inline distT="0" distB="0" distL="0" distR="0">
            <wp:extent cx="3810000" cy="3225800"/>
            <wp:effectExtent l="0" t="0" r="0" b="0"/>
            <wp:docPr id="4" name="Picture 4" descr=""/>
            <wp:cNvGraphicFramePr/>
            <a:graphic>
              <a:graphicData uri="http://schemas.openxmlformats.org/drawingml/2006/picture">
                <pic:pic>
                  <pic:nvPicPr>
                    <pic:cNvPr id="0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spacing w:before="360" w:after="80"/>
        <w:ind w:firstLine="709"/>
        <w:rPr>
          <w:color w:val="000000"/>
        </w:rPr>
      </w:pPr>
      <w:bookmarkStart w:id="5" w:name="_heading=h.23ckvvd"/>
      <w:bookmarkEnd w:id="5"/>
      <w:r>
        <w:rPr>
          <w:b/>
          <w:bCs/>
          <w:color w:val="000000"/>
        </w:rPr>
        <w:t xml:space="preserve">1.4. Критерии успешного продукта. Как будет измеряться успешность продукта?</w:t>
      </w:r>
    </w:p>
    <w:p>
      <w:pPr>
        <w:ind w:firstLine="709"/>
      </w:pPr>
      <w:bookmarkStart w:id="6" w:name="_heading=h.ihv636"/>
      <w:bookmarkEnd w:id="6"/>
      <w:r>
        <w:t xml:space="preserve">Успешность продукта можно измерять на начальных этапах количеством зарегистрированных пользователей и количеством проверенных договоров в месяц, а на более поздних — с помощью бизнес-метрик: регулярной выручки (MRR/ARR), низкого уровня оттока клиентов (Churn Rate), а также продуктовых метрик: времени анализа одного договора (цель — менее 2 минут), точности обнаружения рисков (цель — более 90%) и частоты использования инструмента одним пользователем.</w:t>
      </w:r>
    </w:p>
    <w:p>
      <w:pPr>
        <w:keepNext/>
        <w:keepLines/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spacing w:before="360" w:after="80"/>
        <w:ind w:firstLine="709"/>
        <w:rPr>
          <w:b/>
          <w:bCs/>
          <w:color w:val="000000"/>
        </w:rPr>
      </w:pPr>
      <w:r>
        <w:rPr>
          <w:b/>
          <w:bCs/>
          <w:color w:val="000000"/>
        </w:rPr>
        <w:t xml:space="preserve">1.5. Конкуренты (альтернативы). Как сейчас решается эта проблема.</w:t>
      </w:r>
    </w:p>
    <w:p>
      <w:pPr>
        <w:ind w:firstLine="0"/>
        <w:jc w:val="left"/>
      </w:pPr>
      <w:r>
        <w:rPr>
          <w:i/>
          <w:iCs/>
        </w:rPr>
        <w:t xml:space="preserve">Таблица конкурентов</w:t>
      </w:r>
    </w:p>
    <w:tbl>
      <w:tblPr>
        <w:tblStyle w:val="af3"/>
        <w:tblW w:w="9959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1518"/>
        <w:gridCol w:w="1591"/>
        <w:gridCol w:w="1559"/>
        <w:gridCol w:w="1701"/>
        <w:gridCol w:w="1276"/>
        <w:gridCol w:w="2314"/>
      </w:tblGrid>
      <w:tr>
        <w:trPr>
          <w:trHeight w:val="480" w:hRule="atLeast"/>
        </w:trPr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00000"/>
              </w:rPr>
              <w:t xml:space="preserve">Конкурент</w:t>
            </w:r>
          </w:p>
        </w:tc>
        <w:tc>
          <w:tcPr>
            <w:tcW w:w="31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00000"/>
              </w:rPr>
              <w:t xml:space="preserve">Преимущества</w:t>
            </w:r>
          </w:p>
        </w:tc>
        <w:tc>
          <w:tcPr>
            <w:tcW w:w="297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00000"/>
              </w:rPr>
              <w:t xml:space="preserve">Недостатки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00000"/>
              </w:rPr>
              <w:t xml:space="preserve">Наш ответ</w:t>
            </w:r>
          </w:p>
        </w:tc>
      </w:tr>
      <w:tr>
        <w:trPr>
          <w:trHeight w:val="1020" w:hRule="atLeast"/>
        </w:trPr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color w:val="000000"/>
              </w:rPr>
              <w:t xml:space="preserve"> 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color w:val="000000"/>
              </w:rPr>
              <w:t xml:space="preserve">Преимущество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color w:val="000000"/>
              </w:rPr>
              <w:t xml:space="preserve">Важность для потребителя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color w:val="000000"/>
              </w:rPr>
              <w:t xml:space="preserve">Недостаток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color w:val="000000"/>
              </w:rPr>
              <w:t xml:space="preserve">Важность для потребителя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color w:val="000000"/>
              </w:rPr>
              <w:t xml:space="preserve"> </w:t>
            </w:r>
          </w:p>
        </w:tc>
      </w:tr>
      <w:tr>
        <w:trPr>
          <w:trHeight w:val="1020" w:hRule="atLeast"/>
        </w:trPr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Ручная проверка штатными юристами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Высокое качество, учёт контекста компании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Очень важно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Долгое время проверки, риск человеческой ошибки, выгорание сотрудников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Важно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Приложение анализирует договор за 1-2 минуты, не устаёт, находит противоречия, которые человек может пропустить</w:t>
            </w:r>
          </w:p>
        </w:tc>
      </w:tr>
      <w:tr>
        <w:trPr>
          <w:trHeight w:val="1020" w:hRule="atLeast"/>
        </w:trPr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Аутсорс в юридические фирмы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Профессиональная экспертиза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Важно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Высокая стоимость каждой проверки, долгое ожидание результата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Важно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Приложение стоит значительно дешевле разовой консультации юриста и выдаёт результат мгновенно</w:t>
            </w:r>
          </w:p>
        </w:tc>
      </w:tr>
      <w:tr>
        <w:trPr>
          <w:trHeight w:val="1020" w:hRule="atLeast"/>
        </w:trPr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Универсальные LLM (ChatGPT, YandexGPT)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Быстрый ответ на вопросы по тексту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Важно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Риск утечки конфиденциальных данных, отсутствие структуры, нет истории проверок, «галлюцинации»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Критично важно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color w:val="000000"/>
                <w:lang w:val="ru-RU"/>
              </w:rPr>
            </w:pPr>
            <w:r>
              <w:rPr>
                <w:color w:val="000000"/>
              </w:rPr>
              <w:t xml:space="preserve">Приложение работает в изолированном контуре, данные не передаются в публичные нейросети, есть история и структура</w:t>
            </w:r>
          </w:p>
        </w:tc>
      </w:tr>
      <w:tr>
        <w:trPr>
          <w:trHeight w:val="1020" w:hRule="atLeast"/>
        </w:trPr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Специализированные LegalTech-платформы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Узкая специализация на договорах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Важно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Высокая цена, сложный интерфейс, ориентация только на крупный бизнес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Важно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Приложение имеет простой интерфейс, доступные тарифы для МСП и гибкую настройку под разные типы договоров</w:t>
            </w:r>
          </w:p>
        </w:tc>
      </w:tr>
    </w:tbl>
    <w:p>
      <w:pPr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spacing w:before="240" w:line="600" w:lineRule="auto"/>
        <w:ind w:left="1287" w:firstLine="0"/>
        <w:rPr>
          <w:b/>
          <w:bCs/>
          <w:color w:val="000000"/>
        </w:rPr>
      </w:pPr>
    </w:p>
    <w:p>
      <w:pPr>
        <w:keepNext/>
        <w:keepLines/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spacing w:before="360" w:after="80"/>
        <w:ind w:firstLine="709"/>
        <w:rPr>
          <w:b/>
          <w:bCs/>
          <w:color w:val="000000"/>
        </w:rPr>
      </w:pPr>
      <w:bookmarkStart w:id="7" w:name="_heading=h.32hioqz"/>
      <w:bookmarkEnd w:id="7"/>
      <w:r>
        <w:rPr>
          <w:b/>
          <w:bCs/>
          <w:color w:val="000000"/>
        </w:rPr>
        <w:t xml:space="preserve">1.6. Преимущество продукта по сравнению с другими. Новые функции.</w:t>
      </w:r>
    </w:p>
    <w:p>
      <w:pPr>
        <w:pStyle w:val="a4"/>
        <w:numPr>
          <w:ilvl w:val="0"/>
          <w:numId w:val="7"/>
        </w:numPr>
        <w:rPr>
          <w:lang w:val="ru-RU"/>
        </w:rPr>
      </w:pPr>
      <w:r>
        <w:t xml:space="preserve">возможность находить логические противоречия внутри одного договора (например, разные сроки оплаты в разных разделах); </w:t>
      </w:r>
    </w:p>
    <w:p>
      <w:pPr>
        <w:pStyle w:val="a4"/>
        <w:numPr>
          <w:ilvl w:val="0"/>
          <w:numId w:val="7"/>
        </w:numPr>
        <w:rPr>
          <w:lang w:val="ru-RU"/>
        </w:rPr>
      </w:pPr>
      <w:r>
        <w:t xml:space="preserve">возможность настраивать корпоративные правила проверки (Playbook) под специфику конкретной компании; </w:t>
      </w:r>
    </w:p>
    <w:p>
      <w:pPr>
        <w:pStyle w:val="a4"/>
        <w:numPr>
          <w:ilvl w:val="0"/>
          <w:numId w:val="7"/>
        </w:numPr>
        <w:rPr>
          <w:lang w:val="ru-RU"/>
        </w:rPr>
      </w:pPr>
      <w:r>
        <w:t xml:space="preserve">автоматическая генерация безопасных альтернативных формулировок для найденных рисков; </w:t>
      </w:r>
    </w:p>
    <w:p>
      <w:pPr>
        <w:pStyle w:val="a4"/>
        <w:numPr>
          <w:ilvl w:val="0"/>
          <w:numId w:val="7"/>
        </w:numPr>
        <w:rPr>
          <w:lang w:val="ru-RU"/>
        </w:rPr>
      </w:pPr>
      <w:r>
        <w:t xml:space="preserve">краткое резюме (Executive Summary) для руководителя с рекомендацией: подписывать или отправлять на доработку; </w:t>
      </w:r>
    </w:p>
    <w:p>
      <w:pPr>
        <w:pStyle w:val="a4"/>
        <w:numPr>
          <w:ilvl w:val="0"/>
          <w:numId w:val="7"/>
        </w:numPr>
      </w:pPr>
      <w:r>
        <w:t xml:space="preserve">статистика и аналитика по типовым рискам в договорах компании.</w:t>
      </w:r>
    </w:p>
    <w:p>
      <w:pPr>
        <w:keepNext/>
        <w:keepLines/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spacing w:before="360" w:after="80"/>
        <w:ind w:firstLine="709"/>
        <w:rPr>
          <w:b/>
          <w:bCs/>
          <w:color w:val="000000"/>
        </w:rPr>
      </w:pPr>
      <w:bookmarkStart w:id="8" w:name="_heading=h.1hmsyys"/>
      <w:bookmarkEnd w:id="8"/>
      <w:r>
        <w:rPr>
          <w:b/>
          <w:bCs/>
          <w:color w:val="000000"/>
        </w:rPr>
        <w:t xml:space="preserve">1.7. Время выхода продукта. Почему нужно выпустить продукт сейчас?</w:t>
      </w:r>
    </w:p>
    <w:p>
      <w:pPr>
        <w:ind w:firstLine="709"/>
        <w:rPr>
          <w:lang w:val="ru-RU"/>
        </w:rPr>
      </w:pPr>
      <w:r>
        <w:t xml:space="preserve">В последнее время компании активно оптимизируют операционные расходы и требуют от юридических отделов большей эффективности при тех же ресурсах. Одновременно с этим языковые модели достигли достаточной зрелости, чтобы корректно работать с длинными юридическими текстами благодаря длинному контекстному окну. Люди устали от рутины и готовы доверить первичную проверку договоров искусственному интеллекту, оставив за собой финальное решение. А приложение позволяет проводить качественную проверку договоров без особых усилий и за считанные минуты.</w:t>
      </w:r>
    </w:p>
    <w:p>
      <w:pPr>
        <w:ind w:firstLine="709"/>
        <w:rPr>
          <w:b/>
          <w:bCs/>
        </w:rPr>
      </w:pPr>
      <w:r>
        <w:rPr>
          <w:b/>
          <w:bCs/>
          <w:color w:val="000000"/>
        </w:rPr>
        <w:t xml:space="preserve">1.8. Как продвигать продукт на рынке. Как пользователи узнают о продукте.</w:t>
      </w:r>
    </w:p>
    <w:p>
      <w:pPr>
        <w:ind w:firstLine="709"/>
      </w:pPr>
      <w:r>
        <w:t xml:space="preserve">Пользователи будут узнавать о приложении с помощью нескольких каналов. Это может быть контент-маркетинг — публикации разборов «Топ-10 скрытых рисков в типовых договорах» в профессиональных сообществах и блогах. Также можно заказывать рекламу у юридических блогеров и экспертов, которые рассказывают о защите бизнеса. Дополнительным каналом станет интеграция приложения через API в популярные системы электронного документооборота (СЭД), чтобы кнопка «Проверить ИИ» появлялась прямо в карточке договора. Для малого бизнеса будет работать бесплатный тариф, который сформирует привычку использования и сарафанное радио.</w:t>
      </w:r>
    </w:p>
    <w:p>
      <w:pPr>
        <w:keepNext/>
        <w:keepLines/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ind w:firstLine="709"/>
        <w:jc w:val="left"/>
        <w:rPr>
          <w:b/>
          <w:bCs/>
        </w:rPr>
      </w:pPr>
      <w:bookmarkStart w:id="9" w:name="_heading=h.2grqrue"/>
      <w:bookmarkEnd w:id="9"/>
      <w:r>
        <w:rPr>
          <w:b/>
          <w:bCs/>
          <w:color w:val="000000"/>
        </w:rPr>
        <w:t xml:space="preserve">1.9. Ключевые факторы успеха. Что должно быть обязательно? Ограничения, зависимость.</w:t>
      </w:r>
    </w:p>
    <w:p>
      <w:pPr>
        <w:ind w:firstLine="709"/>
      </w:pPr>
      <w:bookmarkStart w:id="10" w:name="_heading=h.vx1227"/>
      <w:bookmarkEnd w:id="10"/>
      <w:r>
        <w:t xml:space="preserve">Ключевыми факторами успеха следует сделать точность анализа без «галлюцинаций» в ссылках на законы, безопасность данных и наличие функций, которых нет у других решений, но которые нужны пользователям — в частности, поиск внутренних противоречий и генерация готовых правок.</w:t>
      </w:r>
    </w:p>
    <w:p>
      <w:pPr>
        <w:ind w:firstLine="709"/>
      </w:pPr>
      <w:r>
        <w:t xml:space="preserve">Обязательно нужно реализовать загрузку договоров в форматах PDF и DOCX, автоматическое выявление стандартных рисков и логических противоречий, а также возможность принимать или отклонять рекомендации ИИ.</w:t>
      </w:r>
    </w:p>
    <w:p>
      <w:pPr>
        <w:ind w:firstLine="709"/>
        <w:rPr>
          <w:lang w:val="ru-RU"/>
        </w:rPr>
      </w:pPr>
      <w:r>
        <w:t xml:space="preserve">Ограничения: на начальных этапах приложение будет работать только с договорами на русском языке, поддержка других языков и интеграция с внешними СЭД появится в следующих версиях. Также продукт позиционируется исключительно как помощник юриста, а не его полная замена, чтобы избежать юридических рисков.</w:t>
      </w:r>
    </w:p>
    <w:p>
      <w:pPr>
        <w:keepNext/>
        <w:keepLines/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spacing w:before="360" w:after="80"/>
        <w:ind w:left="709" w:firstLine="0"/>
        <w:jc w:val="left"/>
        <w:rPr>
          <w:b/>
          <w:bCs/>
          <w:color w:val="000000"/>
        </w:rPr>
      </w:pPr>
      <w:r>
        <w:rPr>
          <w:b/>
          <w:bCs/>
          <w:color w:val="000000"/>
        </w:rPr>
        <w:t xml:space="preserve">1.10. Рекомендация product manager (да/нет).</w:t>
      </w:r>
    </w:p>
    <w:p>
      <w:pPr>
        <w:ind w:firstLine="709"/>
      </w:pPr>
      <w:r>
        <w:t xml:space="preserve">Да</w:t>
      </w:r>
    </w:p>
    <w:p>
      <w:bookmarkEnd w:id="2"/>
      <w:r>
        <w:br w:type="page"/>
      </w:r>
    </w:p>
    <w:p>
      <w:pPr>
        <w:keepNext/>
        <w:keepLines/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jc w:val="center"/>
        <w:rPr>
          <w:b/>
          <w:bCs/>
          <w:color w:val="000000"/>
          <w:sz w:val="28"/>
          <w:szCs w:val="28"/>
        </w:rPr>
      </w:pPr>
      <w:bookmarkStart w:id="11" w:name="_heading=h.3fwokq0"/>
      <w:bookmarkEnd w:id="11"/>
      <w:r>
        <w:rPr>
          <w:b/>
          <w:bCs/>
          <w:color w:val="000000"/>
          <w:sz w:val="28"/>
          <w:szCs w:val="28"/>
        </w:rPr>
        <w:t xml:space="preserve">2. Результаты прототипирования</w:t>
      </w:r>
    </w:p>
    <w:p>
      <w:pPr>
        <w:keepNext/>
        <w:keepLines/>
        <w:pBdr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between w:val="nil" w:sz="4" w:space="0" w:color="auto"/>
        </w:pBdr>
        <w:spacing w:before="360" w:after="80"/>
        <w:ind w:firstLine="709"/>
        <w:rPr>
          <w:color w:val="000000"/>
          <w:sz w:val="36"/>
          <w:szCs w:val="36"/>
          <w:lang w:val="en-GB"/>
        </w:rPr>
      </w:pPr>
      <w:bookmarkStart w:id="12" w:name="_heading=h.lnxbz9"/>
      <w:bookmarkEnd w:id="12"/>
      <w:r>
        <w:rPr>
          <w:b/>
          <w:bCs/>
          <w:color w:val="000000"/>
          <w:lang w:val="en-GB"/>
        </w:rPr>
        <w:t xml:space="preserve">2.1. User Story Mapping </w:t>
      </w:r>
    </w:p>
    <w:p>
      <w:pPr>
        <w:ind w:firstLine="851"/>
        <w:rPr>
          <w:lang w:val="ru-RU"/>
        </w:rPr>
      </w:pPr>
      <w:r>
        <w:rPr>
          <w:color w:val="000000"/>
        </w:rPr>
        <w:t xml:space="preserve">Карта историй создана с помощью сервиса miro.com (</w:t>
      </w:r>
      <w:hyperlink r:id="rId5" w:history="1">
        <w:r>
          <w:rPr>
            <w:rStyle w:val="a6"/>
          </w:rPr>
          <w:t xml:space="preserve">https://miro.com/app/board/uXjVJE7ed9s=/?share_link_id=283184513170</w:t>
        </w:r>
      </w:hyperlink>
      <w:r>
        <w:rPr>
          <w:color w:val="000000"/>
        </w:rPr>
        <w:t xml:space="preserve">).</w:t>
      </w:r>
      <w:r>
        <w:rPr>
          <w:lang w:val="ru-RU"/>
        </w:rPr>
        <w:t xml:space="preserve"> </w:t>
      </w:r>
      <w:r>
        <w:t xml:space="preserve">Были определены главные пользовательские активности и соответствующие им действия, необходимые для реализации веб-приложения ИИ-аналитика юридических документов. Первой ключевой активностью является загрузка и подготовка документов, которая включает в себя выбор файла с компьютера, указание типа документа и настройку базовых параметров анализа. Второй важной активностью выступает автоматизированный анализ и оценка рисков, объединяющая такие действия, как извлечение текста из форматов PDF и DOCX, гибридный анализ с использованием как строгих алгоритмических правил, так и языковых моделей для поиска логических противоречий, а также автоматическое извлечение ключевых сущностей вроде дат, сумм и сторон договора. Третья активность связана с работой с результатами проверки и включает просмотр детального отчета непосредственно в браузере, удобную навигацию по выявленным рискам с прямыми цитатами из текста и экспорт итоговых данных в формат PDF. Завершает список активность по управлению профилем и учетной записью, которая охватывает редактирование личных данных, гибкую настройку частоты и периода уведомлений, а также стандартные процедуры входа в систему и регистрации. Итоговая карта историй, отражающая данную структуру и распределение функций по этапам разработки, представлена на рисунке 2.1 ниже.</w:t>
      </w:r>
    </w:p>
    <w:p>
      <w:pPr>
        <w:ind w:firstLine="851"/>
        <w:rPr>
          <w:rFonts w:ascii="Arial" w:hAnsi="Arial" w:cs="Arial"/>
          <w:color w:val="FAFBFF"/>
          <w:spacing w:val="-5"/>
          <w:shd w:val="clear" w:color="auto" w:fill="293652"/>
          <w:lang w:val="ru-RU"/>
        </w:rPr>
      </w:pPr>
    </w:p>
    <w:p>
      <w:pPr>
        <w:tabs>
          <w:tab w:val="left" w:pos="0"/>
        </w:tabs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5361325" cy="3350895"/>
            <wp:effectExtent l="0" t="0" r="0" b="1905"/>
            <wp:docPr id="5" name="Picture 5" descr=""/>
            <wp:cNvGraphicFramePr/>
            <a:graphic>
              <a:graphicData uri="http://schemas.openxmlformats.org/drawingml/2006/picture">
                <pic:pic>
                  <pic:nvPicPr>
                    <pic:cNvPr id="0" name="image4.jpeg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1325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color w:val="000000"/>
          <w:lang w:val="ru-RU"/>
        </w:rPr>
      </w:pPr>
      <w:r>
        <w:rPr>
          <w:color w:val="000000"/>
        </w:rPr>
        <w:t xml:space="preserve">Рисунок 2.1 — Карта историй</w:t>
      </w:r>
    </w:p>
    <w:p>
      <w:pPr>
        <w:rPr>
          <w:lang w:val="ru-RU"/>
        </w:rPr>
      </w:pPr>
      <w:r>
        <w:rPr>
          <w:lang w:val="ru-RU"/>
        </w:rPr>
        <w:t xml:space="preserve">Ниже в таблице 2.1 представлена карта историй в виде таблицы для активностей загрузки документа и анализа документа, в таблице 2.2 — для активности просмотра результатов и управления профилем, а в таблице 2.3 — для активности управления учетными записями.</w:t>
      </w:r>
    </w:p>
    <w:p>
      <w:pPr>
        <w:rPr>
          <w:lang w:val="ru-RU"/>
        </w:rPr>
      </w:pPr>
    </w:p>
    <w:p>
      <w:pPr>
        <w:ind w:firstLine="0"/>
        <w:rPr>
          <w:lang w:val="ru-RU"/>
        </w:rPr>
      </w:pPr>
      <w:r>
        <w:rPr>
          <w:lang w:val="ru-RU"/>
        </w:rPr>
        <w:t xml:space="preserve">Таблица 2.1 – Карта историй (Загрузка документов и Анализ документов) 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371"/>
        <w:gridCol w:w="1322"/>
        <w:gridCol w:w="1173"/>
        <w:gridCol w:w="1200"/>
        <w:gridCol w:w="1282"/>
        <w:gridCol w:w="843"/>
        <w:gridCol w:w="1496"/>
        <w:gridCol w:w="1282"/>
      </w:tblGrid>
      <w:tr>
        <w:tc>
          <w:tcPr>
            <w:tcW w:w="1371" w:type="dxa"/>
          </w:tcPr>
          <w:p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Цель (активность)</w:t>
            </w:r>
          </w:p>
        </w:tc>
        <w:tc>
          <w:tcPr>
            <w:tcW w:w="3695" w:type="dxa"/>
            <w:gridSpan w:val="3"/>
          </w:tcPr>
          <w:p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Загрузка документов</w:t>
            </w:r>
          </w:p>
        </w:tc>
        <w:tc>
          <w:tcPr>
            <w:tcW w:w="4903" w:type="dxa"/>
            <w:gridSpan w:val="4"/>
          </w:tcPr>
          <w:p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Анализ документов</w:t>
            </w:r>
          </w:p>
        </w:tc>
      </w:tr>
      <w:tr>
        <w:tc>
          <w:tcPr>
            <w:tcW w:w="1371" w:type="dxa"/>
          </w:tcPr>
          <w:p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Действия</w:t>
            </w:r>
          </w:p>
        </w:tc>
        <w:tc>
          <w:tcPr>
            <w:tcW w:w="1322" w:type="dxa"/>
          </w:tcPr>
          <w:p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Выбрать файл с компьютера</w:t>
            </w:r>
          </w:p>
        </w:tc>
        <w:tc>
          <w:tcPr>
            <w:tcW w:w="1173" w:type="dxa"/>
          </w:tcPr>
          <w:p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Указать тип документа</w:t>
            </w:r>
          </w:p>
        </w:tc>
        <w:tc>
          <w:tcPr>
            <w:tcW w:w="1200" w:type="dxa"/>
          </w:tcPr>
          <w:p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Настроить параметры анализа</w:t>
            </w:r>
          </w:p>
        </w:tc>
        <w:tc>
          <w:tcPr>
            <w:tcW w:w="1282" w:type="dxa"/>
          </w:tcPr>
          <w:p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Извлечение текста из </w:t>
            </w:r>
            <w:r>
              <w:rPr>
                <w:lang w:val="en-GB"/>
              </w:rPr>
              <w:t xml:space="preserve">pdf</w:t>
            </w:r>
            <w:r>
              <w:rPr>
                <w:lang w:val="ru-RU"/>
              </w:rPr>
              <w:t xml:space="preserve"> и </w:t>
            </w:r>
            <w:r>
              <w:rPr>
                <w:lang w:val="en-GB"/>
              </w:rPr>
              <w:t xml:space="preserve">docx</w:t>
            </w:r>
          </w:p>
        </w:tc>
        <w:tc>
          <w:tcPr>
            <w:tcW w:w="843" w:type="dxa"/>
          </w:tcPr>
          <w:p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ИИ -анализ рисков</w:t>
            </w:r>
          </w:p>
        </w:tc>
        <w:tc>
          <w:tcPr>
            <w:tcW w:w="1496" w:type="dxa"/>
          </w:tcPr>
          <w:p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Проверка противоречий между разделами</w:t>
            </w:r>
          </w:p>
        </w:tc>
        <w:tc>
          <w:tcPr>
            <w:tcW w:w="1282" w:type="dxa"/>
          </w:tcPr>
          <w:p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Извлечение сущностей</w:t>
            </w:r>
          </w:p>
        </w:tc>
      </w:tr>
      <w:tr>
        <w:tc>
          <w:tcPr>
            <w:tcW w:w="1371" w:type="dxa"/>
          </w:tcPr>
          <w:p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MVP</w:t>
            </w:r>
          </w:p>
        </w:tc>
        <w:tc>
          <w:tcPr>
            <w:tcW w:w="3695" w:type="dxa"/>
            <w:gridSpan w:val="3"/>
          </w:tcPr>
          <w:p>
            <w:pPr>
              <w:ind w:firstLine="0"/>
              <w:rPr>
                <w:lang w:val="en-GB"/>
              </w:rPr>
            </w:pPr>
            <w:r>
              <w:rPr>
                <w:lang w:val="ru-RU"/>
              </w:rPr>
              <w:t xml:space="preserve">Ручная загрузка </w:t>
            </w:r>
            <w:r>
              <w:rPr>
                <w:lang w:val="en-GB"/>
              </w:rPr>
              <w:t xml:space="preserve">PDF</w:t>
            </w:r>
            <w:r>
              <w:rPr>
                <w:lang w:val="ru-RU"/>
              </w:rPr>
              <w:t xml:space="preserve"> и </w:t>
            </w:r>
            <w:r>
              <w:rPr>
                <w:lang w:val="en-GB"/>
              </w:rPr>
              <w:t xml:space="preserve">DOCX</w:t>
            </w:r>
          </w:p>
          <w:p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Базовое извлечение текста</w:t>
            </w:r>
          </w:p>
          <w:p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Гостевой режим для быстрого теста</w:t>
            </w:r>
          </w:p>
        </w:tc>
        <w:tc>
          <w:tcPr>
            <w:tcW w:w="4903" w:type="dxa"/>
            <w:gridSpan w:val="4"/>
          </w:tcPr>
          <w:p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ИИ- анализ</w:t>
            </w:r>
          </w:p>
          <w:p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Поиск противоречий </w:t>
            </w:r>
          </w:p>
          <w:p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Извлечение ключевых сущностей</w:t>
            </w:r>
          </w:p>
          <w:p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Классификация типа договора</w:t>
            </w:r>
          </w:p>
        </w:tc>
      </w:tr>
      <w:tr>
        <w:tc>
          <w:tcPr>
            <w:tcW w:w="1371" w:type="dxa"/>
          </w:tcPr>
          <w:p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Release 1</w:t>
            </w:r>
          </w:p>
        </w:tc>
        <w:tc>
          <w:tcPr>
            <w:tcW w:w="3695" w:type="dxa"/>
            <w:gridSpan w:val="3"/>
          </w:tcPr>
          <w:p>
            <w:pPr>
              <w:ind w:firstLine="0"/>
              <w:rPr>
                <w:lang w:val="ru-RU"/>
              </w:rPr>
            </w:pPr>
          </w:p>
        </w:tc>
        <w:tc>
          <w:tcPr>
            <w:tcW w:w="4903" w:type="dxa"/>
            <w:gridSpan w:val="4"/>
          </w:tcPr>
          <w:p>
            <w:pPr>
              <w:ind w:firstLine="0"/>
              <w:rPr>
                <w:lang w:val="ru-RU"/>
              </w:rPr>
            </w:pPr>
          </w:p>
        </w:tc>
      </w:tr>
      <w:tr>
        <w:tc>
          <w:tcPr>
            <w:tcW w:w="1371" w:type="dxa"/>
          </w:tcPr>
          <w:p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Release 2</w:t>
            </w:r>
          </w:p>
        </w:tc>
        <w:tc>
          <w:tcPr>
            <w:tcW w:w="3695" w:type="dxa"/>
            <w:gridSpan w:val="3"/>
          </w:tcPr>
          <w:p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Массовая загрузка нескольких документов</w:t>
            </w:r>
          </w:p>
          <w:p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Поддержка мультиязычных документов</w:t>
            </w:r>
          </w:p>
        </w:tc>
        <w:tc>
          <w:tcPr>
            <w:tcW w:w="4903" w:type="dxa"/>
            <w:gridSpan w:val="4"/>
          </w:tcPr>
          <w:p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Пользовательские правила проверки</w:t>
            </w:r>
          </w:p>
          <w:p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Сравнение двух версий одного документа </w:t>
            </w:r>
          </w:p>
        </w:tc>
      </w:tr>
      <w:tr>
        <w:tc>
          <w:tcPr>
            <w:tcW w:w="1371" w:type="dxa"/>
          </w:tcPr>
          <w:p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Backlog</w:t>
            </w:r>
          </w:p>
        </w:tc>
        <w:tc>
          <w:tcPr>
            <w:tcW w:w="3695" w:type="dxa"/>
            <w:gridSpan w:val="3"/>
          </w:tcPr>
          <w:p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Автогенерация исправленных версий документов </w:t>
            </w:r>
          </w:p>
        </w:tc>
        <w:tc>
          <w:tcPr>
            <w:tcW w:w="4903" w:type="dxa"/>
            <w:gridSpan w:val="4"/>
          </w:tcPr>
          <w:p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Предиктивный анализ судебных рисков</w:t>
            </w:r>
          </w:p>
          <w:p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Интеграция с внешними юридическими базами</w:t>
            </w:r>
          </w:p>
        </w:tc>
      </w:tr>
    </w:tbl>
    <w:p>
      <w:pPr>
        <w:ind w:firstLine="0"/>
        <w:rPr>
          <w:lang w:val="ru-RU"/>
        </w:rPr>
      </w:pPr>
    </w:p>
    <w:p>
      <w:pPr>
        <w:ind w:firstLine="0"/>
        <w:rPr>
          <w:lang w:val="ru-RU"/>
        </w:rPr>
      </w:pPr>
      <w:r>
        <w:rPr>
          <w:lang w:val="ru-RU"/>
        </w:rPr>
        <w:t xml:space="preserve">Таблица 2.2 – Карта историй (Просмотр результатов и Управление профилем) 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298"/>
        <w:gridCol w:w="1064"/>
        <w:gridCol w:w="929"/>
        <w:gridCol w:w="1218"/>
        <w:gridCol w:w="1461"/>
        <w:gridCol w:w="1338"/>
        <w:gridCol w:w="1338"/>
        <w:gridCol w:w="1323"/>
      </w:tblGrid>
      <w:tr>
        <w:tc>
          <w:tcPr>
            <w:tcW w:w="3323" w:type="dxa"/>
          </w:tcPr>
          <w:p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Цель (активность)</w:t>
            </w:r>
          </w:p>
        </w:tc>
        <w:tc>
          <w:tcPr>
            <w:tcW w:w="3323" w:type="dxa"/>
            <w:gridSpan w:val="3"/>
          </w:tcPr>
          <w:p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Просмотр результатов</w:t>
            </w:r>
          </w:p>
        </w:tc>
        <w:tc>
          <w:tcPr>
            <w:tcW w:w="3323" w:type="dxa"/>
            <w:gridSpan w:val="4"/>
          </w:tcPr>
          <w:p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Управление профилем</w:t>
            </w:r>
          </w:p>
        </w:tc>
      </w:tr>
      <w:tr>
        <w:tc>
          <w:tcPr>
            <w:tcW w:w="3323" w:type="dxa"/>
          </w:tcPr>
          <w:p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Действия</w:t>
            </w:r>
          </w:p>
        </w:tc>
        <w:tc>
          <w:tcPr>
            <w:tcW w:w="1107" w:type="dxa"/>
          </w:tcPr>
          <w:p>
            <w:pPr>
              <w:ind w:firstLine="0"/>
              <w:rPr>
                <w:lang w:val="ru-RU"/>
              </w:rPr>
            </w:pPr>
            <w:r>
              <w:t xml:space="preserve">Просмотр отчёта в браузере</w:t>
            </w:r>
          </w:p>
        </w:tc>
        <w:tc>
          <w:tcPr>
            <w:tcW w:w="1108" w:type="dxa"/>
          </w:tcPr>
          <w:p>
            <w:pPr>
              <w:ind w:firstLine="0"/>
              <w:rPr>
                <w:lang w:val="ru-RU"/>
              </w:rPr>
            </w:pPr>
            <w:r>
              <w:t xml:space="preserve">Экспорт отчёта в PDF</w:t>
            </w:r>
          </w:p>
        </w:tc>
        <w:tc>
          <w:tcPr>
            <w:tcW w:w="1108" w:type="dxa"/>
          </w:tcPr>
          <w:p>
            <w:pPr>
              <w:ind w:firstLine="0"/>
              <w:rPr>
                <w:lang w:val="ru-RU"/>
              </w:rPr>
            </w:pPr>
            <w:r>
              <w:t xml:space="preserve">Поделиться отчётом с коллегой</w:t>
            </w:r>
          </w:p>
        </w:tc>
        <w:tc>
          <w:tcPr>
            <w:tcW w:w="830" w:type="dxa"/>
          </w:tcPr>
          <w:p>
            <w:pPr>
              <w:ind w:firstLine="0"/>
              <w:rPr>
                <w:lang w:val="ru-RU"/>
              </w:rPr>
            </w:pPr>
            <w:r>
              <w:t xml:space="preserve">Редактировать личные данные</w:t>
            </w:r>
          </w:p>
        </w:tc>
        <w:tc>
          <w:tcPr>
            <w:tcW w:w="831" w:type="dxa"/>
          </w:tcPr>
          <w:p>
            <w:pPr>
              <w:ind w:firstLine="0"/>
              <w:rPr>
                <w:lang w:val="ru-RU"/>
              </w:rPr>
            </w:pPr>
            <w:r>
              <w:t xml:space="preserve">Настроить частоту уведомлений</w:t>
            </w:r>
          </w:p>
        </w:tc>
        <w:tc>
          <w:tcPr>
            <w:tcW w:w="831" w:type="dxa"/>
          </w:tcPr>
          <w:p>
            <w:pPr>
              <w:ind w:firstLine="0"/>
              <w:rPr>
                <w:lang w:val="ru-RU"/>
              </w:rPr>
            </w:pPr>
            <w:r>
              <w:t xml:space="preserve">Указать период уведомлений</w:t>
            </w:r>
          </w:p>
        </w:tc>
        <w:tc>
          <w:tcPr>
            <w:tcW w:w="831" w:type="dxa"/>
          </w:tcPr>
          <w:p>
            <w:pPr>
              <w:ind w:firstLine="0"/>
              <w:rPr>
                <w:lang w:val="ru-RU"/>
              </w:rPr>
            </w:pPr>
            <w:r>
              <w:t xml:space="preserve">Отключить уведомления</w:t>
            </w:r>
          </w:p>
        </w:tc>
      </w:tr>
      <w:tr>
        <w:tc>
          <w:tcPr>
            <w:tcW w:w="3323" w:type="dxa"/>
          </w:tcPr>
          <w:p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MVP</w:t>
            </w:r>
          </w:p>
        </w:tc>
        <w:tc>
          <w:tcPr>
            <w:tcW w:w="3323" w:type="dxa"/>
            <w:gridSpan w:val="3"/>
          </w:tcPr>
          <w:p>
            <w:pPr>
              <w:ind w:firstLine="0"/>
              <w:rPr>
                <w:lang w:val="ru-RU"/>
              </w:rPr>
            </w:pPr>
            <w:r>
              <w:t xml:space="preserve">Простой отчёт с найденными рисками в браузере</w:t>
            </w:r>
          </w:p>
          <w:p>
            <w:pPr>
              <w:ind w:firstLine="0"/>
              <w:rPr>
                <w:lang w:val="ru-RU"/>
              </w:rPr>
            </w:pPr>
            <w:r>
              <w:t xml:space="preserve">Просмотр результатов на экране</w:t>
            </w:r>
          </w:p>
        </w:tc>
        <w:tc>
          <w:tcPr>
            <w:tcW w:w="3323" w:type="dxa"/>
            <w:gridSpan w:val="4"/>
          </w:tcPr>
          <w:p>
            <w:pPr>
              <w:ind w:firstLine="0"/>
              <w:rPr>
                <w:lang w:val="ru-RU"/>
              </w:rPr>
            </w:pPr>
            <w:r>
              <w:t xml:space="preserve">Базовый профиль пользователя (имя, email)</w:t>
            </w:r>
          </w:p>
        </w:tc>
      </w:tr>
      <w:tr>
        <w:tc>
          <w:tcPr>
            <w:tcW w:w="3323" w:type="dxa"/>
          </w:tcPr>
          <w:p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Release 1</w:t>
            </w:r>
          </w:p>
        </w:tc>
        <w:tc>
          <w:tcPr>
            <w:tcW w:w="3323" w:type="dxa"/>
            <w:gridSpan w:val="3"/>
          </w:tcPr>
          <w:p>
            <w:pPr>
              <w:ind w:firstLine="0"/>
              <w:rPr>
                <w:lang w:val="ru-RU"/>
              </w:rPr>
            </w:pPr>
            <w:r>
              <w:t xml:space="preserve">Детальный отчёт с цитатами и подсветкой рисков</w:t>
            </w:r>
          </w:p>
          <w:p>
            <w:pPr>
              <w:ind w:firstLine="0"/>
              <w:rPr>
                <w:lang w:val="ru-RU"/>
              </w:rPr>
            </w:pPr>
            <w:r>
              <w:t xml:space="preserve">Экспорт полного отчёта в PDF</w:t>
            </w:r>
          </w:p>
          <w:p>
            <w:pPr>
              <w:ind w:firstLine="0"/>
              <w:rPr>
                <w:lang w:val="ru-RU"/>
              </w:rPr>
            </w:pPr>
            <w:r>
              <w:t xml:space="preserve">Статистика по проверенным документам</w:t>
            </w:r>
          </w:p>
          <w:p>
            <w:pPr>
              <w:ind w:firstLine="0"/>
              <w:rPr>
                <w:lang w:val="ru-RU"/>
              </w:rPr>
            </w:pPr>
            <w:r>
              <w:t xml:space="preserve">График потребления проверок за неделю</w:t>
            </w:r>
          </w:p>
        </w:tc>
        <w:tc>
          <w:tcPr>
            <w:tcW w:w="3323" w:type="dxa"/>
            <w:gridSpan w:val="4"/>
          </w:tcPr>
          <w:p>
            <w:pPr>
              <w:ind w:firstLine="0"/>
              <w:rPr>
                <w:lang w:val="ru-RU"/>
              </w:rPr>
            </w:pPr>
            <w:r>
              <w:t xml:space="preserve">Email-уведомления о готовности проверки</w:t>
            </w:r>
          </w:p>
          <w:p>
            <w:pPr>
              <w:ind w:firstLine="0"/>
              <w:rPr>
                <w:lang w:val="ru-RU"/>
              </w:rPr>
            </w:pPr>
            <w:r>
              <w:t xml:space="preserve">Настройка частоты и периода уведомлений</w:t>
            </w:r>
          </w:p>
        </w:tc>
      </w:tr>
      <w:tr>
        <w:tc>
          <w:tcPr>
            <w:tcW w:w="3323" w:type="dxa"/>
          </w:tcPr>
          <w:p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Release 2</w:t>
            </w:r>
          </w:p>
        </w:tc>
        <w:tc>
          <w:tcPr>
            <w:tcW w:w="3323" w:type="dxa"/>
            <w:gridSpan w:val="3"/>
          </w:tcPr>
          <w:p>
            <w:pPr>
              <w:ind w:firstLine="0"/>
              <w:rPr>
                <w:lang w:val="ru-RU"/>
              </w:rPr>
            </w:pPr>
            <w:r>
              <w:t xml:space="preserve">Расширенная статистика и дашборд аналитики</w:t>
            </w:r>
          </w:p>
        </w:tc>
        <w:tc>
          <w:tcPr>
            <w:tcW w:w="3323" w:type="dxa"/>
            <w:gridSpan w:val="4"/>
          </w:tcPr>
          <w:p>
            <w:pPr>
              <w:ind w:firstLine="0"/>
              <w:rPr>
                <w:lang w:val="ru-RU"/>
              </w:rPr>
            </w:pPr>
          </w:p>
        </w:tc>
      </w:tr>
      <w:tr>
        <w:tc>
          <w:tcPr>
            <w:tcW w:w="3323" w:type="dxa"/>
          </w:tcPr>
          <w:p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Backlog</w:t>
            </w:r>
          </w:p>
        </w:tc>
        <w:tc>
          <w:tcPr>
            <w:tcW w:w="3323" w:type="dxa"/>
            <w:gridSpan w:val="3"/>
          </w:tcPr>
          <w:p>
            <w:pPr>
              <w:ind w:firstLine="0"/>
              <w:rPr>
                <w:lang w:val="ru-RU"/>
              </w:rPr>
            </w:pPr>
            <w:r>
              <w:t xml:space="preserve">Голосовой ввод заметок к документу</w:t>
            </w:r>
          </w:p>
        </w:tc>
        <w:tc>
          <w:tcPr>
            <w:tcW w:w="3323" w:type="dxa"/>
            <w:gridSpan w:val="4"/>
          </w:tcPr>
          <w:p>
            <w:pPr>
              <w:ind w:firstLine="0"/>
              <w:rPr>
                <w:lang w:val="ru-RU"/>
              </w:rPr>
            </w:pPr>
          </w:p>
        </w:tc>
      </w:tr>
    </w:tbl>
    <w:p>
      <w:pPr>
        <w:rPr>
          <w:lang w:val="ru-RU"/>
        </w:rPr>
      </w:pPr>
    </w:p>
    <w:p>
      <w:pPr>
        <w:ind w:firstLine="0"/>
        <w:rPr>
          <w:lang w:val="ru-RU"/>
        </w:rPr>
      </w:pPr>
      <w:r>
        <w:rPr>
          <w:lang w:val="ru-RU"/>
        </w:rPr>
        <w:t xml:space="preserve">Таблица 2.3 – Карта историй (Управление акаунтом) 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4984"/>
        <w:gridCol w:w="1661"/>
        <w:gridCol w:w="1662"/>
        <w:gridCol w:w="1662"/>
      </w:tblGrid>
      <w:tr>
        <w:tc>
          <w:tcPr>
            <w:tcW w:w="4984" w:type="dxa"/>
          </w:tcPr>
          <w:p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Цель (активность)</w:t>
            </w:r>
          </w:p>
        </w:tc>
        <w:tc>
          <w:tcPr>
            <w:tcW w:w="4985" w:type="dxa"/>
            <w:gridSpan w:val="3"/>
          </w:tcPr>
          <w:p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Управление акаунтом</w:t>
            </w:r>
          </w:p>
        </w:tc>
      </w:tr>
      <w:tr>
        <w:tc>
          <w:tcPr>
            <w:tcW w:w="4984" w:type="dxa"/>
          </w:tcPr>
          <w:p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Действия</w:t>
            </w:r>
          </w:p>
        </w:tc>
        <w:tc>
          <w:tcPr>
            <w:tcW w:w="1661" w:type="dxa"/>
          </w:tcPr>
          <w:p>
            <w:pPr>
              <w:ind w:firstLine="0"/>
              <w:rPr>
                <w:lang w:val="ru-RU"/>
              </w:rPr>
            </w:pPr>
            <w:r>
              <w:t xml:space="preserve">Вход в систему</w:t>
            </w:r>
          </w:p>
        </w:tc>
        <w:tc>
          <w:tcPr>
            <w:tcW w:w="1662" w:type="dxa"/>
          </w:tcPr>
          <w:p>
            <w:pPr>
              <w:ind w:firstLine="0"/>
              <w:rPr>
                <w:lang w:val="ru-RU"/>
              </w:rPr>
            </w:pPr>
            <w:r>
              <w:t xml:space="preserve">Регистрация</w:t>
            </w:r>
          </w:p>
        </w:tc>
        <w:tc>
          <w:tcPr>
            <w:tcW w:w="1662" w:type="dxa"/>
          </w:tcPr>
          <w:p>
            <w:pPr>
              <w:ind w:firstLine="0"/>
              <w:rPr>
                <w:lang w:val="ru-RU"/>
              </w:rPr>
            </w:pPr>
            <w:r>
              <w:t xml:space="preserve">Управление настройками безопасности</w:t>
            </w:r>
          </w:p>
        </w:tc>
      </w:tr>
      <w:tr>
        <w:tc>
          <w:tcPr>
            <w:tcW w:w="4984" w:type="dxa"/>
          </w:tcPr>
          <w:p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MVP</w:t>
            </w:r>
          </w:p>
        </w:tc>
        <w:tc>
          <w:tcPr>
            <w:tcW w:w="4985" w:type="dxa"/>
            <w:gridSpan w:val="3"/>
          </w:tcPr>
          <w:p>
            <w:pPr>
              <w:ind w:firstLine="0"/>
              <w:rPr>
                <w:lang w:val="ru-RU"/>
              </w:rPr>
            </w:pPr>
            <w:r>
              <w:t xml:space="preserve">Вход и регистрация в системе</w:t>
            </w:r>
          </w:p>
        </w:tc>
      </w:tr>
      <w:tr>
        <w:tc>
          <w:tcPr>
            <w:tcW w:w="4984" w:type="dxa"/>
          </w:tcPr>
          <w:p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Release 1</w:t>
            </w:r>
          </w:p>
        </w:tc>
        <w:tc>
          <w:tcPr>
            <w:tcW w:w="4985" w:type="dxa"/>
            <w:gridSpan w:val="3"/>
          </w:tcPr>
          <w:p>
            <w:pPr>
              <w:ind w:firstLine="0"/>
              <w:rPr>
                <w:lang w:val="ru-RU"/>
              </w:rPr>
            </w:pPr>
            <w:r>
              <w:t xml:space="preserve">Восстановление пароля</w:t>
            </w:r>
          </w:p>
          <w:p>
            <w:pPr>
              <w:ind w:firstLine="0"/>
              <w:rPr>
                <w:lang w:val="ru-RU"/>
              </w:rPr>
            </w:pPr>
            <w:r>
              <w:t xml:space="preserve">Управление сессиями пользователя</w:t>
            </w:r>
          </w:p>
        </w:tc>
      </w:tr>
      <w:tr>
        <w:tc>
          <w:tcPr>
            <w:tcW w:w="4984" w:type="dxa"/>
          </w:tcPr>
          <w:p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Release 2</w:t>
            </w:r>
          </w:p>
        </w:tc>
        <w:tc>
          <w:tcPr>
            <w:tcW w:w="4985" w:type="dxa"/>
            <w:gridSpan w:val="3"/>
          </w:tcPr>
          <w:p>
            <w:pPr>
              <w:ind w:firstLine="0"/>
              <w:rPr>
                <w:lang w:val="ru-RU"/>
              </w:rPr>
            </w:pPr>
            <w:r>
              <w:t xml:space="preserve">Командный доступ для нескольких юристов</w:t>
            </w:r>
          </w:p>
          <w:p>
            <w:pPr>
              <w:ind w:firstLine="0"/>
              <w:rPr>
                <w:lang w:val="ru-RU"/>
              </w:rPr>
            </w:pPr>
            <w:r>
              <w:t xml:space="preserve">API интеграция с внешними системами</w:t>
            </w:r>
          </w:p>
        </w:tc>
      </w:tr>
      <w:tr>
        <w:tc>
          <w:tcPr>
            <w:tcW w:w="4984" w:type="dxa"/>
          </w:tcPr>
          <w:p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Backlog</w:t>
            </w:r>
          </w:p>
        </w:tc>
        <w:tc>
          <w:tcPr>
            <w:tcW w:w="4985" w:type="dxa"/>
            <w:gridSpan w:val="3"/>
          </w:tcPr>
          <w:p>
            <w:pPr>
              <w:ind w:firstLine="0"/>
              <w:rPr>
                <w:lang w:val="ru-RU"/>
              </w:rPr>
            </w:pPr>
            <w:r>
              <w:t xml:space="preserve">Blockchain-верификация документов</w:t>
            </w:r>
          </w:p>
        </w:tc>
      </w:tr>
    </w:tbl>
    <w:p>
      <w:pPr>
        <w:keepNext/>
        <w:spacing w:before="200" w:after="120"/>
        <w:ind w:firstLine="708"/>
        <w:jc w:val="left"/>
      </w:pPr>
      <w:r>
        <w:rPr>
          <w:rFonts w:ascii="Times New Roman" w:hAnsi="Times New Roman"/>
          <w:b/>
          <w:sz w:val="24"/>
        </w:rPr>
        <w:t>2.2. Прототип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В соответствии с разработанной картой пользовательских историй (User Story Mapping) и требованиями к корпоративному пользовательскому опыту (UX/UI), в среде веб-моделирования был спроектирован интерактивный прототип веб-интерфейса аналитического сервиса LexAI Legal. Интерфейс выполнен с применением профессиональной дизайн-системы, использующей палитру Anthropic Warm Linen (#FAF9F5, #F5F3ED) и терракотовый акцентный цвет (#D97757, #E06738), а также полноценный режим тёмной темы Deep Obsidian (#141413, #1F1E1B) для комфортной ночной работы юридического департамента и мобильную адаптацию под смартфоны.</w:t>
      </w:r>
    </w:p>
    <w:p>
      <w:pPr>
        <w:keepNext/>
        <w:spacing w:before="200" w:after="120"/>
        <w:ind w:firstLine="708"/>
        <w:jc w:val="left"/>
      </w:pPr>
      <w:r>
        <w:rPr>
          <w:rFonts w:ascii="Times New Roman" w:hAnsi="Times New Roman"/>
          <w:b/>
          <w:sz w:val="24"/>
        </w:rPr>
        <w:t>2.2.1. Настройка рабочего пространства (Шаг 1 онбординга)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Экран первичной инициализации компании в системе (рисунок 2.2). Мастер настройки позволяет указать наименование организации, юридический адрес, ИНН компании для автоматической синхронизации с базой ЕГРЮЛ, а также выбрать отраслевую специфику компании (IT, строительство, поставка оборудования) для предварительной калибровки риск-профиля ИИ.</w:t>
      </w:r>
    </w:p>
    <w:p>
      <w:pPr>
        <w:keepNext/>
        <w:spacing w:before="160" w:after="80"/>
        <w:ind w:firstLine="0"/>
        <w:jc w:val="center"/>
      </w:pPr>
      <w:r>
        <w:drawing>
          <wp:inline>
            <wp:extent cx="5577840" cy="37960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nboarding_Step1_Ligh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96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rFonts w:ascii="Times New Roman" w:hAnsi="Times New Roman"/>
          <w:sz w:val="24"/>
        </w:rPr>
        <w:t>Рисунок 2.2 — Экран настройки рабочего пространства (Шаг 1 онбординга)</w:t>
      </w:r>
    </w:p>
    <w:p>
      <w:pPr>
        <w:keepNext/>
        <w:spacing w:before="200" w:after="120"/>
        <w:ind w:firstLine="708"/>
        <w:jc w:val="left"/>
      </w:pPr>
      <w:r>
        <w:rPr>
          <w:rFonts w:ascii="Times New Roman" w:hAnsi="Times New Roman"/>
          <w:b/>
          <w:sz w:val="24"/>
        </w:rPr>
        <w:t>2.2.2. Настройка профиля юриста (Шаг 2 онбординга)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Экран персонализации учетной записи специалиста (рисунок 2.3). Содержит поля ввода ФИО юриста, должности, корпоративного email, а также реквизиты доверенности на право согласования и подписания договорной документации компании.</w:t>
      </w:r>
    </w:p>
    <w:p>
      <w:pPr>
        <w:keepNext/>
        <w:spacing w:before="160" w:after="80"/>
        <w:ind w:firstLine="0"/>
        <w:jc w:val="center"/>
      </w:pPr>
      <w:r>
        <w:drawing>
          <wp:inline>
            <wp:extent cx="5577840" cy="37960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Onboarding_Step2_Ligh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96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rFonts w:ascii="Times New Roman" w:hAnsi="Times New Roman"/>
          <w:sz w:val="24"/>
        </w:rPr>
        <w:t>Рисунок 2.3 — Экран настройки профиля юриста (Шаг 2 онбординга)</w:t>
      </w:r>
    </w:p>
    <w:p>
      <w:pPr>
        <w:keepNext/>
        <w:spacing w:before="200" w:after="120"/>
        <w:ind w:firstLine="708"/>
        <w:jc w:val="left"/>
      </w:pPr>
      <w:r>
        <w:rPr>
          <w:rFonts w:ascii="Times New Roman" w:hAnsi="Times New Roman"/>
          <w:b/>
          <w:sz w:val="24"/>
        </w:rPr>
        <w:t>2.2.3. Параметры проверки ИИ (Шаг 3 онбординга)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Экран конфигурации проверок алгоритмов машинного обучения (рисунок 2.4). Предоставляет интерактивные переключатели: включение выявления скрытых правовых коллизий, поиск несоразмерных штрафов и неустоек по ст. 333 ГК РФ, анализ условий одностороннего расторжения и предиктивный расчёт риска судебных споров через картотеку КАД Арбитр.</w:t>
      </w:r>
    </w:p>
    <w:p>
      <w:pPr>
        <w:keepNext/>
        <w:spacing w:before="160" w:after="80"/>
        <w:ind w:firstLine="0"/>
        <w:jc w:val="center"/>
      </w:pPr>
      <w:r>
        <w:drawing>
          <wp:inline>
            <wp:extent cx="5577840" cy="37960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Onboarding_Step3_Ligh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96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rFonts w:ascii="Times New Roman" w:hAnsi="Times New Roman"/>
          <w:sz w:val="24"/>
        </w:rPr>
        <w:t>Рисунок 2.4 — Экран параметров проверки ИИ (Шаг 3 онбординга)</w:t>
      </w:r>
    </w:p>
    <w:p>
      <w:pPr>
        <w:keepNext/>
        <w:spacing w:before="200" w:after="120"/>
        <w:ind w:firstLine="708"/>
        <w:jc w:val="left"/>
      </w:pPr>
      <w:r>
        <w:rPr>
          <w:rFonts w:ascii="Times New Roman" w:hAnsi="Times New Roman"/>
          <w:b/>
          <w:sz w:val="24"/>
        </w:rPr>
        <w:t>2.2.4. Главный реестр договоров и согласований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Центральный дашборд юридического отдела (рисунок 2.5). Содержит верхнее сквозное навигационное меню (Онбординг, Договоры, Анализ рисков, Playbook, Настройки), поисковую строку по контрагентам и ИНН, фильтры статусов документов («Все», «Требуют внимания», «На согласовании», «Согласован»), а также сводную таблицу контрактов с цветовыми индикаторами критичности выявленных рисков.</w:t>
      </w:r>
    </w:p>
    <w:p>
      <w:pPr>
        <w:keepNext/>
        <w:spacing w:before="160" w:after="80"/>
        <w:ind w:firstLine="0"/>
        <w:jc w:val="center"/>
      </w:pPr>
      <w:r>
        <w:drawing>
          <wp:inline>
            <wp:extent cx="5577840" cy="379603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ashboard_Registry_Ligh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96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rFonts w:ascii="Times New Roman" w:hAnsi="Times New Roman"/>
          <w:sz w:val="24"/>
        </w:rPr>
        <w:t>Рисунок 2.5 — Главный реестр договоров и согласований</w:t>
      </w:r>
    </w:p>
    <w:p>
      <w:pPr>
        <w:keepNext/>
        <w:spacing w:before="200" w:after="120"/>
        <w:ind w:firstLine="708"/>
        <w:jc w:val="left"/>
      </w:pPr>
      <w:r>
        <w:rPr>
          <w:rFonts w:ascii="Times New Roman" w:hAnsi="Times New Roman"/>
          <w:b/>
          <w:sz w:val="24"/>
        </w:rPr>
        <w:t>2.2.5. Сплит-скрин инспектор документа (Анализ договора A4)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Ключевой экран системы, реализующий двухколоночный сплит-скрин (рисунок 2.6). В левой части отображается виртуальный лист договора формата A4 с оригинальным форматированием и цветовой подсветкой рискованных пунктов (жёлтый — предупреждение, красный — критический риск). В правой части располагается панель инспектора с карточками рисков, описанием нарушенных норм законодательства, формулировками безопасных редакций и кнопкой автоматической генерации протокола разногласий.</w:t>
      </w:r>
    </w:p>
    <w:p>
      <w:pPr>
        <w:keepNext/>
        <w:spacing w:before="160" w:after="80"/>
        <w:ind w:firstLine="0"/>
        <w:jc w:val="center"/>
      </w:pPr>
      <w:r>
        <w:drawing>
          <wp:inline>
            <wp:extent cx="5577840" cy="379603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ocument_Analysis_Ligh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96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rFonts w:ascii="Times New Roman" w:hAnsi="Times New Roman"/>
          <w:sz w:val="24"/>
        </w:rPr>
        <w:t>Рисунок 2.6 — Сплит-скрин инспектор документа (Анализ договора A4)</w:t>
      </w:r>
    </w:p>
    <w:p>
      <w:pPr>
        <w:keepNext/>
        <w:spacing w:before="200" w:after="120"/>
        <w:ind w:firstLine="708"/>
        <w:jc w:val="left"/>
      </w:pPr>
      <w:r>
        <w:rPr>
          <w:rFonts w:ascii="Times New Roman" w:hAnsi="Times New Roman"/>
          <w:b/>
          <w:sz w:val="24"/>
        </w:rPr>
        <w:t>2.2.6. Редактор разногласий Redline и судебный предиктор КАД Арбитр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Интерфейс 3-колоночного протокола разногласий в стандарте Арбитражного суда РФ (рисунок 2.7): колонка «Редакция контрагента», колонка «Предлагаемая безопасная редакция LexAI» и колонка «Правовое обоснование с судебной практикой». В правом сайдбаре встроен судебный предиктор КАД Арбитр, рассчитывающий вероятность победы в суде (84%) и прогнозирующий сумму снижения штрафа по ст. 333 ГК РФ.</w:t>
      </w:r>
    </w:p>
    <w:p>
      <w:pPr>
        <w:keepNext/>
        <w:spacing w:before="160" w:after="80"/>
        <w:ind w:firstLine="0"/>
        <w:jc w:val="center"/>
      </w:pPr>
      <w:r>
        <w:drawing>
          <wp:inline>
            <wp:extent cx="5577840" cy="379603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dline_Predictor_Ligh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96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rFonts w:ascii="Times New Roman" w:hAnsi="Times New Roman"/>
          <w:sz w:val="24"/>
        </w:rPr>
        <w:t>Рисунок 2.7 — Редактор разногласий Redline и судебный предиктор КАД Арбитр</w:t>
      </w:r>
    </w:p>
    <w:p>
      <w:pPr>
        <w:keepNext/>
        <w:spacing w:before="200" w:after="120"/>
        <w:ind w:firstLine="708"/>
        <w:jc w:val="left"/>
      </w:pPr>
      <w:r>
        <w:rPr>
          <w:rFonts w:ascii="Times New Roman" w:hAnsi="Times New Roman"/>
          <w:b/>
          <w:sz w:val="24"/>
        </w:rPr>
        <w:t>2.2.7. Аналитика рисков портфеля договоров компании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Экран аналитики (рисунок 2.8), включающий тепловую матрицу рисков по категориям сделок, график динамики выявления рисков по месяцам, рейтинг благонадёжности постоянных контрагентов и сводку финансовой экономии от предотвращённых штрафных санкций.</w:t>
      </w:r>
    </w:p>
    <w:p>
      <w:pPr>
        <w:keepNext/>
        <w:spacing w:before="160" w:after="80"/>
        <w:ind w:firstLine="0"/>
        <w:jc w:val="center"/>
      </w:pPr>
      <w:r>
        <w:drawing>
          <wp:inline>
            <wp:extent cx="5577840" cy="379603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isk_Analytics_Ligh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96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rFonts w:ascii="Times New Roman" w:hAnsi="Times New Roman"/>
          <w:sz w:val="24"/>
        </w:rPr>
        <w:t>Рисунок 2.8 — Экран аналитики рисков и трендов портфеля договоров</w:t>
      </w:r>
    </w:p>
    <w:p>
      <w:pPr>
        <w:keepNext/>
        <w:spacing w:before="200" w:after="120"/>
        <w:ind w:firstLine="708"/>
        <w:jc w:val="left"/>
      </w:pPr>
      <w:r>
        <w:rPr>
          <w:rFonts w:ascii="Times New Roman" w:hAnsi="Times New Roman"/>
          <w:b/>
          <w:sz w:val="24"/>
        </w:rPr>
        <w:t>2.2.8. Корпоративный Playbook и правила автоматического контроля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Экран управления корпоративным стандартом договорной работы (рисунок 2.9). Позволяет настраивать пресеты правил IF/THEN (например, «Если неустойка &gt; 0.1% в день -&gt; Блокировать согласование и подставлять 0.01%»), управлять составом юридической команды, ролями доступа и аудитом безопасности по 152-ФЗ.</w:t>
      </w:r>
    </w:p>
    <w:p>
      <w:pPr>
        <w:keepNext/>
        <w:spacing w:before="160" w:after="80"/>
        <w:ind w:firstLine="0"/>
        <w:jc w:val="center"/>
      </w:pPr>
      <w:r>
        <w:drawing>
          <wp:inline>
            <wp:extent cx="5577840" cy="379603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orporate_Playbook_Ligh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96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rFonts w:ascii="Times New Roman" w:hAnsi="Times New Roman"/>
          <w:sz w:val="24"/>
        </w:rPr>
        <w:t>Рисунок 2.9 — Экран корпоративного Playbook и интеграций</w:t>
      </w:r>
    </w:p>
    <w:p>
      <w:pPr>
        <w:keepNext/>
        <w:spacing w:before="200" w:after="120"/>
        <w:ind w:firstLine="708"/>
        <w:jc w:val="left"/>
      </w:pPr>
      <w:r>
        <w:rPr>
          <w:rFonts w:ascii="Times New Roman" w:hAnsi="Times New Roman"/>
          <w:b/>
          <w:sz w:val="24"/>
        </w:rPr>
        <w:t>2.2.9. Тёмная тема интерфейса веб-приложения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Для снижения утомляемости глаз юристов при длительной работе с документами спроектирована тёмная тема Deep Obsidian (#141413, #1F1E1B) с сохранением контрастности текста по стандартам WCAG 2.1 AAA. На рисунках 2.10–2.12 представлены ключевые экраны в тёмной теме: главный реестр договоров, сплит-скрин инспектора документа A4 и редактор разногласий Redline.</w:t>
      </w:r>
    </w:p>
    <w:p>
      <w:pPr>
        <w:keepNext/>
        <w:spacing w:before="160" w:after="80"/>
        <w:ind w:firstLine="0"/>
        <w:jc w:val="center"/>
      </w:pPr>
      <w:r>
        <w:drawing>
          <wp:inline>
            <wp:extent cx="5577840" cy="379603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ashboard_Registry_Dark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96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rFonts w:ascii="Times New Roman" w:hAnsi="Times New Roman"/>
          <w:sz w:val="24"/>
        </w:rPr>
        <w:t>Рисунок 2.10 — Тёмная тема главного реестра договоров и согласований</w:t>
      </w:r>
    </w:p>
    <w:p>
      <w:pPr>
        <w:keepNext/>
        <w:spacing w:before="160" w:after="80"/>
        <w:ind w:firstLine="0"/>
        <w:jc w:val="center"/>
      </w:pPr>
      <w:r>
        <w:drawing>
          <wp:inline>
            <wp:extent cx="5577840" cy="37960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ocument_Analysis_Dark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96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rFonts w:ascii="Times New Roman" w:hAnsi="Times New Roman"/>
          <w:sz w:val="24"/>
        </w:rPr>
        <w:t>Рисунок 2.11 — Тёмная тема сплит-скрин инспектора документа A4</w:t>
      </w:r>
    </w:p>
    <w:p>
      <w:pPr>
        <w:keepNext/>
        <w:spacing w:before="160" w:after="80"/>
        <w:ind w:firstLine="0"/>
        <w:jc w:val="center"/>
      </w:pPr>
      <w:r>
        <w:drawing>
          <wp:inline>
            <wp:extent cx="5577840" cy="379603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dline_Predictor_Dark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96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rFonts w:ascii="Times New Roman" w:hAnsi="Times New Roman"/>
          <w:sz w:val="24"/>
        </w:rPr>
        <w:t>Рисунок 2.12 — Тёмная тема редактора разногласий Redline и судебного предиктора</w:t>
      </w:r>
    </w:p>
    <w:p>
      <w:pPr>
        <w:keepNext/>
        <w:spacing w:before="200" w:after="120"/>
        <w:ind w:firstLine="708"/>
        <w:jc w:val="left"/>
      </w:pPr>
      <w:r>
        <w:rPr>
          <w:rFonts w:ascii="Times New Roman" w:hAnsi="Times New Roman"/>
          <w:b/>
          <w:sz w:val="24"/>
        </w:rPr>
        <w:t>2.2.10. Мобильная адаптация интерфейса юриста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Для оперативного согласования срочных контрактов руководителями и выездными юристами со смартфонов разработана мобильная версия интерфейса с адаптивной сеткой под дисплеи 390x844 px (рисунок 2.13). Мобильная версия поддерживает просмотр реестра, уведомления о критических рисках и быстрый акцепт безопасных формулировок.</w:t>
      </w:r>
    </w:p>
    <w:p>
      <w:pPr>
        <w:keepNext/>
        <w:spacing w:before="160" w:after="80"/>
        <w:ind w:firstLine="0"/>
        <w:jc w:val="center"/>
      </w:pPr>
      <w:r>
        <w:drawing>
          <wp:inline>
            <wp:extent cx="5669280" cy="398739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_showcas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7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rFonts w:ascii="Times New Roman" w:hAnsi="Times New Roman"/>
          <w:sz w:val="24"/>
        </w:rPr>
        <w:t>Рисунок 2.13 — Мобильная адаптация интерфейса юриста (онбординг, реестр и анализ рисков)</w:t>
      </w:r>
    </w:p>
    <w:p>
      <w:pPr>
        <w:keepNext/>
        <w:spacing w:before="280" w:after="120"/>
        <w:ind w:firstLine="0"/>
        <w:jc w:val="left"/>
      </w:pPr>
      <w:r>
        <w:rPr>
          <w:rFonts w:ascii="Times New Roman" w:hAnsi="Times New Roman"/>
          <w:b/>
          <w:sz w:val="28"/>
        </w:rPr>
        <w:t>3. Результаты организации процесса разработки</w:t>
      </w:r>
    </w:p>
    <w:p>
      <w:pPr>
        <w:keepNext/>
        <w:spacing w:before="200" w:after="120"/>
        <w:ind w:firstLine="708"/>
        <w:jc w:val="left"/>
      </w:pPr>
      <w:r>
        <w:rPr>
          <w:rFonts w:ascii="Times New Roman" w:hAnsi="Times New Roman"/>
          <w:b/>
          <w:sz w:val="24"/>
        </w:rPr>
        <w:t>3.1. Организация проекта в GitHub Projects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Работа по управлению жизненным циклом проекта и спринтами организована в сервисе GitHub Projects в репозитории Ktofin/LexAI (прямая ссылка на интерактивную доску проекта: https://github.com/users/Ktofin/projects/3, ссылка на репозиторий: https://github.com/Ktofin/LexAI). Процесс разработки выстроен в полном соответствии с методологией гибкой разработки Scrum. Было сформировано 4 двухнедельных спринта с фиксацией целей, трудоёмкости в Story Points и критериев готовности Definition of Done (DoD).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Доска проекта GitHub Projects организована по колонкам: Product Backlog, Ready for Dev, In Progress, In Review / Legal QA и Done. В качестве элементов-эпиков выделены: E-0 «Создание технической основы и инфраструктуры», E-1 «Управление аккаунтом, онбординг и профиль», E-2 «Загрузка и первичная обработка документов», E-3 «Движок ИИ-анализа рисков и коллизий», E-4 «Интерактивный просмотрщик A4 и формирование отчётности», E-5 «Протокол разногласий Redline, КАД Арбитр и Playbook» и E-6 «Аналитика договорных рисков и управление командой». Для каждого элемента бэклога заведён отдельный Issue с подробным описанием, привязкой к майлстоунам спринтов и декомпозицией на пошаговые технические действия (Actions / Subtasks).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На рисунках 3.1–3.4 представлены реальные интерфейсы системы управления проектом в GitHub: интерактивная Канбан-доска первого спринта, сводная таблица элементов бэклога с оценками трудоёмкости, дорожная карта реализации спринтов (Roadmap) и раздел проектной документации Wiki.</w:t>
      </w:r>
    </w:p>
    <w:p>
      <w:pPr>
        <w:keepNext/>
        <w:spacing w:before="160" w:after="80"/>
        <w:ind w:firstLine="0"/>
        <w:jc w:val="center"/>
      </w:pPr>
      <w:r>
        <w:drawing>
          <wp:inline>
            <wp:extent cx="5577840" cy="334670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_01_kanba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46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rFonts w:ascii="Times New Roman" w:hAnsi="Times New Roman"/>
          <w:sz w:val="24"/>
        </w:rPr>
        <w:t>Рисунок 3.1 — Доска KANBAN для 1 спринта в GitHub Projects (репозиторий Ktofin/LexAI)</w:t>
      </w:r>
    </w:p>
    <w:p>
      <w:pPr>
        <w:keepNext/>
        <w:spacing w:before="160" w:after="80"/>
        <w:ind w:firstLine="0"/>
        <w:jc w:val="center"/>
      </w:pPr>
      <w:r>
        <w:drawing>
          <wp:inline>
            <wp:extent cx="5577840" cy="341642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_02_backlog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16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rFonts w:ascii="Times New Roman" w:hAnsi="Times New Roman"/>
          <w:sz w:val="24"/>
        </w:rPr>
        <w:t>Рисунок 3.2 — Таблица элементов бэклога в GitHub Projects (15 задач, 89 Story Points)</w:t>
      </w:r>
    </w:p>
    <w:p>
      <w:pPr>
        <w:keepNext/>
        <w:spacing w:before="160" w:after="80"/>
        <w:ind w:firstLine="0"/>
        <w:jc w:val="center"/>
      </w:pPr>
      <w:r>
        <w:drawing>
          <wp:inline>
            <wp:extent cx="5577840" cy="271919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_03_roadmap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19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rFonts w:ascii="Times New Roman" w:hAnsi="Times New Roman"/>
          <w:sz w:val="24"/>
        </w:rPr>
        <w:t>Рисунок 3.3 — Дорожная карта для проекта (Roadmap спринтов LexAI Legal)</w:t>
      </w:r>
    </w:p>
    <w:p>
      <w:pPr>
        <w:keepNext/>
        <w:spacing w:before="160" w:after="80"/>
        <w:ind w:firstLine="0"/>
        <w:jc w:val="center"/>
      </w:pPr>
      <w:r>
        <w:drawing>
          <wp:inline>
            <wp:extent cx="5577840" cy="334670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_04_wiki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46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rFonts w:ascii="Times New Roman" w:hAnsi="Times New Roman"/>
          <w:sz w:val="24"/>
        </w:rPr>
        <w:t>Рисунок 3.4 — Раздел Wiki проекта (Архитектура и регламент разработки)</w:t>
      </w:r>
    </w:p>
    <w:p>
      <w:pPr>
        <w:keepNext/>
        <w:spacing w:before="200" w:after="120"/>
        <w:ind w:firstLine="708"/>
        <w:jc w:val="left"/>
      </w:pPr>
      <w:r>
        <w:rPr>
          <w:rFonts w:ascii="Times New Roman" w:hAnsi="Times New Roman"/>
          <w:b/>
          <w:sz w:val="24"/>
        </w:rPr>
        <w:t>3.2. Описание требований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Ссылка на интерактивный прототип веб-интерфейса в среде FigCraft / Figma: https://github.com/Ktofin/LexAI/blob/main/Legal_AI_Analyst.figcraft.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Общая терминология предметной области и разрабатываемого программного комплекса представлена в таблице 1.4 ниже.</w:t>
      </w:r>
    </w:p>
    <w:p>
      <w:pPr>
        <w:keepNext/>
        <w:spacing w:before="160" w:after="80"/>
        <w:ind w:firstLine="708"/>
        <w:jc w:val="left"/>
      </w:pPr>
      <w:r>
        <w:rPr>
          <w:rFonts w:ascii="Times New Roman" w:hAnsi="Times New Roman"/>
          <w:b/>
          <w:sz w:val="24"/>
        </w:rPr>
        <w:t>Таблица 1.4 — Общая терминология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808080"/>
          <w:left w:val="none"/>
          <w:right w:val="none"/>
          <w:insideH w:val="single" w:sz="4" w:space="0" w:color="D3D3D3"/>
          <w:insideV w:val="none"/>
        </w:tblBorders>
      </w:tblPr>
      <w:tblGrid>
        <w:gridCol w:w="3326"/>
        <w:gridCol w:w="3326"/>
        <w:gridCol w:w="3326"/>
      </w:tblGrid>
      <w:tr>
        <w:tc>
          <w:tcPr>
            <w:tcW w:type="dxa" w:w="7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288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Термин / Сокращение</w:t>
            </w:r>
          </w:p>
        </w:tc>
        <w:tc>
          <w:tcPr>
            <w:tcW w:type="dxa" w:w="5328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Определение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LexAI Legal</w:t>
            </w:r>
          </w:p>
        </w:tc>
        <w:tc>
          <w:tcPr>
            <w:tcW w:type="dxa" w:w="53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both"/>
            </w:pPr>
            <w:r>
              <w:rPr>
                <w:rFonts w:ascii="Times New Roman" w:hAnsi="Times New Roman"/>
                <w:sz w:val="22"/>
              </w:rPr>
              <w:t>Программный комплекс интеллектуального анализа юридических документов на базе специализированных языковых моделей (LLM) и алгоритмов правового скоринга.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Онбординг</w:t>
            </w:r>
          </w:p>
        </w:tc>
        <w:tc>
          <w:tcPr>
            <w:tcW w:type="dxa" w:w="53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both"/>
            </w:pPr>
            <w:r>
              <w:rPr>
                <w:rFonts w:ascii="Times New Roman" w:hAnsi="Times New Roman"/>
                <w:sz w:val="22"/>
              </w:rPr>
              <w:t>Пошаговый мастер начальной инициализации компании, профиля юриста и калибровки чувствительности ИИ при первом входе в систему.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Правовая коллизия</w:t>
            </w:r>
          </w:p>
        </w:tc>
        <w:tc>
          <w:tcPr>
            <w:tcW w:type="dxa" w:w="53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both"/>
            </w:pPr>
            <w:r>
              <w:rPr>
                <w:rFonts w:ascii="Times New Roman" w:hAnsi="Times New Roman"/>
                <w:sz w:val="22"/>
              </w:rPr>
              <w:t>Внутреннее юридическое противоречие между взаимосвязанными пунктами одного договора (например, несоответствие сроков поставки и оплаты).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Несоразмерная неустойка</w:t>
            </w:r>
          </w:p>
        </w:tc>
        <w:tc>
          <w:tcPr>
            <w:tcW w:type="dxa" w:w="53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both"/>
            </w:pPr>
            <w:r>
              <w:rPr>
                <w:rFonts w:ascii="Times New Roman" w:hAnsi="Times New Roman"/>
                <w:sz w:val="22"/>
              </w:rPr>
              <w:t>Штрафные санкции, превышающие среднерыночный уровень (обычно более 0.1% в день) и подлежащие снижению по ст. 333 Гражданского кодекса РФ.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Сплит-скрин A4</w:t>
            </w:r>
          </w:p>
        </w:tc>
        <w:tc>
          <w:tcPr>
            <w:tcW w:type="dxa" w:w="53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both"/>
            </w:pPr>
            <w:r>
              <w:rPr>
                <w:rFonts w:ascii="Times New Roman" w:hAnsi="Times New Roman"/>
                <w:sz w:val="22"/>
              </w:rPr>
              <w:t>Двухколоночный интерфейс синхронного сопоставления оригинального текста договора формата A4 с интерактивными карточками рисков и рекомендациями.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Протокол разногласий (Redline)</w:t>
            </w:r>
          </w:p>
        </w:tc>
        <w:tc>
          <w:tcPr>
            <w:tcW w:type="dxa" w:w="53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both"/>
            </w:pPr>
            <w:r>
              <w:rPr>
                <w:rFonts w:ascii="Times New Roman" w:hAnsi="Times New Roman"/>
                <w:sz w:val="22"/>
              </w:rPr>
              <w:t>Официальный юридический документ в табличном формате, фиксирующий первоначальную редакцию контрагента, редакцию юриста и мотивированное обоснование.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КАД Арбитр</w:t>
            </w:r>
          </w:p>
        </w:tc>
        <w:tc>
          <w:tcPr>
            <w:tcW w:type="dxa" w:w="53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both"/>
            </w:pPr>
            <w:r>
              <w:rPr>
                <w:rFonts w:ascii="Times New Roman" w:hAnsi="Times New Roman"/>
                <w:sz w:val="22"/>
              </w:rPr>
              <w:t>Государственная картотека арбитражных дел Российской Федерации, используемая ИИ для анализа судебной практики и расчёта вероятности победы в суде.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Корпоративный Playbook</w:t>
            </w:r>
          </w:p>
        </w:tc>
        <w:tc>
          <w:tcPr>
            <w:tcW w:type="dxa" w:w="53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both"/>
            </w:pPr>
            <w:r>
              <w:rPr>
                <w:rFonts w:ascii="Times New Roman" w:hAnsi="Times New Roman"/>
                <w:sz w:val="22"/>
              </w:rPr>
              <w:t>Свод обязательных корпоративных правил и матрица автоматического контроля условий сделок компании (правила IF/THEN).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Story Points (SP)</w:t>
            </w:r>
          </w:p>
        </w:tc>
        <w:tc>
          <w:tcPr>
            <w:tcW w:type="dxa" w:w="53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both"/>
            </w:pPr>
            <w:r>
              <w:rPr>
                <w:rFonts w:ascii="Times New Roman" w:hAnsi="Times New Roman"/>
                <w:sz w:val="22"/>
              </w:rPr>
              <w:t>Относительная единица измерения трудоёмкости реализации пользовательской истории в методологии Scrum.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Definition of Done (DoD)</w:t>
            </w:r>
          </w:p>
        </w:tc>
        <w:tc>
          <w:tcPr>
            <w:tcW w:type="dxa" w:w="53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both"/>
            </w:pPr>
            <w:r>
              <w:rPr>
                <w:rFonts w:ascii="Times New Roman" w:hAnsi="Times New Roman"/>
                <w:sz w:val="22"/>
              </w:rPr>
              <w:t>Чётко регламентированный набор критериев, выполнение которых необходимо для признания задачи или истории полностью завершённой.</w:t>
            </w:r>
          </w:p>
        </w:tc>
      </w:tr>
    </w:tbl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Ниже подробно описываются ключевые пользовательские истории (User Stories), вошедшие в состав минимального жизнеспособного продукта (MVP) первого релиза системы.</w:t>
      </w:r>
    </w:p>
    <w:p>
      <w:pPr>
        <w:keepNext/>
        <w:spacing w:before="200" w:after="120"/>
        <w:ind w:firstLine="708"/>
        <w:jc w:val="left"/>
      </w:pPr>
      <w:r>
        <w:rPr>
          <w:rFonts w:ascii="Times New Roman" w:hAnsi="Times New Roman"/>
          <w:b/>
          <w:sz w:val="24"/>
        </w:rPr>
        <w:t>US-1.1. Настройка рабочего пространства организации (Шаг 1 онбординга)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Название: Настройка рабочего пространства организации.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User Story: Как администратор или ведущий юрисконсульт компании, я хочу настроить параметры организации (название, ИНН, отраслевой профиль), чтобы система автоматически откалибровала правила проверки договоров под специфику нашего бизнеса.</w:t>
      </w:r>
    </w:p>
    <w:p>
      <w:pPr>
        <w:keepNext/>
        <w:spacing w:before="200" w:after="120"/>
        <w:ind w:firstLine="708"/>
        <w:jc w:val="left"/>
      </w:pPr>
      <w:r>
        <w:rPr>
          <w:rFonts w:ascii="Times New Roman" w:hAnsi="Times New Roman"/>
          <w:b/>
          <w:sz w:val="24"/>
        </w:rPr>
        <w:t>Дизайн-макеты</w:t>
      </w:r>
    </w:p>
    <w:p>
      <w:pPr>
        <w:keepNext/>
        <w:spacing w:before="160" w:after="80"/>
        <w:ind w:firstLine="0"/>
        <w:jc w:val="center"/>
      </w:pPr>
      <w:r>
        <w:drawing>
          <wp:inline>
            <wp:extent cx="5577840" cy="379603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nboarding_Step1_Ligh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96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rFonts w:ascii="Times New Roman" w:hAnsi="Times New Roman"/>
          <w:sz w:val="24"/>
        </w:rPr>
        <w:t>Рисунок 3.5 — Процесс настройки рабочего пространства и параметров организации (Шаг 1 онбординга)</w:t>
      </w:r>
    </w:p>
    <w:p>
      <w:pPr>
        <w:keepNext/>
        <w:spacing w:before="200" w:after="120"/>
        <w:ind w:firstLine="708"/>
        <w:jc w:val="left"/>
      </w:pPr>
      <w:r>
        <w:rPr>
          <w:rFonts w:ascii="Times New Roman" w:hAnsi="Times New Roman"/>
          <w:b/>
          <w:sz w:val="24"/>
        </w:rPr>
        <w:t>Терминология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LexAI Legal, Онбординг, Рабочее пространство (п. 1, 2 общей терминологии, таблица 1.4).</w:t>
      </w:r>
    </w:p>
    <w:p>
      <w:pPr>
        <w:keepNext/>
        <w:spacing w:before="200" w:after="120"/>
        <w:ind w:firstLine="708"/>
        <w:jc w:val="left"/>
      </w:pPr>
      <w:r>
        <w:rPr>
          <w:rFonts w:ascii="Times New Roman" w:hAnsi="Times New Roman"/>
          <w:b/>
          <w:sz w:val="24"/>
        </w:rPr>
        <w:t>Цель / Задачи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Цель: Обеспечить быструю и безошибочную инициализацию компании в системе для формирования единого корпоративного контекста юридического анализа.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Пошаговые действия разработчика (Actions / Subtasks):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• 1. Создание схемы базы данных PostgreSQL: таблицы workspaces, organizations, industries.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• 2. Разработка REST API эндпоинта POST /api/v1/workspace/setup для сохранения параметров.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• 3. Интеграция с сервисом Dadata / ЕГРЮЛ по ИНН для автозаполнения реквизитов компании.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• 4. Верстка адаптивного экранного компонента Шага 1 онбординга на Next.js и Tailwind CSS.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• 5. Реализация клиентской валидации обязательных полей (название &gt;= 3 символов, ИНН 10/12 цифр).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• 6. Написание модульных тестов на валидацию данных и сохранение конфигурации (Pytest).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Пользовательский сценарий TC-1: «Настройка пространства» (основной):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1. Пользователь запускает веб-приложение и переходит к Шагу 1 мастера настройки пространства.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2. Вводит наименование компании в поле «Название организации» (например, «ООО ТехноПром»).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3. Вводит корректный ИНН (10 цифр). Система автоматически подтягивает юридический адрес из ЕГРЮЛ.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4. Выбирает отраслевую направленность компании (например, «Поставка оборудования»).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5. Нажимает кнопку «→ Далее к профилю». Система сохраняет настройки и переходит к Шагу 2.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Пользовательский сценарий TC-1A: «Пропуск ввода ИНН» (альтернативный):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1. Пользователь не знает ИНН при первой настройке и нажимает «Заполнить позже». Система сохраняет базовое название и переводит пользователя на Шаг 2 с напоминанием заполнить реквизиты в настройках.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Пользовательский сценарий TC-1E: «Некорректный ИНН» (исключение):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1. Пользователь вводит значение ИНН некорректной длины (например, 7 цифр). Система подсвечивает поле красным цветом и выводит подсказку: «ИНН юридического лица должен содержать 10 цифр». Переход блокируется.</w:t>
      </w:r>
    </w:p>
    <w:p>
      <w:pPr>
        <w:keepNext/>
        <w:spacing w:before="200" w:after="120"/>
        <w:ind w:firstLine="708"/>
        <w:jc w:val="left"/>
      </w:pPr>
      <w:r>
        <w:rPr>
          <w:rFonts w:ascii="Times New Roman" w:hAnsi="Times New Roman"/>
          <w:b/>
          <w:sz w:val="24"/>
        </w:rPr>
        <w:t>US-2.1. Главный реестр договоров и аудит портфеля (Экран 04)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Название: Главный реестр договоров и аудит портфеля.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User Story: Как корпоративный юрист, я хочу видеть централизованный реестр всех поступающих контрактов с цветовыми маркерами рисков, чтобы мгновенно приоритизировать проверку критических сделок.</w:t>
      </w:r>
    </w:p>
    <w:p>
      <w:pPr>
        <w:keepNext/>
        <w:spacing w:before="200" w:after="120"/>
        <w:ind w:firstLine="708"/>
        <w:jc w:val="left"/>
      </w:pPr>
      <w:r>
        <w:rPr>
          <w:rFonts w:ascii="Times New Roman" w:hAnsi="Times New Roman"/>
          <w:b/>
          <w:sz w:val="24"/>
        </w:rPr>
        <w:t>Дизайн-макеты</w:t>
      </w:r>
    </w:p>
    <w:p>
      <w:pPr>
        <w:keepNext/>
        <w:spacing w:before="160" w:after="80"/>
        <w:ind w:firstLine="0"/>
        <w:jc w:val="center"/>
      </w:pPr>
      <w:r>
        <w:drawing>
          <wp:inline>
            <wp:extent cx="5577840" cy="379603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ashboard_Registry_Ligh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96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rFonts w:ascii="Times New Roman" w:hAnsi="Times New Roman"/>
          <w:sz w:val="24"/>
        </w:rPr>
        <w:t>Рисунок 3.6 — Интерфейс главного реестра договоров и согласований</w:t>
      </w:r>
    </w:p>
    <w:p>
      <w:pPr>
        <w:keepNext/>
        <w:spacing w:before="200" w:after="120"/>
        <w:ind w:firstLine="708"/>
        <w:jc w:val="left"/>
      </w:pPr>
      <w:r>
        <w:rPr>
          <w:rFonts w:ascii="Times New Roman" w:hAnsi="Times New Roman"/>
          <w:b/>
          <w:sz w:val="24"/>
        </w:rPr>
        <w:t>Цель / Задачи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Цель: Предоставить юристу сводный рабочий стол с фильтрацией документов, быстрым поиском по контрагентам и индикацией статусов согласования.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Пошаговые действия разработчика (Actions / Subtasks):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• 1. Создание реляционной таблицы contracts (id, title, counterparty, inn, sum, risk_level, status, created_at).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• 2. Разработка эндпоинта GET /api/v1/contracts с поддержкой пагинации, фильтрации по статусу и полнотекстового поиска.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• 3. Верстка адаптивной таблицы реестра на Next.js с динамической подсветкой уровней риска (Critical, High, Safe).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• 4. Реализация фильтров быстрого доступа («Требуют внимания (7)», «На согласовании (12)», «Согласован (45)»).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• 5. Подключение механизма WebSocket/SSE для автоматического обновления статуса парсинга новых договоров.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Пользовательский сценарий TC-2: «Фильтрация критических договоров» (основной):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1. Юрист открывает реестр договоров (вкладка [ Договоры ] в верхнем меню).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2. Нажимает на вкладку быстрого фильтра «Требуют внимания (7)».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3. В реестре отображаются только контракты с красными маркерами критических рисков.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4. Юрист кликает на строку договора «Договор поставки № 104-П (ООО ПромТех)» и переходит в режим сплит-скрин анализа.</w:t>
      </w:r>
    </w:p>
    <w:p>
      <w:pPr>
        <w:keepNext/>
        <w:spacing w:before="200" w:after="120"/>
        <w:ind w:firstLine="708"/>
        <w:jc w:val="left"/>
      </w:pPr>
      <w:r>
        <w:rPr>
          <w:rFonts w:ascii="Times New Roman" w:hAnsi="Times New Roman"/>
          <w:b/>
          <w:sz w:val="24"/>
        </w:rPr>
        <w:t>US-3.1. Интерактивный сплит-скрин анализ договора A4 (Экран 05 — MVP)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Название: Интерактивный сплит-скрин анализ договора A4.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User Story: Как юрисконсульт, я хочу анализировать договор в сплит-скрин режиме, видя слева оригинальный лист документа с подсвеченными пунктами, а справа — карточки рисков с готовыми безопасными формулировками, чтобы сократить время правовой экспертизы с 3 часов до 15 минут.</w:t>
      </w:r>
    </w:p>
    <w:p>
      <w:pPr>
        <w:keepNext/>
        <w:spacing w:before="200" w:after="120"/>
        <w:ind w:firstLine="708"/>
        <w:jc w:val="left"/>
      </w:pPr>
      <w:r>
        <w:rPr>
          <w:rFonts w:ascii="Times New Roman" w:hAnsi="Times New Roman"/>
          <w:b/>
          <w:sz w:val="24"/>
        </w:rPr>
        <w:t>Дизайн-макеты</w:t>
      </w:r>
    </w:p>
    <w:p>
      <w:pPr>
        <w:keepNext/>
        <w:spacing w:before="160" w:after="80"/>
        <w:ind w:firstLine="0"/>
        <w:jc w:val="center"/>
      </w:pPr>
      <w:r>
        <w:drawing>
          <wp:inline>
            <wp:extent cx="5577840" cy="379603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ocument_Analysis_Ligh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96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rFonts w:ascii="Times New Roman" w:hAnsi="Times New Roman"/>
          <w:sz w:val="24"/>
        </w:rPr>
        <w:t>Рисунок 3.7 — Экран интерактивного анализа документа (Лист A4) и карточек правовых рисков</w:t>
      </w:r>
    </w:p>
    <w:p>
      <w:pPr>
        <w:keepNext/>
        <w:spacing w:before="200" w:after="120"/>
        <w:ind w:firstLine="708"/>
        <w:jc w:val="left"/>
      </w:pPr>
      <w:r>
        <w:rPr>
          <w:rFonts w:ascii="Times New Roman" w:hAnsi="Times New Roman"/>
          <w:b/>
          <w:sz w:val="24"/>
        </w:rPr>
        <w:t>Терминология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Сплит-скрин A4, Правовая коллизия, Несоразмерная неустойка (п. 3, 4, 5 общей терминологии, таблица 1.4).</w:t>
      </w:r>
    </w:p>
    <w:p>
      <w:pPr>
        <w:keepNext/>
        <w:spacing w:before="200" w:after="120"/>
        <w:ind w:firstLine="708"/>
        <w:jc w:val="left"/>
      </w:pPr>
      <w:r>
        <w:rPr>
          <w:rFonts w:ascii="Times New Roman" w:hAnsi="Times New Roman"/>
          <w:b/>
          <w:sz w:val="24"/>
        </w:rPr>
        <w:t>Цель / Задачи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Цель: Создать интерактивное рабочее место юриста, автоматизирующее сопоставление формулировок договора с правовыми нормами законодательства РФ.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Пошаговые действия разработчика (Actions / Subtasks):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• 1. Интеграция PDF-рендерера на базе pdf.js с кастомным слоем наложения интерактивных аннотаций.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• 2. Разработка механизма привязки найденных ИИ правовых рисков к координатам строк на виртуальном листе A4.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• 3. Верстка правой панели инспектора рисков с вкладками: «Все риски (12)», «Критические (3)», «Финансовые (5)».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• 4. Реализация двустороннего фокуса: при клике на карточку риска виртуальный документ автоматически скроллится к пункту.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• 5. Добавление кнопки «Вставить безопасную редакцию в протокол разногласий».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Пользовательский сценарий TC-3: «Анализ коллизии и выбор безопасной редакции» (основной):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1. Юрист открывает экран 05_Document_Analysis для выбранного договора.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2. Ознакамливается со статус-баром формирования отчёта (82% обработано).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3. Кликает на критическую карточку риска «Несоразмерная неустойка 1.0% в день (§7.3)».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4. Виртуальный лист A4 плавно центрируется на пункте 7.3 с красным выделением текста.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5. Юрист читает правовое обоснование по ст. 333 ГК РФ и нажимает кнопку «Применить редакцию 0.05% в Redline».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6. Система обновляет статус риска на «Устранено» и переносит пункт в протокол разногласий.</w:t>
      </w:r>
    </w:p>
    <w:p>
      <w:pPr>
        <w:keepNext/>
        <w:spacing w:before="200" w:after="120"/>
        <w:ind w:firstLine="708"/>
        <w:jc w:val="left"/>
      </w:pPr>
      <w:r>
        <w:rPr>
          <w:rFonts w:ascii="Times New Roman" w:hAnsi="Times New Roman"/>
          <w:b/>
          <w:sz w:val="24"/>
        </w:rPr>
        <w:t>US-4.1. 3-колоночный протокол разногласий Redline и судебный предиктор (Экран 06)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Название: 3-колоночный протокол разногласий Redline и судебный предиктор КАД Арбитр.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User Story: Как юрист, я хочу в один клик сформировать официальный 3-колоночный протокол разногласий с юридическим обоснованием и прогнозом суда КАД Арбитр, чтобы отправить его на согласование контрагенту в формате DOCX.</w:t>
      </w:r>
    </w:p>
    <w:p>
      <w:pPr>
        <w:keepNext/>
        <w:spacing w:before="200" w:after="120"/>
        <w:ind w:firstLine="708"/>
        <w:jc w:val="left"/>
      </w:pPr>
      <w:r>
        <w:rPr>
          <w:rFonts w:ascii="Times New Roman" w:hAnsi="Times New Roman"/>
          <w:b/>
          <w:sz w:val="24"/>
        </w:rPr>
        <w:t>Дизайн-макеты</w:t>
      </w:r>
    </w:p>
    <w:p>
      <w:pPr>
        <w:keepNext/>
        <w:spacing w:before="160" w:after="80"/>
        <w:ind w:firstLine="0"/>
        <w:jc w:val="center"/>
      </w:pPr>
      <w:r>
        <w:drawing>
          <wp:inline>
            <wp:extent cx="5577840" cy="379603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dline_Predictor_Ligh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96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rFonts w:ascii="Times New Roman" w:hAnsi="Times New Roman"/>
          <w:sz w:val="24"/>
        </w:rPr>
        <w:t>Рисунок 3.8 — Экран 3-колоночного протокола разногласий Redline и судебного предиктора КАД Арбитр</w:t>
      </w:r>
    </w:p>
    <w:p>
      <w:pPr>
        <w:keepNext/>
        <w:spacing w:before="200" w:after="120"/>
        <w:ind w:firstLine="708"/>
        <w:jc w:val="left"/>
      </w:pPr>
      <w:r>
        <w:rPr>
          <w:rFonts w:ascii="Times New Roman" w:hAnsi="Times New Roman"/>
          <w:b/>
          <w:sz w:val="24"/>
        </w:rPr>
        <w:t>Цель / Задачи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Цель: Автоматизировать подготовку юридически безупречного протокола разногласий с подкреплением позиции ссылками на судебную практику.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Пошаговые действия разработчика (Actions / Subtasks):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• 1. Создание сервиса генерации документов DOCX/PDF по ГОСТ Р 7.0.97-2016 на базе python-docx.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• 2. Верстка интерактивного 3-колоночного редактора Redline (Редакция контрагента | Редакция LexAI | Обоснование).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• 3. Реализация ML-модуля судебного предиктора КАД Арбитр (расчёт вероятности победы и суммы снижения неустойки).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• 4. Добавление экспорта протокола разногласий в форматы DOCX, PDF и мгновенной отправки по email.</w:t>
      </w:r>
    </w:p>
    <w:p>
      <w:pPr>
        <w:keepNext/>
        <w:spacing w:before="160" w:after="80"/>
        <w:ind w:firstLine="708"/>
        <w:jc w:val="left"/>
      </w:pPr>
      <w:r>
        <w:rPr>
          <w:rFonts w:ascii="Times New Roman" w:hAnsi="Times New Roman"/>
          <w:b/>
          <w:sz w:val="24"/>
        </w:rPr>
        <w:t>Таблица 1.5 — Функции и предусловия User Stories MVP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808080"/>
          <w:left w:val="none"/>
          <w:right w:val="none"/>
          <w:insideH w:val="single" w:sz="4" w:space="0" w:color="D3D3D3"/>
          <w:insideV w:val="none"/>
        </w:tblBorders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576"/>
            <w:shd w:fill="F2F2F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1872"/>
            <w:shd w:fill="F2F2F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User Story</w:t>
            </w:r>
          </w:p>
        </w:tc>
        <w:tc>
          <w:tcPr>
            <w:tcW w:type="dxa" w:w="2304"/>
            <w:shd w:fill="F2F2F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Краткое описание</w:t>
            </w:r>
          </w:p>
        </w:tc>
        <w:tc>
          <w:tcPr>
            <w:tcW w:type="dxa" w:w="2160"/>
            <w:shd w:fill="F2F2F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Предусловие</w:t>
            </w:r>
          </w:p>
        </w:tc>
        <w:tc>
          <w:tcPr>
            <w:tcW w:type="dxa" w:w="2016"/>
            <w:shd w:fill="F2F2F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Результат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US-1.1 Настройка пространства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Инициализация компании и отраслевого профиля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Пользователь авторизован как администратор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Профиль сохранён, отраслевой пресет активирован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US-2.1 Реестр договоров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Отображение реестра контрактов с risk-скорингом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В базе есть загруженные договоры компании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Отображён отфильтрованный список с маркерами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US-3.1 Сплит-скрин A4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Синхронный показ документа A4 и карточек рисков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Договор успешно распарсен и проанализирован ИИ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Интерактивный сплит-скрин с подсветкой строк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US-4.1 Протокол Redline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3-колоночный протокол разногласий + КАД Арбитр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Выявлены риски и сформированы безопасные редакции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Готовый протокол DOCX доступен для выгрузки</w:t>
            </w:r>
          </w:p>
        </w:tc>
      </w:tr>
    </w:tbl>
    <w:p>
      <w:pPr>
        <w:keepNext/>
        <w:spacing w:before="160" w:after="80"/>
        <w:ind w:firstLine="708"/>
        <w:jc w:val="left"/>
      </w:pPr>
      <w:r>
        <w:rPr>
          <w:rFonts w:ascii="Times New Roman" w:hAnsi="Times New Roman"/>
          <w:b/>
          <w:sz w:val="24"/>
        </w:rPr>
        <w:t>Таблица 1.6 — Элементы экранной формы сплит-скрин анализа договора (US-3.1)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808080"/>
          <w:left w:val="none"/>
          <w:right w:val="none"/>
          <w:insideH w:val="single" w:sz="4" w:space="0" w:color="D3D3D3"/>
          <w:insideV w:val="none"/>
        </w:tblBorders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576"/>
            <w:shd w:fill="F2F2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1872"/>
            <w:shd w:fill="F2F2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Наименование</w:t>
            </w:r>
          </w:p>
        </w:tc>
        <w:tc>
          <w:tcPr>
            <w:tcW w:type="dxa" w:w="2592"/>
            <w:shd w:fill="F2F2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  <w:tc>
          <w:tcPr>
            <w:tcW w:type="dxa" w:w="1728"/>
            <w:shd w:fill="F2F2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Тип элемента</w:t>
            </w:r>
          </w:p>
        </w:tc>
        <w:tc>
          <w:tcPr>
            <w:tcW w:type="dxa" w:w="1008"/>
            <w:shd w:fill="F2F2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Обязат.</w:t>
            </w:r>
          </w:p>
        </w:tc>
        <w:tc>
          <w:tcPr>
            <w:tcW w:type="dxa" w:w="1152"/>
            <w:shd w:fill="F2F2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 умолчанию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Виртуальный лист A4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Оригинальный текст договора с номерами строк и подсветкой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Интерактивный PDF canvas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Да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Масштаб 100%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Жёлтый маркер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Подсветка умеренного риска (условия одностороннего отказа)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Аннотационный слой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Нет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RGB(255, 235, 150)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Красный маркер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Подсветка критического риска (неустойка &gt; 0.1% в день)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Аннотационный слой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Нет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RGB(255, 180, 180)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Карточка риска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Блок с описанием нормы права, риском и безопасной правкой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Компонент Card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Да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Развёрнута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Кнопка «В Redline»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Перенос безопасной формулировки в протокол разногласий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Кнопка Action Button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Да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Активна</w:t>
            </w:r>
          </w:p>
        </w:tc>
      </w:tr>
    </w:tbl>
    <w:p>
      <w:pPr>
        <w:keepNext/>
        <w:spacing w:before="200" w:after="120"/>
        <w:ind w:firstLine="708"/>
        <w:jc w:val="left"/>
      </w:pPr>
      <w:r>
        <w:rPr>
          <w:rFonts w:ascii="Times New Roman" w:hAnsi="Times New Roman"/>
          <w:b/>
          <w:sz w:val="24"/>
        </w:rPr>
        <w:t>3.3. Организация спринтов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Разработка системы была разбита на 4 двухнедельных спринта в соответствии с рекомендациями Scrum Guide. Распределение пользовательских историй и эпиков по спринтам представлено в таблице 1.7.</w:t>
      </w:r>
    </w:p>
    <w:p>
      <w:pPr>
        <w:keepNext/>
        <w:spacing w:before="160" w:after="80"/>
        <w:ind w:firstLine="708"/>
        <w:jc w:val="left"/>
      </w:pPr>
      <w:r>
        <w:rPr>
          <w:rFonts w:ascii="Times New Roman" w:hAnsi="Times New Roman"/>
          <w:b/>
          <w:sz w:val="24"/>
        </w:rPr>
        <w:t>Таблица 1.7 — Распределение User Stories по спринтам разработки (Scrum)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808080"/>
          <w:left w:val="none"/>
          <w:right w:val="none"/>
          <w:insideH w:val="single" w:sz="4" w:space="0" w:color="D3D3D3"/>
          <w:insideV w:val="none"/>
        </w:tblBorders>
      </w:tblPr>
      <w:tblGrid>
        <w:gridCol w:w="2495"/>
        <w:gridCol w:w="2495"/>
        <w:gridCol w:w="2495"/>
        <w:gridCol w:w="2495"/>
      </w:tblGrid>
      <w:tr>
        <w:tc>
          <w:tcPr>
            <w:tcW w:type="dxa" w:w="2016"/>
            <w:shd w:fill="F2F2F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Спринт</w:t>
            </w:r>
          </w:p>
        </w:tc>
        <w:tc>
          <w:tcPr>
            <w:tcW w:type="dxa" w:w="3744"/>
            <w:shd w:fill="F2F2F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Состав задач (Issues / User Stories)</w:t>
            </w:r>
          </w:p>
        </w:tc>
        <w:tc>
          <w:tcPr>
            <w:tcW w:type="dxa" w:w="1008"/>
            <w:shd w:fill="F2F2F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Оценка</w:t>
            </w:r>
          </w:p>
        </w:tc>
        <w:tc>
          <w:tcPr>
            <w:tcW w:type="dxa" w:w="2160"/>
            <w:shd w:fill="F2F2F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Цель спринта (Sprint Goal)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Спринт 1 (Недели 1–2)</w:t>
            </w:r>
          </w:p>
        </w:tc>
        <w:tc>
          <w:tcPr>
            <w:tcW w:type="dxa" w:w="374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E-0: Инфраструктура проекта, Docker Compose, DB</w:t>
              <w:br/>
              <w:t>US-1.1: Настройка пространства компании</w:t>
              <w:br/>
              <w:t>US-1.2: Персонализация профиля юриста</w:t>
              <w:br/>
              <w:t>US-1.3: Конфигурация параметров проверки ИИ</w:t>
              <w:br/>
              <w:t>US-2.2: Загрузка и парсинг договоров (PDF/DOCX)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19 SP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Готовый рабочий каркас системы, онбординг, загрузка и первичный OCR-парсинг договоров в MinIO.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Спринт 2 (Недели 3–4)</w:t>
            </w:r>
          </w:p>
        </w:tc>
        <w:tc>
          <w:tcPr>
            <w:tcW w:type="dxa" w:w="374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US-2.1: Главный реестр договоров и согласований</w:t>
              <w:br/>
              <w:t>US-2.3: Проверка контрагента по ИНН (СПАРК)</w:t>
              <w:br/>
              <w:t>US-3.2: Детекция правовых коллизий пунктов</w:t>
              <w:br/>
              <w:t>US-3.3: Выявление несоразмерных неустоек (ст. 333)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23 SP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Реестр договоров с фильтрацией, базовая детекция коллизий и неустоек, проверка благонадёжности.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Спринт 3 (Недели 5–6)</w:t>
            </w:r>
          </w:p>
        </w:tc>
        <w:tc>
          <w:tcPr>
            <w:tcW w:type="dxa" w:w="374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US-3.1: Интерактивный сплит-скрин инспектор A4</w:t>
              <w:br/>
              <w:t>US-3.4: Формирование юридического заключения PDF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18 SP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Полнофункциональное ядро MVP: просмотр листа A4 с подсветкой рисков и экспорт юр. заключений.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Спринт 4 (Недели 7–8)</w:t>
            </w:r>
          </w:p>
        </w:tc>
        <w:tc>
          <w:tcPr>
            <w:tcW w:type="dxa" w:w="374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US-4.1: 3-колоночный протокол разногласий Redline</w:t>
              <w:br/>
              <w:t>US-4.2: Судебный предиктор КАД Арбитр (84%)</w:t>
              <w:br/>
              <w:t>US-5.1: Корпоративный Playbook и правила IF/THEN</w:t>
              <w:br/>
              <w:t>US-6.1: Дашборд аналитики рисков портфеля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26 SP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Финальная интеграция: Redline редактор, предиктивная судебная аналитика, Playbook и дашборд.</w:t>
            </w:r>
          </w:p>
        </w:tc>
      </w:tr>
    </w:tbl>
    <w:p>
      <w:pPr>
        <w:keepNext/>
        <w:spacing w:before="280" w:after="120"/>
        <w:ind w:firstLine="0"/>
        <w:jc w:val="left"/>
      </w:pPr>
      <w:r>
        <w:rPr>
          <w:rFonts w:ascii="Times New Roman" w:hAnsi="Times New Roman"/>
          <w:b/>
          <w:sz w:val="28"/>
        </w:rPr>
        <w:t>4. Результаты разработки минимального жизнеспособного продукта</w:t>
      </w:r>
    </w:p>
    <w:p>
      <w:pPr>
        <w:keepNext/>
        <w:spacing w:before="200" w:after="120"/>
        <w:ind w:firstLine="708"/>
        <w:jc w:val="left"/>
      </w:pPr>
      <w:r>
        <w:rPr>
          <w:rFonts w:ascii="Times New Roman" w:hAnsi="Times New Roman"/>
          <w:b/>
          <w:sz w:val="24"/>
        </w:rPr>
        <w:t>4.1. Разработка MVP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В рамках разработки минимального жизнеспособного продукта (MVP) системы LexAI Legal была реализована клиент-серверная архитектура, включающая фронтенд-приложение на базе современного фреймворка Next.js 14 (React, TypeScript), высокопроизводительный асинхронный бэкенд на FastAPI (Python 3.12), векторную базу данных PostgreSQL с расширением pgvector для семантического поиска фрагментов договоров и объектное хранилище MinIO S3 для безопасного размещения исходных файлов.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Ядро MVP реализует полный цикл обработки документа: загрузка PDF/DOCX файла -&gt; извлечение текстового слоя и координат строк -&gt; семантический анализ юридических рисков нейросетевыми моделями -&gt; формирование интерактивного сплит-скрина A4 с карточками нарушений -&gt; автоматическая генерация протокола разногласий Redline.</w:t>
      </w:r>
    </w:p>
    <w:p>
      <w:pPr>
        <w:keepNext/>
        <w:spacing w:before="200" w:after="120"/>
        <w:ind w:firstLine="708"/>
        <w:jc w:val="left"/>
      </w:pPr>
      <w:r>
        <w:rPr>
          <w:rFonts w:ascii="Times New Roman" w:hAnsi="Times New Roman"/>
          <w:b/>
          <w:sz w:val="24"/>
        </w:rPr>
        <w:t>4.2. Заливание кода в Git и изменение статуса в системе управления проектами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Разработка велась строго по модели ветвления Git Feature Branch Workflow. Для реализации каждой атомарной задачи или пользовательской истории создавалась изолированная ветка с префиксом типа работ и номером задачи в GitHub Projects (например, feat/US-3.1-split-screen-inspector, fix/US-2.2-ocr-parsing).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В проекте была настроена автоматическая синхронизация GitHub Issues и коммитов через ключевые слова. При отправке коммита с сообщением вида 'feat(inspector): implement A4 virtual viewer and risk cards (#10)' задача #10 в проекте автоматически переводилась в статус 'In Review / Legal QA'. После проведения Code Review и успешного прохождения автотестов в GitHub Actions pull request сливался в основную ветку develop, и карточка переходила в колонку 'Done'.</w:t>
      </w:r>
    </w:p>
    <w:p>
      <w:pPr>
        <w:keepNext/>
        <w:spacing w:before="200" w:after="120"/>
        <w:ind w:firstLine="708"/>
        <w:jc w:val="left"/>
      </w:pPr>
      <w:r>
        <w:rPr>
          <w:rFonts w:ascii="Times New Roman" w:hAnsi="Times New Roman"/>
          <w:b/>
          <w:sz w:val="24"/>
        </w:rPr>
        <w:t>4.3. Добавление настройки окружения в задачи первого спринта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В рамках первого спринта (эпик E-0 «Создание технической основы и инфраструктуры») была выполнена полная контейнеризация проекта с использованием Docker и Docker Compose. Создан файл конфигурации docker-compose.yml, поднимающий изолированные сервисы: контейнер бэкенда FastAPI, контейнер фронтенда Next.js, базу данных PostgreSQL 16 с pgvector, брокер сообщений Redis и хранилище MinIO.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Настройка локального окружения разработчика была сведена к выполнению единственной команды 'docker compose up -d --build', что обеспечило идентичность среды разработки, тестового стенда и продакшн-контура.</w:t>
      </w:r>
    </w:p>
    <w:p>
      <w:pPr>
        <w:keepNext/>
        <w:spacing w:before="200" w:after="120"/>
        <w:ind w:firstLine="708"/>
        <w:jc w:val="left"/>
      </w:pPr>
      <w:r>
        <w:rPr>
          <w:rFonts w:ascii="Times New Roman" w:hAnsi="Times New Roman"/>
          <w:b/>
          <w:sz w:val="24"/>
        </w:rPr>
        <w:t>4.4. Использование архитектурных паттернов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При проектировании архитектуры бэкенда и фронтенда использовались следующие классические паттерны: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1. Паттерн «Репозиторий» (Repository Pattern) — абстрагирует слой доступа к данным от бизнес-логики сервиса. Позволяет легко подменять источники данных (PostgreSQL, локальный mock-кэш) без изменения логики анализа договоров.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2. Паттерн «Стратегия» (Strategy Pattern) — применён в модуле анализа рисков. Для каждого типа договора (поставка, подряд, аренда, оказание услуг) используется отдельная стратегия проверки специфических правовых коллизий.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3. Паттерн «Адаптер» (Adapter Pattern) — использован для нормализации результатов внешних юридических API (СПАРК, ЕГРЮЛ, КАД Арбитр, Dadata) к единому формату данных системы.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4. Паттерн «Компонент высшего порядка» (HOC / Custom Hook) во фронтенде — инкапсулирует логику синхронизации скролла листа A4 и карточек рисков.</w:t>
      </w:r>
    </w:p>
    <w:p>
      <w:pPr>
        <w:keepNext/>
        <w:spacing w:before="200" w:after="120"/>
        <w:ind w:firstLine="708"/>
        <w:jc w:val="left"/>
      </w:pPr>
      <w:r>
        <w:rPr>
          <w:rFonts w:ascii="Times New Roman" w:hAnsi="Times New Roman"/>
          <w:b/>
          <w:sz w:val="24"/>
        </w:rPr>
        <w:t>4.5. Тестирование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Для обеспечения отказоустойчивости и надёжности системы была разработана многоуровневая стратегия тестирования, включающая модульные (юнит), интеграционные и валидационные юридические тесты.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Модульное тестирование выполнено с помощью фреймворка Pytest для Python и Jest для TypeScript. Написано 42 теста, проверяющих парсинг PDF-структур, математический расчёт неустоек по ст. 333 ГК РФ и валидацию полей онбординга. Покрытие кодовой базы тестами (code coverage) составило 87%.</w:t>
      </w:r>
    </w:p>
    <w:p>
      <w:pPr>
        <w:spacing w:line="276" w:lineRule="auto" w:after="80" w:before="0"/>
        <w:ind w:firstLine="708"/>
        <w:jc w:val="both"/>
      </w:pPr>
      <w:r>
        <w:rPr>
          <w:rFonts w:ascii="Times New Roman" w:hAnsi="Times New Roman"/>
          <w:sz w:val="24"/>
        </w:rPr>
        <w:t>Интеграционное тестирование проверяло сквозную цепочку: загрузка файла через API -&gt; запись в MinIO S3 -&gt; генерация эмбеддингов -&gt; выявление коллизий -&gt; выдача JSON-отчёта. Проведено юридическое приёмочное тестирование (Legal QA) на контрольной выборке из 10 реальных договоров поставки с искусственно внесёнными правовыми рисками.</w:t>
      </w:r>
    </w:p>
    <w:p>
      <w:pPr>
        <w:keepNext/>
        <w:spacing w:before="280" w:after="120"/>
        <w:ind w:firstLine="0"/>
        <w:jc w:val="left"/>
      </w:pPr>
      <w:r>
        <w:rPr>
          <w:rFonts w:ascii="Times New Roman" w:hAnsi="Times New Roman"/>
          <w:b/>
          <w:sz w:val="28"/>
        </w:rPr>
        <w:t>Источники</w:t>
      </w:r>
    </w:p>
    <w:p>
      <w:pPr>
        <w:spacing w:line="276" w:lineRule="auto" w:after="60"/>
        <w:ind w:firstLine="708"/>
        <w:jc w:val="both"/>
      </w:pPr>
      <w:r>
        <w:rPr>
          <w:rFonts w:ascii="Times New Roman" w:hAnsi="Times New Roman"/>
          <w:sz w:val="24"/>
        </w:rPr>
        <w:t>1. Гражданский кодекс Российской Федерации (часть первая) от 30.11.1994 № 51-ФЗ (ред. от 11.03.2024) // Собрание законодательства РФ. — 1994. — № 32. — Ст. 3301. [Статья 333. Уменьшение неустойки].</w:t>
      </w:r>
    </w:p>
    <w:p>
      <w:pPr>
        <w:spacing w:line="276" w:lineRule="auto" w:after="60"/>
        <w:ind w:firstLine="708"/>
        <w:jc w:val="both"/>
      </w:pPr>
      <w:r>
        <w:rPr>
          <w:rFonts w:ascii="Times New Roman" w:hAnsi="Times New Roman"/>
          <w:sz w:val="24"/>
        </w:rPr>
        <w:t>2. Постановление Пленума Верховного Суда РФ от 25.12.2018 № 49 «О некоторых вопросах применения общих положений Гражданского кодекса Российской Федерации о заключении и толковании договора».</w:t>
      </w:r>
    </w:p>
    <w:p>
      <w:pPr>
        <w:spacing w:line="276" w:lineRule="auto" w:after="60"/>
        <w:ind w:firstLine="708"/>
        <w:jc w:val="both"/>
      </w:pPr>
      <w:r>
        <w:rPr>
          <w:rFonts w:ascii="Times New Roman" w:hAnsi="Times New Roman"/>
          <w:sz w:val="24"/>
        </w:rPr>
        <w:t>3. Федеральный закон «О персональных данных» от 27.07.2006 № 152-ФЗ (ред. от 06.02.2023).</w:t>
      </w:r>
    </w:p>
    <w:p>
      <w:pPr>
        <w:spacing w:line="276" w:lineRule="auto" w:after="60"/>
        <w:ind w:firstLine="708"/>
        <w:jc w:val="both"/>
      </w:pPr>
      <w:r>
        <w:rPr>
          <w:rFonts w:ascii="Times New Roman" w:hAnsi="Times New Roman"/>
          <w:sz w:val="24"/>
        </w:rPr>
        <w:t>4. ГОСТ Р 7.0.97-2016. Национальный стандарт РФ. Система стандартов по информации, библиотечному и издательскому делу. Организационно-распорядительная документация. Требования к оформлению документов. — М.: Стандартинформ, 2018.</w:t>
      </w:r>
    </w:p>
    <w:p>
      <w:pPr>
        <w:spacing w:line="276" w:lineRule="auto" w:after="60"/>
        <w:ind w:firstLine="708"/>
        <w:jc w:val="both"/>
      </w:pPr>
      <w:r>
        <w:rPr>
          <w:rFonts w:ascii="Times New Roman" w:hAnsi="Times New Roman"/>
          <w:sz w:val="24"/>
        </w:rPr>
        <w:t>5. Швабер К., Сазерленд Д. Руководство по Скраму: Правила игры (Scrum Guide). — Scrum.org, 2020. — 22 с.</w:t>
      </w:r>
    </w:p>
    <w:p>
      <w:pPr>
        <w:spacing w:line="276" w:lineRule="auto" w:after="60"/>
        <w:ind w:firstLine="708"/>
        <w:jc w:val="both"/>
      </w:pPr>
      <w:r>
        <w:rPr>
          <w:rFonts w:ascii="Times New Roman" w:hAnsi="Times New Roman"/>
          <w:sz w:val="24"/>
        </w:rPr>
        <w:t>6. Паттон Д. Пользовательские истории. Искусство гибкой разработки ПО (User Story Mapping). — СПб.: Питер, 2017. — 288 с.</w:t>
      </w:r>
    </w:p>
    <w:p>
      <w:pPr>
        <w:spacing w:line="276" w:lineRule="auto" w:after="60"/>
        <w:ind w:firstLine="708"/>
        <w:jc w:val="both"/>
      </w:pPr>
      <w:r>
        <w:rPr>
          <w:rFonts w:ascii="Times New Roman" w:hAnsi="Times New Roman"/>
          <w:sz w:val="24"/>
        </w:rPr>
        <w:t>7. Мартин Р. Чистая архитектура. Искусство разработки программного обеспечения. — СПб.: Питер, 2018. — 352 с.</w:t>
      </w:r>
    </w:p>
    <w:p>
      <w:pPr>
        <w:spacing w:line="276" w:lineRule="auto" w:after="60"/>
        <w:ind w:firstLine="708"/>
        <w:jc w:val="both"/>
      </w:pPr>
      <w:r>
        <w:rPr>
          <w:rFonts w:ascii="Times New Roman" w:hAnsi="Times New Roman"/>
          <w:sz w:val="24"/>
        </w:rPr>
        <w:t>8. Документация GitHub Projects: About projects. — URL: https://docs.github.com/en/issues/planning-and-tracking-with-projects (дата обращения: 20.02.2026).</w:t>
      </w:r>
    </w:p>
    <w:p>
      <w:pPr>
        <w:spacing w:line="276" w:lineRule="auto" w:after="60"/>
        <w:ind w:firstLine="708"/>
        <w:jc w:val="both"/>
      </w:pPr>
      <w:r>
        <w:rPr>
          <w:rFonts w:ascii="Times New Roman" w:hAnsi="Times New Roman"/>
          <w:sz w:val="24"/>
        </w:rPr>
        <w:t>9. Картотека арбитражных дел Российской Федерации (КАД Арбитр). — URL: https://kad.arbitr.ru (дата обращения: 20.02.2026).</w:t>
      </w:r>
    </w:p>
    <w:p>
      <w:pPr>
        <w:spacing w:line="276" w:lineRule="auto" w:after="60"/>
        <w:ind w:firstLine="708"/>
        <w:jc w:val="both"/>
      </w:pPr>
      <w:r>
        <w:rPr>
          <w:rFonts w:ascii="Times New Roman" w:hAnsi="Times New Roman"/>
          <w:sz w:val="24"/>
        </w:rPr>
        <w:t>10. Официальный репозиторий проекта LexAI Legal на платформе GitHub. — URL: https://github.com/Ktofin/LexAI (дата обращения: 20.02.2026).</w:t>
      </w:r>
    </w:p>
    <w:sectPr>
      <w:footerReference w:type="default" r:id="rId7"/>
      <w:type w:val="nextPage"/>
      <w:pgSz w:w="11907" w:h="16840"/>
      <w:pgMar w:top="1134" w:right="567" w:bottom="1134" w:left="1361" w:header="720" w:footer="260" w:gutter="0"/>
      <w:pgNumType w:fmt="decimal" w:start="1"/>
      <w:cols w:space="720" w:num="1"/>
      <w:titlePg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endnote w:type="separator" w:id="-1">
    <w:p>
      <w:pPr>
        <w:spacing w:line="240" w:lineRule="auto"/>
      </w:pPr>
      <w:r>
        <w:separator/>
      </w:r>
    </w:p>
  </w:endnote>
  <w:endnote w:type="continuationSeparator" w:id="0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oto Sans Symbols">
    <w:altName w:val="Calibri"/>
    <w:charset w:val="00"/>
    <w:family w:val="auto"/>
    <w:pitch w:val="default"/>
    <w:embedRegular r:id="rId1" w:fontKey="{21E43365-F7E5-4746-BC8A-0FD198631BD6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1BF5A-2AF8-834B-A538-29E2DC879912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C2D649C1-0C1E-ED41-878D-ED00E4036E86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4" w:fontKey="{909ECCB1-6CD6-F240-8211-7A2476124E59}"/>
    <w:embedBold r:id="rId5" w:fontKey="{D2042429-9ECE-234A-AE56-AB4B43379DC0}"/>
    <w:embedItalic r:id="rId6" w:fontKey="{D649C5C3-61F4-4C4D-99AA-223D2D8C42E9}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  <w:embedRegular r:id="rId7" w:fontKey="{9C6A7918-FA3F-C04C-A3A9-A4BE1FA2A75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1A42D4D2-39DE-E345-9B29-5F0BE57BA62A}"/>
    <w:embedBold r:id="rId9" w:fontKey="{111F7282-4710-4D4A-9254-59ED405375D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0" w:fontKey="{40817544-F4EE-EF4C-8C86-581E712D25D7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1" w:fontKey="{6B3A676C-F5A2-7B48-88D5-6219F87EB522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2" w:fontKey="{13AF230E-A661-F347-94EA-03A56AFE33DE}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Bdr>
        <w:top w:val="nil" w:sz="4" w:space="0" w:color="auto"/>
        <w:left w:val="nil" w:sz="4" w:space="0" w:color="auto"/>
        <w:bottom w:val="nil" w:sz="4" w:space="0" w:color="auto"/>
        <w:right w:val="nil" w:sz="4" w:space="0" w:color="auto"/>
        <w:between w:val="nil" w:sz="4" w:space="0" w:color="auto"/>
      </w:pBdr>
      <w:tabs>
        <w:tab w:val="center" w:pos="4677"/>
        <w:tab w:val="right" w:pos="9355"/>
      </w:tabs>
      <w:ind w:firstLine="0"/>
      <w:jc w:val="center"/>
      <w:rPr>
        <w:color w:val="000000"/>
      </w:rPr>
    </w:pPr>
    <w:r>
      <w:rPr>
        <w:noProof/>
        <w:color w:val="000000"/>
      </w:rPr>
      <w:fldChar w:fldCharType="begin"/>
    </w:r>
    <w:r>
      <w:rPr>
        <w:noProof/>
        <w:color w:val="000000"/>
      </w:rPr>
      <w:instrText xml:space="preserve"> PAGE </w:instrText>
    </w:r>
    <w:r>
      <w:rPr>
        <w:noProof/>
        <w:color w:val="000000"/>
      </w:rPr>
      <w:fldChar w:fldCharType="separate"/>
    </w:r>
    <w:r>
      <w:rPr>
        <w:noProof/>
        <w:color w:val="000000"/>
      </w:rPr>
      <w:t xml:space="preserve">2</w:t>
    </w:r>
    <w:r>
      <w:rPr>
        <w:noProof/>
        <w:color w:val="000000"/>
      </w:rPr>
      <w:fldChar w:fldCharType="end"/>
    </w:r>
  </w:p>
  <w:p>
    <w:pPr>
      <w:pBdr>
        <w:top w:val="nil" w:sz="4" w:space="0" w:color="auto"/>
        <w:left w:val="nil" w:sz="4" w:space="0" w:color="auto"/>
        <w:bottom w:val="nil" w:sz="4" w:space="0" w:color="auto"/>
        <w:right w:val="nil" w:sz="4" w:space="0" w:color="auto"/>
        <w:between w:val="nil" w:sz="4" w:space="0" w:color="auto"/>
      </w:pBdr>
      <w:tabs>
        <w:tab w:val="center" w:pos="4677"/>
        <w:tab w:val="right" w:pos="9355"/>
      </w:tabs>
      <w:jc w:val="left"/>
      <w:rPr>
        <w:color w:val="000000"/>
      </w:rPr>
    </w:pP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footnote w:type="separator" w:id="-1">
    <w:p>
      <w:pPr>
        <w:spacing w:line="240" w:lineRule="auto"/>
      </w:pPr>
      <w:r>
        <w:separator/>
      </w:r>
    </w:p>
  </w:footnote>
  <w:footnote w:type="continuationSeparator" w:id="0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0">
    <w:nsid w:val="04AC72F2"/>
    <w:multiLevelType w:val="multilevel"/>
    <w:tmpl w:val="06E00F70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hAnsi="Noto Sans Symbols" w:eastAsia="Noto Sans Symbols" w:cs="Noto Sans Symbols"/>
      </w:rPr>
    </w:lvl>
  </w:abstractNum>
  <w:abstractNum w:abstractNumId="1">
    <w:nsid w:val="10356677"/>
    <w:multiLevelType w:val="hybridMultilevel"/>
    <w:tmpl w:val="6C64DA78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2">
    <w:nsid w:val="208B3F47"/>
    <w:multiLevelType w:val="hybridMultilevel"/>
    <w:tmpl w:val="85AEF5B6"/>
    <w:lvl w:ilvl="0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3">
    <w:nsid w:val="39287A99"/>
    <w:multiLevelType w:val="multilevel"/>
    <w:tmpl w:val="198EACE2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4">
    <w:nsid w:val="4A8E5BE9"/>
    <w:multiLevelType w:val="multilevel"/>
    <w:tmpl w:val="69CAC1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5">
    <w:nsid w:val="779F65F4"/>
    <w:multiLevelType w:val="multilevel"/>
    <w:tmpl w:val="F7AE9706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hAnsi="Noto Sans Symbols" w:eastAsia="Noto Sans Symbols" w:cs="Noto Sans Symbols"/>
      </w:rPr>
    </w:lvl>
  </w:abstractNum>
  <w:abstractNum w:abstractNumId="6">
    <w:nsid w:val="7F2D4866"/>
    <w:multiLevelType w:val="hybridMultilevel"/>
    <w:tmpl w:val="8B863766"/>
    <w:lvl w:ilvl="0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4"/>
  </w:num>
  <w:num w:numId="5">
    <w:abstractNumId w:val="6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embedTrueTypeFonts/>
  <w:proofState w:spelling="clean" w:grammar="clean"/>
  <w:defaultTabStop w:val="720"/>
  <w:characterSpacingControl w:val="doNotCompress"/>
  <w:footnotePr>
    <w:numFmt w:val="decimal"/>
    <w:footnote w:id="-1"/>
    <w:footnote w:id="0"/>
  </w:footnotePr>
  <w:endnotePr>
    <w:numFmt w:val="lowerRoman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85B"/>
    <w:rsid w:val="000B579E"/>
    <w:rsid w:val="00254989"/>
    <w:rsid w:val="003B74E4"/>
    <w:rsid w:val="004243F4"/>
    <w:rsid w:val="0052377C"/>
    <w:rsid w:val="0053385B"/>
    <w:rsid w:val="006328C9"/>
    <w:rsid w:val="00645768"/>
    <w:rsid w:val="006522E2"/>
    <w:rsid w:val="00750393"/>
    <w:rsid w:val="007A038A"/>
    <w:rsid w:val="009D7A06"/>
    <w:rsid w:val="00A534F1"/>
    <w:rsid w:val="00AD0208"/>
    <w:rsid w:val="00B43200"/>
    <w:rsid w:val="00C6440E"/>
    <w:rsid w:val="00CD3DCA"/>
    <w:rsid w:val="00E55D16"/>
    <w:rsid w:val="00EA4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A1DBC"/>
  <w15:docId w15:val="{337DF635-9B88-1C48-8752-9CC7D67FA5DA}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Times New Roman" w:hAnsi="Times New Roman" w:eastAsia="Times New Roman" w:cs="Times New Roman"/>
        <w:sz w:val="24"/>
        <w:szCs w:val="24"/>
        <w:lang w:val="ru" w:eastAsia="ru-RU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1">
    <w:name w:val="heading 1"/>
    <w:basedOn w:val="Normal"/>
    <w:next w:val="Normal"/>
    <w:uiPriority w:val="9"/>
    <w:qFormat/>
    <w:pPr>
      <w:keepNext/>
      <w:keepLines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a0" w:default="1">
    <w:name w:val="Default Paragraph Font"/>
    <w:uiPriority w:val="1"/>
  </w:style>
  <w:style w:type="table" w:styleId="a1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Normal0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1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2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uiPriority w:val="34"/>
    <w:qFormat/>
    <w:pPr>
      <w:ind w:left="720"/>
      <w:contextualSpacing/>
    </w:pPr>
  </w:style>
  <w:style w:type="paragraph" w:styleId="a5">
    <w:name w:val="Normal (Web)"/>
    <w:uiPriority w:val="99"/>
    <w:semiHidden/>
    <w:unhideWhenUsed/>
    <w:pPr>
      <w:spacing w:before="100" w:beforeAutospacing="1" w:after="100" w:afterAutospacing="1" w:line="240" w:lineRule="auto"/>
      <w:ind w:firstLine="0"/>
      <w:jc w:val="left"/>
    </w:pPr>
  </w:style>
  <w:style w:type="table" w:styleId="30">
    <w:name w:val="Plain Table 3"/>
    <w:basedOn w:val="a1"/>
    <w:uiPriority w:val="43"/>
    <w:pPr>
      <w:spacing w:line="240" w:lineRule="auto"/>
      <w:ind w:firstLine="0"/>
      <w:jc w:val="left"/>
    </w:pPr>
    <w:rPr>
      <w:rFonts w:ascii="Cambria" w:hAnsi="Cambria"/>
      <w:sz w:val="22"/>
      <w:szCs w:val="22"/>
      <w:lang w:eastAsia="en-US"/>
    </w:rPr>
    <w:tblPr>
      <w:tblStyleRowBandSize w:val="1"/>
      <w:tblStyleColBandSize w:val="1"/>
    </w:tbl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  <w:tblStylePr w:type="firstCol">
      <w:rPr>
        <w:b/>
        <w:bCs/>
        <w:caps/>
      </w:rPr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cPr>
        <w:tcBorders>
          <w:left w:val="nil" w:sz="4" w:space="0" w:color="auto"/>
        </w:tcBorders>
      </w:tcPr>
    </w:tblStylePr>
    <w:tblStylePr w:type="firstRow">
      <w:rPr>
        <w:b/>
        <w:bCs/>
        <w:caps/>
      </w:rPr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cPr>
        <w:tcBorders>
          <w:top w:val="nil" w:sz="4" w:space="0" w:color="auto"/>
        </w:tcBorders>
      </w:tcPr>
    </w:tblStylePr>
    <w:tblStylePr w:type="neCell">
      <w:tcPr>
        <w:tcBorders>
          <w:left w:val="nil" w:sz="4" w:space="0" w:color="auto"/>
        </w:tcBorders>
      </w:tcPr>
    </w:tblStylePr>
    <w:tblStylePr w:type="nwCell">
      <w:tcPr>
        <w:tcBorders>
          <w:right w:val="nil" w:sz="4" w:space="0" w:color="auto"/>
        </w:tcBorders>
      </w:tcPr>
    </w:tblStylePr>
  </w:style>
  <w:style w:type="character" w:styleId="a6">
    <w:name w:val="Hyperlink"/>
    <w:basedOn w:val="a0"/>
    <w:uiPriority w:val="99"/>
    <w:rPr>
      <w:color w:val="0000FF"/>
      <w:u w:val="single"/>
    </w:rPr>
  </w:style>
  <w:style w:type="character" w:styleId="a7">
    <w:name w:val="FollowedHyperlink"/>
    <w:basedOn w:val="a0"/>
    <w:uiPriority w:val="99"/>
    <w:semiHidden/>
    <w:unhideWhenUsed/>
    <w:rPr>
      <w:color w:val="800080"/>
      <w:u w:val="single"/>
    </w:rPr>
  </w:style>
  <w:style w:type="character" w:styleId="10" w:customStyle="1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table" w:styleId="-1">
    <w:name w:val="Grid Table 1 Light"/>
    <w:basedOn w:val="a1"/>
    <w:uiPriority w:val="46"/>
    <w:pPr>
      <w:spacing w:line="240" w:lineRule="auto"/>
      <w:ind w:firstLine="0"/>
      <w:jc w:val="left"/>
    </w:pPr>
    <w:rPr>
      <w:rFonts w:ascii="Cambria" w:hAnsi="Cambria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cPr>
        <w:tcBorders>
          <w:top w:val="double" w:sz="2" w:space="0" w:color="666666"/>
        </w:tcBorders>
      </w:tcPr>
    </w:tblStylePr>
  </w:style>
  <w:style w:type="character" w:styleId="a8">
    <w:name w:val="Subtle Emphasis"/>
    <w:basedOn w:val="a0"/>
    <w:uiPriority w:val="19"/>
    <w:qFormat/>
    <w:rPr>
      <w:i/>
      <w:iCs/>
      <w:color w:val="404040"/>
    </w:rPr>
  </w:style>
  <w:style w:type="paragraph" w:styleId="11">
    <w:name w:val="toc 1"/>
    <w:uiPriority w:val="39"/>
    <w:pPr>
      <w:spacing w:after="100"/>
    </w:pPr>
  </w:style>
  <w:style w:type="paragraph" w:styleId="a9" w:customStyle="1">
    <w:name w:val="Пункт"/>
    <w:link w:val="aa"/>
    <w:qFormat/>
  </w:style>
  <w:style w:type="character" w:styleId="nowrap" w:customStyle="1">
    <w:name w:val="nowrap"/>
    <w:basedOn w:val="a0"/>
  </w:style>
  <w:style w:type="character" w:styleId="20" w:customStyle="1">
    <w:name w:val="Заголовок 2 Знак"/>
    <w:basedOn w:val="a0"/>
    <w:uiPriority w:val="9"/>
    <w:semiHidden/>
    <w:unhideWhenUsed/>
    <w:rPr>
      <w:b/>
      <w:sz w:val="36"/>
      <w:szCs w:val="36"/>
    </w:rPr>
  </w:style>
  <w:style w:type="character" w:styleId="aa" w:customStyle="1">
    <w:name w:val="Пункт Знак"/>
    <w:basedOn w:val="20"/>
    <w:link w:val="a9"/>
    <w:rPr>
      <w:b/>
      <w:sz w:val="36"/>
      <w:szCs w:val="36"/>
    </w:rPr>
  </w:style>
  <w:style w:type="character" w:styleId="ab">
    <w:name w:val="Strong"/>
    <w:basedOn w:val="a0"/>
    <w:uiPriority w:val="22"/>
    <w:qFormat/>
    <w:rPr>
      <w:b/>
      <w:bCs/>
    </w:rPr>
  </w:style>
  <w:style w:type="character" w:styleId="HTML">
    <w:name w:val="HTML Code"/>
    <w:basedOn w:val="a0"/>
    <w:uiPriority w:val="99"/>
    <w:semiHidden/>
    <w:unhideWhenUsed/>
    <w:rPr>
      <w:rFonts w:ascii="Courier New" w:hAnsi="Courier New" w:eastAsia="Times New Roman" w:cs="Courier New"/>
      <w:sz w:val="20"/>
      <w:szCs w:val="20"/>
    </w:rPr>
  </w:style>
  <w:style w:type="paragraph" w:styleId="21">
    <w:name w:val="toc 2"/>
    <w:uiPriority w:val="39"/>
    <w:pPr>
      <w:tabs>
        <w:tab w:val="left" w:pos="880"/>
        <w:tab w:val="right" w:pos="9969"/>
      </w:tabs>
      <w:spacing w:after="100"/>
      <w:ind w:left="240"/>
      <w:jc w:val="left"/>
    </w:pPr>
  </w:style>
  <w:style w:type="table" w:styleId="ac" w:customStyle="1">
    <w:name w:val="ac"/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d" w:customStyle="1">
    <w:name w:val="ad"/>
    <w:basedOn w:val="TableNormal2"/>
    <w:pPr>
      <w:spacing w:line="240" w:lineRule="auto"/>
      <w:ind w:firstLine="0"/>
      <w:jc w:val="left"/>
    </w:pPr>
    <w:rPr>
      <w:rFonts w:ascii="Cambria" w:hAnsi="Cambria" w:eastAsia="Cambria" w:cs="Cambria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  <w:tblStylePr w:type="firstCol">
      <w:rPr>
        <w:b/>
        <w:smallCaps/>
      </w:rPr>
      <w:tcPr>
        <w:tcBorders>
          <w:right w:val="single" w:sz="4" w:space="0" w:color="7F7F7F"/>
        </w:tcBorders>
      </w:tcPr>
    </w:tblStylePr>
    <w:tblStylePr w:type="lastCol">
      <w:rPr>
        <w:b/>
        <w:smallCaps/>
      </w:rPr>
      <w:tcPr>
        <w:tcBorders>
          <w:left w:val="nil" w:sz="4" w:space="0" w:color="auto"/>
        </w:tcBorders>
      </w:tcPr>
    </w:tblStylePr>
    <w:tblStylePr w:type="firstRow">
      <w:rPr>
        <w:b/>
        <w:smallCaps/>
      </w:rPr>
      <w:tcPr>
        <w:tcBorders>
          <w:bottom w:val="single" w:sz="4" w:space="0" w:color="7F7F7F"/>
        </w:tcBorders>
      </w:tcPr>
    </w:tblStylePr>
    <w:tblStylePr w:type="lastRow">
      <w:rPr>
        <w:b/>
        <w:smallCaps/>
      </w:rPr>
      <w:tcPr>
        <w:tcBorders>
          <w:top w:val="nil" w:sz="4" w:space="0" w:color="auto"/>
        </w:tcBorders>
      </w:tcPr>
    </w:tblStylePr>
    <w:tblStylePr w:type="neCell">
      <w:tcPr>
        <w:tcBorders>
          <w:left w:val="nil" w:sz="4" w:space="0" w:color="auto"/>
        </w:tcBorders>
      </w:tcPr>
    </w:tblStylePr>
    <w:tblStylePr w:type="nwCell">
      <w:tcPr>
        <w:tcBorders>
          <w:right w:val="nil" w:sz="4" w:space="0" w:color="auto"/>
        </w:tcBorders>
      </w:tcPr>
    </w:tblStylePr>
  </w:style>
  <w:style w:type="table" w:styleId="ae" w:customStyle="1">
    <w:name w:val="ae"/>
    <w:basedOn w:val="TableNormal2"/>
    <w:pPr>
      <w:spacing w:line="240" w:lineRule="auto"/>
      <w:ind w:firstLine="0"/>
      <w:jc w:val="left"/>
    </w:pPr>
    <w:rPr>
      <w:rFonts w:ascii="Cambria" w:hAnsi="Cambria" w:eastAsia="Cambria" w:cs="Cambria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</w:rPr>
    </w:tblStylePr>
    <w:tblStylePr w:type="lastCol">
      <w:rPr>
        <w:b/>
      </w:rPr>
    </w:tblStylePr>
    <w:tblStylePr w:type="firstRow">
      <w:rPr>
        <w:b/>
      </w:rPr>
      <w:tcPr>
        <w:tcBorders>
          <w:bottom w:val="single" w:sz="12" w:space="0" w:color="666666"/>
        </w:tcBorders>
      </w:tcPr>
    </w:tblStylePr>
    <w:tblStylePr w:type="lastRow">
      <w:rPr>
        <w:b/>
      </w:rPr>
      <w:tcPr>
        <w:tcBorders>
          <w:top w:val="single" w:sz="4" w:space="0" w:color="666666"/>
        </w:tcBorders>
      </w:tcPr>
    </w:tblStylePr>
  </w:style>
  <w:style w:type="table" w:styleId="af" w:customStyle="1">
    <w:name w:val="af"/>
    <w:basedOn w:val="TableNormal1"/>
    <w:pPr>
      <w:spacing w:line="240" w:lineRule="auto"/>
      <w:ind w:firstLine="0"/>
      <w:jc w:val="left"/>
    </w:pPr>
    <w:rPr>
      <w:rFonts w:ascii="Cambria" w:hAnsi="Cambria" w:eastAsia="Cambria" w:cs="Cambria"/>
      <w:sz w:val="22"/>
      <w:szCs w:val="22"/>
    </w:rPr>
    <w:tblPr>
      <w:tblStyleRowBandSize w:val="1"/>
      <w:tblStyleColBandSize w:val="1"/>
      <w:tblCellMar>
        <w:top w:w="15" w:type="dxa"/>
        <w:left w:w="108" w:type="dxa"/>
        <w:bottom w:w="15" w:type="dxa"/>
        <w:right w:w="108" w:type="dxa"/>
      </w:tblCellMar>
    </w:tblPr>
  </w:style>
  <w:style w:type="table" w:styleId="af0" w:customStyle="1">
    <w:name w:val="af0"/>
    <w:basedOn w:val="TableNormal1"/>
    <w:pPr>
      <w:spacing w:line="240" w:lineRule="auto"/>
      <w:ind w:firstLine="0"/>
      <w:jc w:val="left"/>
    </w:pPr>
    <w:rPr>
      <w:rFonts w:ascii="Cambria" w:hAnsi="Cambria" w:eastAsia="Cambria" w:cs="Cambria"/>
      <w:sz w:val="22"/>
      <w:szCs w:val="22"/>
    </w:rPr>
    <w:tblPr>
      <w:tblStyleRowBandSize w:val="1"/>
      <w:tblStyleColBandSize w:val="1"/>
      <w:tblCellMar>
        <w:top w:w="15" w:type="dxa"/>
        <w:left w:w="108" w:type="dxa"/>
        <w:bottom w:w="15" w:type="dxa"/>
        <w:right w:w="108" w:type="dxa"/>
      </w:tblCellMar>
    </w:tbl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  <w:tblStylePr w:type="firstCol">
      <w:rPr>
        <w:b/>
        <w:smallCaps/>
      </w:rPr>
      <w:tcPr>
        <w:tcBorders>
          <w:right w:val="single" w:sz="4" w:space="0" w:color="7F7F7F"/>
        </w:tcBorders>
      </w:tcPr>
    </w:tblStylePr>
    <w:tblStylePr w:type="lastCol">
      <w:rPr>
        <w:b/>
        <w:smallCaps/>
      </w:rPr>
      <w:tcPr>
        <w:tcBorders>
          <w:left w:val="nil" w:sz="4" w:space="0" w:color="auto"/>
        </w:tcBorders>
      </w:tcPr>
    </w:tblStylePr>
    <w:tblStylePr w:type="firstRow">
      <w:rPr>
        <w:b/>
        <w:smallCaps/>
      </w:rPr>
      <w:tcPr>
        <w:tcBorders>
          <w:bottom w:val="single" w:sz="4" w:space="0" w:color="7F7F7F"/>
        </w:tcBorders>
      </w:tcPr>
    </w:tblStylePr>
    <w:tblStylePr w:type="lastRow">
      <w:rPr>
        <w:b/>
        <w:smallCaps/>
      </w:rPr>
      <w:tcPr>
        <w:tcBorders>
          <w:top w:val="nil" w:sz="4" w:space="0" w:color="auto"/>
        </w:tcBorders>
      </w:tcPr>
    </w:tblStylePr>
    <w:tblStylePr w:type="neCell">
      <w:tcPr>
        <w:tcBorders>
          <w:left w:val="nil" w:sz="4" w:space="0" w:color="auto"/>
        </w:tcBorders>
      </w:tcPr>
    </w:tblStylePr>
    <w:tblStylePr w:type="nwCell">
      <w:tcPr>
        <w:tcBorders>
          <w:right w:val="nil" w:sz="4" w:space="0" w:color="auto"/>
        </w:tcBorders>
      </w:tcPr>
    </w:tblStylePr>
  </w:style>
  <w:style w:type="table" w:styleId="af1" w:customStyle="1">
    <w:name w:val="af1"/>
    <w:basedOn w:val="TableNormal1"/>
    <w:pPr>
      <w:spacing w:line="240" w:lineRule="auto"/>
      <w:ind w:firstLine="0"/>
      <w:jc w:val="left"/>
    </w:pPr>
    <w:rPr>
      <w:rFonts w:ascii="Cambria" w:hAnsi="Cambria" w:eastAsia="Cambria" w:cs="Cambria"/>
      <w:sz w:val="22"/>
      <w:szCs w:val="22"/>
    </w:rPr>
    <w:tblPr>
      <w:tblStyleRowBandSize w:val="1"/>
      <w:tblStyleColBandSize w:val="1"/>
      <w:tblCellMar>
        <w:top w:w="15" w:type="dxa"/>
        <w:left w:w="108" w:type="dxa"/>
        <w:bottom w:w="15" w:type="dxa"/>
        <w:right w:w="108" w:type="dxa"/>
      </w:tblCellMar>
    </w:tblPr>
    <w:tblStylePr w:type="firstCol">
      <w:rPr>
        <w:b/>
      </w:rPr>
    </w:tblStylePr>
    <w:tblStylePr w:type="lastCol">
      <w:rPr>
        <w:b/>
      </w:rPr>
    </w:tblStylePr>
    <w:tblStylePr w:type="firstRow">
      <w:rPr>
        <w:b/>
      </w:rPr>
      <w:tcPr>
        <w:tcBorders>
          <w:bottom w:val="single" w:sz="12" w:space="0" w:color="666666"/>
        </w:tcBorders>
      </w:tcPr>
    </w:tblStylePr>
    <w:tblStylePr w:type="lastRow">
      <w:rPr>
        <w:b/>
      </w:rPr>
      <w:tcPr>
        <w:tcBorders>
          <w:top w:val="single" w:sz="4" w:space="0" w:color="666666"/>
        </w:tcBorders>
      </w:tcPr>
    </w:tblStylePr>
  </w:style>
  <w:style w:type="paragraph" w:styleId="af2">
    <w:name w:val="Subtitle"/>
    <w:basedOn w:val="Normal"/>
    <w:next w:val="Normal"/>
    <w:uiPriority w:val="11"/>
    <w:qFormat/>
    <w:pPr>
      <w:keepNext/>
      <w:keepLines/>
      <w:pBdr>
        <w:top w:val="nil" w:sz="4" w:space="0" w:color="auto"/>
        <w:left w:val="nil" w:sz="4" w:space="0" w:color="auto"/>
        <w:bottom w:val="nil" w:sz="4" w:space="0" w:color="auto"/>
        <w:right w:val="nil" w:sz="4" w:space="0" w:color="auto"/>
        <w:between w:val="nil" w:sz="4" w:space="0" w:color="auto"/>
      </w:pBdr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af3" w:customStyle="1">
    <w:name w:val="af3"/>
    <w:basedOn w:val="TableNormal1"/>
    <w:pPr>
      <w:spacing w:line="240" w:lineRule="auto"/>
      <w:ind w:firstLine="0"/>
      <w:jc w:val="left"/>
    </w:pPr>
    <w:rPr>
      <w:rFonts w:ascii="Cambria" w:hAnsi="Cambria" w:eastAsia="Cambria" w:cs="Cambria"/>
      <w:sz w:val="22"/>
      <w:szCs w:val="22"/>
    </w:rPr>
    <w:tblPr>
      <w:tblStyleRowBandSize w:val="1"/>
      <w:tblStyleColBandSize w:val="1"/>
      <w:tblCellMar>
        <w:top w:w="15" w:type="dxa"/>
        <w:left w:w="108" w:type="dxa"/>
        <w:bottom w:w="15" w:type="dxa"/>
        <w:right w:w="108" w:type="dxa"/>
      </w:tblCellMar>
    </w:tblPr>
  </w:style>
  <w:style w:type="table" w:styleId="af4" w:customStyle="1">
    <w:name w:val="af4"/>
    <w:basedOn w:val="TableNormal1"/>
    <w:pPr>
      <w:spacing w:line="240" w:lineRule="auto"/>
      <w:ind w:firstLine="0"/>
      <w:jc w:val="left"/>
    </w:pPr>
    <w:rPr>
      <w:rFonts w:ascii="Cambria" w:hAnsi="Cambria" w:eastAsia="Cambria" w:cs="Cambria"/>
      <w:sz w:val="22"/>
      <w:szCs w:val="22"/>
    </w:rPr>
    <w:tblPr>
      <w:tblStyleRowBandSize w:val="1"/>
      <w:tblStyleColBandSize w:val="1"/>
      <w:tblCellMar>
        <w:top w:w="15" w:type="dxa"/>
        <w:left w:w="108" w:type="dxa"/>
        <w:bottom w:w="15" w:type="dxa"/>
        <w:right w:w="108" w:type="dxa"/>
      </w:tblCellMar>
    </w:tbl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  <w:tblStylePr w:type="firstCol">
      <w:rPr>
        <w:b/>
        <w:bCs/>
        <w:smallCaps/>
      </w:rPr>
      <w:tcPr>
        <w:tcBorders>
          <w:right w:val="single" w:sz="4" w:space="0" w:color="7F7F7F"/>
        </w:tcBorders>
      </w:tcPr>
    </w:tblStylePr>
    <w:tblStylePr w:type="lastCol">
      <w:rPr>
        <w:b/>
        <w:bCs/>
        <w:smallCaps/>
      </w:rPr>
      <w:tcPr>
        <w:tcBorders>
          <w:left w:val="nil" w:sz="4" w:space="0" w:color="auto"/>
        </w:tcBorders>
      </w:tcPr>
    </w:tblStylePr>
    <w:tblStylePr w:type="firstRow">
      <w:rPr>
        <w:b/>
        <w:bCs/>
        <w:smallCaps/>
      </w:rPr>
      <w:tcPr>
        <w:tcBorders>
          <w:bottom w:val="single" w:sz="4" w:space="0" w:color="7F7F7F"/>
        </w:tcBorders>
      </w:tcPr>
    </w:tblStylePr>
    <w:tblStylePr w:type="lastRow">
      <w:rPr>
        <w:b/>
        <w:bCs/>
        <w:smallCaps/>
      </w:rPr>
      <w:tcPr>
        <w:tcBorders>
          <w:top w:val="nil" w:sz="4" w:space="0" w:color="auto"/>
        </w:tcBorders>
      </w:tcPr>
    </w:tblStylePr>
    <w:tblStylePr w:type="neCell">
      <w:tcPr>
        <w:tcBorders>
          <w:left w:val="nil" w:sz="4" w:space="0" w:color="auto"/>
        </w:tcBorders>
      </w:tcPr>
    </w:tblStylePr>
    <w:tblStylePr w:type="nwCell">
      <w:tcPr>
        <w:tcBorders>
          <w:right w:val="nil" w:sz="4" w:space="0" w:color="auto"/>
        </w:tcBorders>
      </w:tcPr>
    </w:tblStylePr>
  </w:style>
  <w:style w:type="table" w:styleId="af5" w:customStyle="1">
    <w:name w:val="af5"/>
    <w:basedOn w:val="TableNormal1"/>
    <w:pPr>
      <w:spacing w:line="240" w:lineRule="auto"/>
      <w:ind w:firstLine="0"/>
      <w:jc w:val="left"/>
    </w:pPr>
    <w:rPr>
      <w:rFonts w:ascii="Cambria" w:hAnsi="Cambria" w:eastAsia="Cambria" w:cs="Cambria"/>
      <w:sz w:val="22"/>
      <w:szCs w:val="22"/>
    </w:rPr>
    <w:tblPr>
      <w:tblStyleRowBandSize w:val="1"/>
      <w:tblStyleColBandSize w:val="1"/>
      <w:tblCellMar>
        <w:top w:w="15" w:type="dxa"/>
        <w:left w:w="108" w:type="dxa"/>
        <w:bottom w:w="15" w:type="dxa"/>
        <w:right w:w="108" w:type="dxa"/>
      </w:tblCellMar>
    </w:tbl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cPr>
        <w:tcBorders>
          <w:top w:val="single" w:sz="4" w:space="0" w:color="666666"/>
        </w:tcBorders>
      </w:tcPr>
    </w:tblStylePr>
  </w:style>
  <w:style w:type="character" w:styleId="qwen-markdown-text" w:customStyle="1">
    <w:name w:val="qwen-markdown-text"/>
    <w:basedOn w:val="a0"/>
  </w:style>
  <w:style w:type="character" w:styleId="af6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table" w:styleId="af7">
    <w:name w:val="Table Grid"/>
    <w:basedOn w:val="a1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hart" Target="charts/chart1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https://miro.com/app/board/uXjVEditzZY=/?share_link_id=282180204967" TargetMode="External"/><Relationship Id="rId6" Type="http://schemas.openxmlformats.org/officeDocument/2006/relationships/image" Target="media/image4.jpeg"/><Relationship Id="rId7" Type="http://schemas.openxmlformats.org/officeDocument/2006/relationships/footer" Target="footer1.xml"/><Relationship Id="rId8" Type="http://schemas.openxmlformats.org/officeDocument/2006/relationships/footnotes" Target="footnotes.xml"/><Relationship Id="rId9" Type="http://schemas.openxmlformats.org/officeDocument/2006/relationships/endnotes" Target="endnotes.xml"/><Relationship Id="rId10" Type="http://schemas.openxmlformats.org/officeDocument/2006/relationships/styles" Target="styles.xml"/><Relationship Id="rId11" Type="http://schemas.openxmlformats.org/officeDocument/2006/relationships/numbering" Target="numbering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fontTable" Target="fontTable.xml"/><Relationship Id="rId15" Type="http://schemas.openxmlformats.org/officeDocument/2006/relationships/customXml" Target="../customXml/item1.xml"/><Relationship Id="rId16" Type="http://schemas.openxmlformats.org/officeDocument/2006/relationships/webSettings" Target="webSettings.xml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charts/_rels/chart1.xml.rels><?xml version='1.0' encoding='UTF-8' standalone='yes'?>
<Relationships xmlns="http://schemas.openxmlformats.org/package/2006/relationships"><Relationship Id="rId3" Type="http://schemas.openxmlformats.org/officeDocument/2006/relationships/package" Target="../embeddings/____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Столбец1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692B-C74F-A369-98BF173EF074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692B-C74F-A369-98BF173EF074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692B-C74F-A369-98BF173EF074}"/>
              </c:ext>
            </c:extLst>
          </c:dPt>
          <c:cat>
            <c:strRef>
              <c:f>Лист1!$A$2:$A$4</c:f>
              <c:strCache>
                <c:ptCount val="3"/>
                <c:pt idx="0">
                  <c:v>Алексей</c:v>
                </c:pt>
                <c:pt idx="1">
                  <c:v>Ольга</c:v>
                </c:pt>
                <c:pt idx="2">
                  <c:v>Дмитрий</c:v>
                </c:pt>
              </c:strCache>
            </c:str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50</c:v>
                </c:pt>
                <c:pt idx="1">
                  <c:v>25</c:v>
                </c:pt>
                <c:pt idx="2">
                  <c:v>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37B-5542-A68C-026BFD5E380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Them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 Them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DK3UCMl8WktJDz91Z7OHvQRv4A==">CgMxLjAyCWguNDl4MmlrNTIJaC4ycDJjc3J5MgloLjE0N24yenIyCWguM283YWxuazIJaC4yM2NrdnZkMghoLmlodjYzNjIJaC4zMmhpb3F6MgloLjFobXN5eXMyCWguMmdycXJ1ZTIIaC52eDEyMjcyCWguM2Z3b2txMDIIaC5sbnhiejkyCWguMzVua3VuMjIJaC40NHNpbmlvMgloLjF2MXl1eHQyCGguejMzN3lhMgloLjNqMnFxbTMyCWguMXk4MTB0dzIJaC40aTdvamhwMgloLjJ4Y3l0cGkyCWguNGYxbWRsbTIJaC4zd2h3bWw0MgloLjJibjZ3c3gyCGgucXNoNzBxMgloLjJ1NndudGYyCWguM2FzNHBvajIJaC4xcHhlendjOAByITFYbmlGMkRRbzJkODF2UThpS3FPTk1odlhHVTBvY29I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1644</Words>
  <Paragraphs>256</Paragraphs>
  <DocSecurity>0</DocSecurity>
  <Template>Normal.dotm</Template>
  <ScaleCrop>false</ScaleCrop>
  <Company/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9</cp:revision>
  <dcterms:created xsi:type="dcterms:W3CDTF">2019-09-23T16:42:00Z</dcterms:created>
  <dcterms:modified xsi:type="dcterms:W3CDTF">2026-10-27T14:48:18Z</dcterms:modified>
</cp:coreProperties>
</file>