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rPr>
          <w:rFonts w:ascii="Calibri" w:cs="Calibri" w:eastAsia="Calibri" w:hAnsi="Calibri"/>
          <w:color w:val="2c363a"/>
        </w:rPr>
      </w:pPr>
      <w:r w:rsidDel="00000000" w:rsidR="00000000" w:rsidRPr="00000000">
        <w:rPr>
          <w:rtl w:val="0"/>
        </w:rPr>
      </w:r>
    </w:p>
    <w:p w:rsidR="00000000" w:rsidDel="00000000" w:rsidP="00000000" w:rsidRDefault="00000000" w:rsidRPr="00000000" w14:paraId="00000003">
      <w:pPr>
        <w:shd w:fill="ffffff" w:val="clear"/>
        <w:rPr>
          <w:rFonts w:ascii="Calibri" w:cs="Calibri" w:eastAsia="Calibri" w:hAnsi="Calibri"/>
          <w:color w:val="2c363a"/>
        </w:rPr>
      </w:pPr>
      <w:r w:rsidDel="00000000" w:rsidR="00000000" w:rsidRPr="00000000">
        <w:rPr>
          <w:rtl w:val="0"/>
        </w:rPr>
      </w:r>
    </w:p>
    <w:p w:rsidR="00000000" w:rsidDel="00000000" w:rsidP="00000000" w:rsidRDefault="00000000" w:rsidRPr="00000000" w14:paraId="00000004">
      <w:pPr>
        <w:pStyle w:val="Heading1"/>
        <w:shd w:fill="ffffff" w:val="clear"/>
        <w:rPr/>
      </w:pPr>
      <w:bookmarkStart w:colFirst="0" w:colLast="0" w:name="_ar6jya1h562u" w:id="0"/>
      <w:bookmarkEnd w:id="0"/>
      <w:r w:rsidDel="00000000" w:rsidR="00000000" w:rsidRPr="00000000">
        <w:rPr>
          <w:rtl w:val="0"/>
        </w:rPr>
        <w:t xml:space="preserve">Useful links</w:t>
      </w:r>
      <w:r w:rsidDel="00000000" w:rsidR="00000000" w:rsidRPr="00000000">
        <w:rPr>
          <w:rtl w:val="0"/>
        </w:rPr>
      </w:r>
    </w:p>
    <w:p w:rsidR="00000000" w:rsidDel="00000000" w:rsidP="00000000" w:rsidRDefault="00000000" w:rsidRPr="00000000" w14:paraId="00000005">
      <w:pPr>
        <w:pStyle w:val="Heading2"/>
        <w:rPr/>
      </w:pPr>
      <w:bookmarkStart w:colFirst="0" w:colLast="0" w:name="_v41gxinzigdp" w:id="1"/>
      <w:bookmarkEnd w:id="1"/>
      <w:r w:rsidDel="00000000" w:rsidR="00000000" w:rsidRPr="00000000">
        <w:rPr>
          <w:rtl w:val="0"/>
        </w:rPr>
        <w:t xml:space="preserve">Documents repository</w:t>
      </w:r>
    </w:p>
    <w:p w:rsidR="00000000" w:rsidDel="00000000" w:rsidP="00000000" w:rsidRDefault="00000000" w:rsidRPr="00000000" w14:paraId="00000006">
      <w:pPr>
        <w:rPr/>
      </w:pPr>
      <w:r w:rsidDel="00000000" w:rsidR="00000000" w:rsidRPr="00000000">
        <w:rPr>
          <w:rtl w:val="0"/>
        </w:rPr>
        <w:t xml:space="preserve">INESC TEC is the Interconnect project coordinator and provides a cloud based repository for the documentation.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access the repository: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2c363a"/>
        </w:rPr>
      </w:pPr>
      <w:r w:rsidDel="00000000" w:rsidR="00000000" w:rsidRPr="00000000">
        <w:rPr>
          <w:b w:val="1"/>
          <w:rtl w:val="0"/>
        </w:rPr>
        <w:t xml:space="preserve">Create an account </w:t>
      </w:r>
      <w:r w:rsidDel="00000000" w:rsidR="00000000" w:rsidRPr="00000000">
        <w:rPr>
          <w:rtl w:val="0"/>
        </w:rPr>
      </w:r>
    </w:p>
    <w:p w:rsidR="00000000" w:rsidDel="00000000" w:rsidP="00000000" w:rsidRDefault="00000000" w:rsidRPr="00000000" w14:paraId="0000000B">
      <w:pPr>
        <w:shd w:fill="ffffff" w:val="clear"/>
        <w:rPr>
          <w:rFonts w:ascii="Calibri" w:cs="Calibri" w:eastAsia="Calibri" w:hAnsi="Calibri"/>
          <w:color w:val="2c363a"/>
        </w:rPr>
      </w:pPr>
      <w:r w:rsidDel="00000000" w:rsidR="00000000" w:rsidRPr="00000000">
        <w:rPr>
          <w:rFonts w:ascii="Calibri" w:cs="Calibri" w:eastAsia="Calibri" w:hAnsi="Calibri"/>
          <w:color w:val="2c363a"/>
          <w:rtl w:val="0"/>
        </w:rPr>
        <w:t xml:space="preserve">The access to our systems is ensured via:</w:t>
      </w:r>
    </w:p>
    <w:p w:rsidR="00000000" w:rsidDel="00000000" w:rsidP="00000000" w:rsidRDefault="00000000" w:rsidRPr="00000000" w14:paraId="0000000C">
      <w:pPr>
        <w:numPr>
          <w:ilvl w:val="0"/>
          <w:numId w:val="1"/>
        </w:numP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color w:val="2c363a"/>
          <w:rtl w:val="0"/>
        </w:rPr>
        <w:t xml:space="preserve">a username (predefined): </w:t>
      </w:r>
      <w:r w:rsidDel="00000000" w:rsidR="00000000" w:rsidRPr="00000000">
        <w:rPr>
          <w:rFonts w:ascii="Calibri" w:cs="Calibri" w:eastAsia="Calibri" w:hAnsi="Calibri"/>
          <w:b w:val="1"/>
          <w:color w:val="2c363a"/>
          <w:rtl w:val="0"/>
        </w:rPr>
        <w:t xml:space="preserve">your email with “@” replaced by a “.” (dot)</w:t>
      </w:r>
      <w:r w:rsidDel="00000000" w:rsidR="00000000" w:rsidRPr="00000000">
        <w:rPr>
          <w:rFonts w:ascii="Calibri" w:cs="Calibri" w:eastAsia="Calibri" w:hAnsi="Calibri"/>
          <w:color w:val="2c363a"/>
          <w:rtl w:val="0"/>
        </w:rPr>
        <w:t xml:space="preserve">.</w:t>
      </w:r>
    </w:p>
    <w:p w:rsidR="00000000" w:rsidDel="00000000" w:rsidP="00000000" w:rsidRDefault="00000000" w:rsidRPr="00000000" w14:paraId="0000000D">
      <w:pPr>
        <w:numPr>
          <w:ilvl w:val="1"/>
          <w:numId w:val="1"/>
        </w:numPr>
        <w:ind w:left="1440" w:hanging="360"/>
      </w:pPr>
      <w:r w:rsidDel="00000000" w:rsidR="00000000" w:rsidRPr="00000000">
        <w:rPr>
          <w:rFonts w:ascii="Calibri" w:cs="Calibri" w:eastAsia="Calibri" w:hAnsi="Calibri"/>
          <w:color w:val="2c363a"/>
          <w:rtl w:val="0"/>
        </w:rPr>
        <w:t xml:space="preserve">example (email:</w:t>
      </w:r>
      <w:r w:rsidDel="00000000" w:rsidR="00000000" w:rsidRPr="00000000">
        <w:rPr>
          <w:rFonts w:ascii="Calibri" w:cs="Calibri" w:eastAsia="Calibri" w:hAnsi="Calibri"/>
          <w:b w:val="1"/>
          <w:color w:val="2c363a"/>
          <w:rtl w:val="0"/>
        </w:rPr>
        <w:t xml:space="preserve"> john.doe@company.dom username: john.doe.company.dom</w:t>
      </w:r>
      <w:r w:rsidDel="00000000" w:rsidR="00000000" w:rsidRPr="00000000">
        <w:rPr>
          <w:rFonts w:ascii="Calibri" w:cs="Calibri" w:eastAsia="Calibri" w:hAnsi="Calibri"/>
          <w:color w:val="2c363a"/>
          <w:rtl w:val="0"/>
        </w:rPr>
        <w:t xml:space="preserve">).</w:t>
      </w:r>
    </w:p>
    <w:p w:rsidR="00000000" w:rsidDel="00000000" w:rsidP="00000000" w:rsidRDefault="00000000" w:rsidRPr="00000000" w14:paraId="0000000E">
      <w:pPr>
        <w:numPr>
          <w:ilvl w:val="0"/>
          <w:numId w:val="1"/>
        </w:numP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color w:val="2c363a"/>
          <w:rtl w:val="0"/>
        </w:rPr>
        <w:t xml:space="preserve">password (set by you </w:t>
      </w:r>
      <w:hyperlink r:id="rId6">
        <w:r w:rsidDel="00000000" w:rsidR="00000000" w:rsidRPr="00000000">
          <w:rPr>
            <w:rFonts w:ascii="Calibri" w:cs="Calibri" w:eastAsia="Calibri" w:hAnsi="Calibri"/>
            <w:color w:val="0563c1"/>
            <w:u w:val="single"/>
            <w:rtl w:val="0"/>
          </w:rPr>
          <w:t xml:space="preserve">here</w:t>
        </w:r>
      </w:hyperlink>
      <w:r w:rsidDel="00000000" w:rsidR="00000000" w:rsidRPr="00000000">
        <w:rPr>
          <w:rFonts w:ascii="Calibri" w:cs="Calibri" w:eastAsia="Calibri" w:hAnsi="Calibri"/>
          <w:color w:val="2c363a"/>
          <w:rtl w:val="0"/>
        </w:rPr>
        <w:t xml:space="preserve">)</w:t>
      </w:r>
    </w:p>
    <w:p w:rsidR="00000000" w:rsidDel="00000000" w:rsidP="00000000" w:rsidRDefault="00000000" w:rsidRPr="00000000" w14:paraId="0000000F">
      <w:pPr>
        <w:numPr>
          <w:ilvl w:val="1"/>
          <w:numId w:val="1"/>
        </w:numPr>
        <w:ind w:left="1440" w:hanging="360"/>
      </w:pPr>
      <w:r w:rsidDel="00000000" w:rsidR="00000000" w:rsidRPr="00000000">
        <w:rPr>
          <w:rFonts w:ascii="Calibri" w:cs="Calibri" w:eastAsia="Calibri" w:hAnsi="Calibri"/>
          <w:color w:val="2c363a"/>
          <w:rtl w:val="0"/>
        </w:rPr>
        <w:t xml:space="preserve">username (see instructions on the previous point).</w:t>
      </w:r>
    </w:p>
    <w:p w:rsidR="00000000" w:rsidDel="00000000" w:rsidP="00000000" w:rsidRDefault="00000000" w:rsidRPr="00000000" w14:paraId="00000010">
      <w:pPr>
        <w:numPr>
          <w:ilvl w:val="1"/>
          <w:numId w:val="1"/>
        </w:numPr>
        <w:ind w:left="1440" w:hanging="360"/>
      </w:pPr>
      <w:r w:rsidDel="00000000" w:rsidR="00000000" w:rsidRPr="00000000">
        <w:rPr>
          <w:rFonts w:ascii="Calibri" w:cs="Calibri" w:eastAsia="Calibri" w:hAnsi="Calibri"/>
          <w:color w:val="2c363a"/>
          <w:rtl w:val="0"/>
        </w:rPr>
        <w:t xml:space="preserve">alternate email (email in which you receive this message).</w:t>
      </w:r>
    </w:p>
    <w:p w:rsidR="00000000" w:rsidDel="00000000" w:rsidP="00000000" w:rsidRDefault="00000000" w:rsidRPr="00000000" w14:paraId="00000011">
      <w:pPr>
        <w:numPr>
          <w:ilvl w:val="1"/>
          <w:numId w:val="1"/>
        </w:numPr>
        <w:ind w:left="1440" w:hanging="360"/>
      </w:pPr>
      <w:r w:rsidDel="00000000" w:rsidR="00000000" w:rsidRPr="00000000">
        <w:rPr>
          <w:rFonts w:ascii="Calibri" w:cs="Calibri" w:eastAsia="Calibri" w:hAnsi="Calibri"/>
          <w:color w:val="2c363a"/>
          <w:rtl w:val="0"/>
        </w:rPr>
        <w:t xml:space="preserve">you may reset your password as many times as you need it.</w:t>
      </w:r>
    </w:p>
    <w:p w:rsidR="00000000" w:rsidDel="00000000" w:rsidP="00000000" w:rsidRDefault="00000000" w:rsidRPr="00000000" w14:paraId="00000012">
      <w:pPr>
        <w:ind w:left="0" w:firstLine="0"/>
        <w:rPr>
          <w:rFonts w:ascii="Calibri" w:cs="Calibri" w:eastAsia="Calibri" w:hAnsi="Calibri"/>
          <w:color w:val="2c363a"/>
        </w:rPr>
      </w:pPr>
      <w:r w:rsidDel="00000000" w:rsidR="00000000" w:rsidRPr="00000000">
        <w:rPr>
          <w:rFonts w:ascii="Calibri" w:cs="Calibri" w:eastAsia="Calibri" w:hAnsi="Calibri"/>
          <w:color w:val="2c363a"/>
        </w:rPr>
        <w:drawing>
          <wp:inline distB="114300" distT="114300" distL="114300" distR="114300">
            <wp:extent cx="5943600" cy="260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rPr>
          <w:rFonts w:ascii="Calibri" w:cs="Calibri" w:eastAsia="Calibri" w:hAnsi="Calibri"/>
          <w:color w:val="2c363a"/>
        </w:rPr>
      </w:pPr>
      <w:r w:rsidDel="00000000" w:rsidR="00000000" w:rsidRPr="00000000">
        <w:rPr>
          <w:rFonts w:ascii="Calibri" w:cs="Calibri" w:eastAsia="Calibri" w:hAnsi="Calibri"/>
          <w:color w:val="2c363a"/>
          <w:rtl w:val="0"/>
        </w:rPr>
        <w:t xml:space="preserve"> </w:t>
      </w:r>
    </w:p>
    <w:p w:rsidR="00000000" w:rsidDel="00000000" w:rsidP="00000000" w:rsidRDefault="00000000" w:rsidRPr="00000000" w14:paraId="00000014">
      <w:pPr>
        <w:shd w:fill="ffffff" w:val="clear"/>
        <w:rPr>
          <w:b w:val="1"/>
        </w:rPr>
      </w:pPr>
      <w:r w:rsidDel="00000000" w:rsidR="00000000" w:rsidRPr="00000000">
        <w:rPr>
          <w:b w:val="1"/>
          <w:rtl w:val="0"/>
        </w:rPr>
        <w:t xml:space="preserve">Open the repository</w:t>
      </w:r>
    </w:p>
    <w:p w:rsidR="00000000" w:rsidDel="00000000" w:rsidP="00000000" w:rsidRDefault="00000000" w:rsidRPr="00000000" w14:paraId="00000015">
      <w:pPr>
        <w:shd w:fill="ffffff" w:val="clear"/>
        <w:rPr>
          <w:rFonts w:ascii="Calibri" w:cs="Calibri" w:eastAsia="Calibri" w:hAnsi="Calibri"/>
          <w:color w:val="2c363a"/>
        </w:rPr>
      </w:pPr>
      <w:r w:rsidDel="00000000" w:rsidR="00000000" w:rsidRPr="00000000">
        <w:rPr>
          <w:rFonts w:ascii="Calibri" w:cs="Calibri" w:eastAsia="Calibri" w:hAnsi="Calibri"/>
          <w:color w:val="2c363a"/>
          <w:rtl w:val="0"/>
        </w:rPr>
        <w:t xml:space="preserve">Once you define your credentials you can access the </w:t>
      </w:r>
      <w:hyperlink r:id="rId8">
        <w:r w:rsidDel="00000000" w:rsidR="00000000" w:rsidRPr="00000000">
          <w:rPr>
            <w:rFonts w:ascii="Calibri" w:cs="Calibri" w:eastAsia="Calibri" w:hAnsi="Calibri"/>
            <w:color w:val="0563c1"/>
            <w:u w:val="single"/>
            <w:rtl w:val="0"/>
          </w:rPr>
          <w:t xml:space="preserve">drive repository</w:t>
        </w:r>
      </w:hyperlink>
      <w:r w:rsidDel="00000000" w:rsidR="00000000" w:rsidRPr="00000000">
        <w:rPr>
          <w:rFonts w:ascii="Calibri" w:cs="Calibri" w:eastAsia="Calibri" w:hAnsi="Calibri"/>
          <w:color w:val="2c363a"/>
          <w:rtl w:val="0"/>
        </w:rPr>
        <w:t xml:space="preserve">.</w:t>
      </w:r>
    </w:p>
    <w:p w:rsidR="00000000" w:rsidDel="00000000" w:rsidP="00000000" w:rsidRDefault="00000000" w:rsidRPr="00000000" w14:paraId="00000016">
      <w:pPr>
        <w:shd w:fill="ffffff" w:val="clear"/>
        <w:rPr>
          <w:rFonts w:ascii="Calibri" w:cs="Calibri" w:eastAsia="Calibri" w:hAnsi="Calibri"/>
          <w:color w:val="2c363a"/>
        </w:rPr>
      </w:pPr>
      <w:r w:rsidDel="00000000" w:rsidR="00000000" w:rsidRPr="00000000">
        <w:rPr>
          <w:rFonts w:ascii="Calibri" w:cs="Calibri" w:eastAsia="Calibri" w:hAnsi="Calibri"/>
          <w:color w:val="2c363a"/>
          <w:rtl w:val="0"/>
        </w:rPr>
        <w:t xml:space="preserve">There are two main folders, dedicated for our project and general</w:t>
      </w:r>
    </w:p>
    <w:p w:rsidR="00000000" w:rsidDel="00000000" w:rsidP="00000000" w:rsidRDefault="00000000" w:rsidRPr="00000000" w14:paraId="00000017">
      <w:pPr>
        <w:shd w:fill="ffffff" w:val="clear"/>
        <w:rPr>
          <w:rFonts w:ascii="Calibri" w:cs="Calibri" w:eastAsia="Calibri" w:hAnsi="Calibri"/>
          <w:color w:val="2c363a"/>
        </w:rPr>
      </w:pPr>
      <w:r w:rsidDel="00000000" w:rsidR="00000000" w:rsidRPr="00000000">
        <w:rPr>
          <w:rFonts w:ascii="Calibri" w:cs="Calibri" w:eastAsia="Calibri" w:hAnsi="Calibri"/>
          <w:color w:val="2c363a"/>
        </w:rPr>
        <w:drawing>
          <wp:inline distB="114300" distT="114300" distL="114300" distR="114300">
            <wp:extent cx="5943600" cy="2667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hf2dkbout6n8" w:id="2"/>
      <w:bookmarkEnd w:id="2"/>
      <w:r w:rsidDel="00000000" w:rsidR="00000000" w:rsidRPr="00000000">
        <w:rPr>
          <w:rtl w:val="0"/>
        </w:rPr>
        <w:t xml:space="preserve">Gitlab repository</w:t>
      </w:r>
    </w:p>
    <w:p w:rsidR="00000000" w:rsidDel="00000000" w:rsidP="00000000" w:rsidRDefault="00000000" w:rsidRPr="00000000" w14:paraId="0000001A">
      <w:pPr>
        <w:rPr/>
      </w:pPr>
      <w:hyperlink r:id="rId10">
        <w:r w:rsidDel="00000000" w:rsidR="00000000" w:rsidRPr="00000000">
          <w:rPr>
            <w:color w:val="1155cc"/>
            <w:u w:val="single"/>
            <w:rtl w:val="0"/>
          </w:rPr>
          <w:t xml:space="preserve">InterConnect Public · GitLab (inesctec.pt)</w:t>
        </w:r>
      </w:hyperlink>
      <w:r w:rsidDel="00000000" w:rsidR="00000000" w:rsidRPr="00000000">
        <w:rPr>
          <w:rtl w:val="0"/>
        </w:rPr>
      </w:r>
    </w:p>
    <w:p w:rsidR="00000000" w:rsidDel="00000000" w:rsidP="00000000" w:rsidRDefault="00000000" w:rsidRPr="00000000" w14:paraId="0000001B">
      <w:pPr>
        <w:rPr/>
      </w:pPr>
      <w:hyperlink r:id="rId11">
        <w:r w:rsidDel="00000000" w:rsidR="00000000" w:rsidRPr="00000000">
          <w:rPr>
            <w:color w:val="1155cc"/>
            <w:u w:val="single"/>
            <w:rtl w:val="0"/>
          </w:rPr>
          <w:t xml:space="preserve">Home · Wiki · InterConnect Public · GitLab (inesctec.pt)</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SAREF documentation</w:t>
      </w:r>
    </w:p>
    <w:p w:rsidR="00000000" w:rsidDel="00000000" w:rsidP="00000000" w:rsidRDefault="00000000" w:rsidRPr="00000000" w14:paraId="0000001E">
      <w:pPr>
        <w:rPr/>
      </w:pPr>
      <w:hyperlink r:id="rId12">
        <w:r w:rsidDel="00000000" w:rsidR="00000000" w:rsidRPr="00000000">
          <w:rPr>
            <w:color w:val="1155cc"/>
            <w:u w:val="single"/>
            <w:rtl w:val="0"/>
          </w:rPr>
          <w:t xml:space="preserve">List of SAREF ontologies (etsi.org)</w:t>
        </w:r>
      </w:hyperlink>
      <w:r w:rsidDel="00000000" w:rsidR="00000000" w:rsidRPr="00000000">
        <w:rPr>
          <w:rtl w:val="0"/>
        </w:rPr>
      </w:r>
    </w:p>
    <w:p w:rsidR="00000000" w:rsidDel="00000000" w:rsidP="00000000" w:rsidRDefault="00000000" w:rsidRPr="00000000" w14:paraId="0000001F">
      <w:pPr>
        <w:rPr/>
      </w:pPr>
      <w:hyperlink r:id="rId13">
        <w:r w:rsidDel="00000000" w:rsidR="00000000" w:rsidRPr="00000000">
          <w:rPr>
            <w:color w:val="1155cc"/>
            <w:u w:val="single"/>
            <w:rtl w:val="0"/>
          </w:rPr>
          <w:t xml:space="preserve">SAREF4ENER: an extension of SAREF for the energy domain created in collaboration with Energy@Home and EEBus associations (etsi.org)</w:t>
        </w:r>
      </w:hyperlink>
      <w:r w:rsidDel="00000000" w:rsidR="00000000" w:rsidRPr="00000000">
        <w:rPr>
          <w:rtl w:val="0"/>
        </w:rPr>
      </w:r>
    </w:p>
    <w:p w:rsidR="00000000" w:rsidDel="00000000" w:rsidP="00000000" w:rsidRDefault="00000000" w:rsidRPr="00000000" w14:paraId="00000020">
      <w:pPr>
        <w:rPr/>
      </w:pPr>
      <w:hyperlink r:id="rId14">
        <w:r w:rsidDel="00000000" w:rsidR="00000000" w:rsidRPr="00000000">
          <w:rPr>
            <w:color w:val="1155cc"/>
            <w:u w:val="single"/>
            <w:rtl w:val="0"/>
          </w:rPr>
          <w:t xml:space="preserve">TS 103 410-1 - V1.1.2 - SmartM2M; Extension to SAREF; Part 1: Energy Domain (etsi.org)</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SAREF code repository</w:t>
      </w:r>
    </w:p>
    <w:p w:rsidR="00000000" w:rsidDel="00000000" w:rsidP="00000000" w:rsidRDefault="00000000" w:rsidRPr="00000000" w14:paraId="00000022">
      <w:pPr>
        <w:rPr/>
      </w:pPr>
      <w:hyperlink r:id="rId15">
        <w:r w:rsidDel="00000000" w:rsidR="00000000" w:rsidRPr="00000000">
          <w:rPr>
            <w:color w:val="1155cc"/>
            <w:u w:val="single"/>
            <w:rtl w:val="0"/>
          </w:rPr>
          <w:t xml:space="preserve">SAREF / saref4ener · GitLab (etsi.org)</w:t>
        </w:r>
      </w:hyperlink>
      <w:r w:rsidDel="00000000" w:rsidR="00000000" w:rsidRPr="00000000">
        <w:rPr>
          <w:rtl w:val="0"/>
        </w:rPr>
      </w:r>
    </w:p>
    <w:p w:rsidR="00000000" w:rsidDel="00000000" w:rsidP="00000000" w:rsidRDefault="00000000" w:rsidRPr="00000000" w14:paraId="00000023">
      <w:pPr>
        <w:rPr/>
      </w:pPr>
      <w:hyperlink r:id="rId16">
        <w:r w:rsidDel="00000000" w:rsidR="00000000" w:rsidRPr="00000000">
          <w:rPr>
            <w:color w:val="1155cc"/>
            <w:u w:val="single"/>
            <w:rtl w:val="0"/>
          </w:rPr>
          <w:t xml:space="preserve">examples/heatingsystem.ttl · develop-v1.1.2 · SAREF / saref4ener · GitLab (etsi.org)</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About ETSI</w:t>
      </w:r>
    </w:p>
    <w:p w:rsidR="00000000" w:rsidDel="00000000" w:rsidP="00000000" w:rsidRDefault="00000000" w:rsidRPr="00000000" w14:paraId="00000025">
      <w:pPr>
        <w:rPr/>
      </w:pPr>
      <w:hyperlink r:id="rId17">
        <w:r w:rsidDel="00000000" w:rsidR="00000000" w:rsidRPr="00000000">
          <w:rPr>
            <w:color w:val="1155cc"/>
            <w:u w:val="single"/>
            <w:rtl w:val="0"/>
          </w:rPr>
          <w:t xml:space="preserve">ETSI Organisation Chart</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p7ndo7ualz3n" w:id="3"/>
      <w:bookmarkEnd w:id="3"/>
      <w:r w:rsidDel="00000000" w:rsidR="00000000" w:rsidRPr="00000000">
        <w:rPr>
          <w:rtl w:val="0"/>
        </w:rPr>
        <w:t xml:space="preserve">Project  objectives</w:t>
      </w:r>
    </w:p>
    <w:p w:rsidR="00000000" w:rsidDel="00000000" w:rsidP="00000000" w:rsidRDefault="00000000" w:rsidRPr="00000000" w14:paraId="00000029">
      <w:pPr>
        <w:rPr/>
      </w:pPr>
      <w:r w:rsidDel="00000000" w:rsidR="00000000" w:rsidRPr="00000000">
        <w:rPr>
          <w:rtl w:val="0"/>
        </w:rPr>
        <w:t xml:space="preserve">Our original proposal</w:t>
      </w:r>
    </w:p>
    <w:p w:rsidR="00000000" w:rsidDel="00000000" w:rsidP="00000000" w:rsidRDefault="00000000" w:rsidRPr="00000000" w14:paraId="0000002A">
      <w:pPr>
        <w:rPr/>
      </w:pPr>
      <w:hyperlink r:id="rId18">
        <w:r w:rsidDel="00000000" w:rsidR="00000000" w:rsidRPr="00000000">
          <w:rPr>
            <w:color w:val="1155cc"/>
            <w:u w:val="single"/>
            <w:rtl w:val="0"/>
          </w:rPr>
          <w:t xml:space="preserve">https://docs.google.com/document/d/1qnHc3xfuiF_j_cV5iwwCZ4kP82XkQf7-/edit?usp=drive_link&amp;ouid=114482053995738165914&amp;rtpof=true&amp;sd=true</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DESTO project KPIs</w:t>
      </w:r>
    </w:p>
    <w:p w:rsidR="00000000" w:rsidDel="00000000" w:rsidP="00000000" w:rsidRDefault="00000000" w:rsidRPr="00000000" w14:paraId="0000002D">
      <w:pPr>
        <w:rPr>
          <w:shd w:fill="d9ead3" w:val="clear"/>
        </w:rPr>
      </w:pPr>
      <w:r w:rsidDel="00000000" w:rsidR="00000000" w:rsidRPr="00000000">
        <w:rPr>
          <w:shd w:fill="d9ead3" w:val="clear"/>
          <w:rtl w:val="0"/>
        </w:rPr>
        <w:t xml:space="preserve">KPI #1: Ability for reaction to special requests from the Smart Grid such as: incentives to consume more or less depending on current energy availability, or emergency situations that require temporary reduction of the power consumption.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KPI #2: Percentage of reduction of energy consumption for customers. This is the percentage of the total energy consumption reduction, comparing the energy consumed by customers (KWh) before the installation and after the installation in percentage.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shd w:fill="d9ead3" w:val="clear"/>
          <w:rtl w:val="0"/>
        </w:rPr>
        <w:t xml:space="preserve">KPI #3: Smart energy management such as (re-)scheduling appliances in certain modes and preferred times using power profiles to optimise energy efficiency and accommodate the customer's preferences</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KPI # 4 Ability to store energy for better grid reliability and efficiency supporting distributed Energy Resources (DER) such  as photovoltaic, wind, cogeneration, water, geothermal, biogas plants, etc.</w:t>
      </w:r>
    </w:p>
    <w:p w:rsidR="00000000" w:rsidDel="00000000" w:rsidP="00000000" w:rsidRDefault="00000000" w:rsidRPr="00000000" w14:paraId="00000033">
      <w:pPr>
        <w:rPr/>
      </w:pPr>
      <w:r w:rsidDel="00000000" w:rsidR="00000000" w:rsidRPr="00000000">
        <w:rPr>
          <w:rtl w:val="0"/>
        </w:rPr>
        <w:t xml:space="preserve">KPI #5: Reduce the costs of the TCO for the customers including the installation and maintenance costs.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SAREF4ENER use cases </w:t>
      </w:r>
    </w:p>
    <w:p w:rsidR="00000000" w:rsidDel="00000000" w:rsidP="00000000" w:rsidRDefault="00000000" w:rsidRPr="00000000" w14:paraId="00000038">
      <w:pPr>
        <w:rPr/>
      </w:pPr>
      <w:r w:rsidDel="00000000" w:rsidR="00000000" w:rsidRPr="00000000">
        <w:rPr>
          <w:rtl w:val="0"/>
        </w:rPr>
        <w:t xml:space="preserve">• Use case 1: configuration of devices that want to connect to each other in the home network, for example, to register a new dishwasher to the list of devices managed by the CEM;</w:t>
      </w:r>
    </w:p>
    <w:p w:rsidR="00000000" w:rsidDel="00000000" w:rsidP="00000000" w:rsidRDefault="00000000" w:rsidRPr="00000000" w14:paraId="00000039">
      <w:pPr>
        <w:rPr/>
      </w:pPr>
      <w:r w:rsidDel="00000000" w:rsidR="00000000" w:rsidRPr="00000000">
        <w:rPr>
          <w:rtl w:val="0"/>
        </w:rPr>
        <w:t xml:space="preserve">• Use case 2: smart energy management/ (re-)scheduling appliances in certain modes and preferred times using power profiles to optimize energy efficiency and accommodate the customer's preferences;</w:t>
      </w:r>
    </w:p>
    <w:p w:rsidR="00000000" w:rsidDel="00000000" w:rsidP="00000000" w:rsidRDefault="00000000" w:rsidRPr="00000000" w14:paraId="0000003A">
      <w:pPr>
        <w:rPr/>
      </w:pPr>
      <w:r w:rsidDel="00000000" w:rsidR="00000000" w:rsidRPr="00000000">
        <w:rPr>
          <w:rtl w:val="0"/>
        </w:rPr>
        <w:t xml:space="preserve">• Use case 3: monitoring and control of the start and status of the appliances;</w:t>
      </w:r>
    </w:p>
    <w:p w:rsidR="00000000" w:rsidDel="00000000" w:rsidP="00000000" w:rsidRDefault="00000000" w:rsidRPr="00000000" w14:paraId="0000003B">
      <w:pPr>
        <w:rPr/>
      </w:pPr>
      <w:r w:rsidDel="00000000" w:rsidR="00000000" w:rsidRPr="00000000">
        <w:rPr>
          <w:rtl w:val="0"/>
        </w:rPr>
        <w:t xml:space="preserve">• Use case 4: reaction to special requests from the Smart Grid, for example, incentives to consume more or less depending on current energy availability, or emergency situations that require temporary reduction of the power consumption.</w:t>
      </w:r>
    </w:p>
    <w:p w:rsidR="00000000" w:rsidDel="00000000" w:rsidP="00000000" w:rsidRDefault="00000000" w:rsidRPr="00000000" w14:paraId="0000003C">
      <w:pPr>
        <w:rPr/>
      </w:pPr>
      <w:r w:rsidDel="00000000" w:rsidR="00000000" w:rsidRPr="00000000">
        <w:rPr>
          <w:rtl w:val="0"/>
        </w:rPr>
        <w:t xml:space="preserve">Since our controller controls boilers (hot water storage tanks) additional use cases could be added related to energy storage.</w:t>
      </w:r>
    </w:p>
    <w:p w:rsidR="00000000" w:rsidDel="00000000" w:rsidP="00000000" w:rsidRDefault="00000000" w:rsidRPr="00000000" w14:paraId="0000003D">
      <w:pPr>
        <w:rPr/>
      </w:pPr>
      <w:hyperlink r:id="rId19">
        <w:r w:rsidDel="00000000" w:rsidR="00000000" w:rsidRPr="00000000">
          <w:rPr>
            <w:color w:val="1155cc"/>
            <w:u w:val="single"/>
            <w:rtl w:val="0"/>
          </w:rPr>
          <w:t xml:space="preserve">TS 103 410-1 - V1.1.2 - SmartM2M; Extension to SAREF; Part 1: Energy Domain (etsi.org)</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c363a"/>
        <w:sz w:val="21"/>
        <w:szCs w:val="21"/>
        <w:u w:val="none"/>
      </w:rPr>
    </w:lvl>
    <w:lvl w:ilvl="1">
      <w:start w:val="1"/>
      <w:numFmt w:val="bullet"/>
      <w:lvlText w:val="○"/>
      <w:lvlJc w:val="left"/>
      <w:pPr>
        <w:ind w:left="1440" w:hanging="360"/>
      </w:pPr>
      <w:rPr>
        <w:rFonts w:ascii="Calibri" w:cs="Calibri" w:eastAsia="Calibri" w:hAnsi="Calibri"/>
        <w:color w:val="2c363a"/>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gitlab.inesctec.pt/groups/interconnect-public/-/wikis/home" TargetMode="External"/><Relationship Id="rId10" Type="http://schemas.openxmlformats.org/officeDocument/2006/relationships/hyperlink" Target="https://gitlab.inesctec.pt/interconnect-public" TargetMode="External"/><Relationship Id="rId13" Type="http://schemas.openxmlformats.org/officeDocument/2006/relationships/hyperlink" Target="https://saref.etsi.org/saref4ener/v1.1.2/" TargetMode="External"/><Relationship Id="rId12" Type="http://schemas.openxmlformats.org/officeDocument/2006/relationships/hyperlink" Target="https://saref.etsi.org/extensions.html#SAREF4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labs.etsi.org/rep/saref/saref4ener" TargetMode="External"/><Relationship Id="rId14" Type="http://schemas.openxmlformats.org/officeDocument/2006/relationships/hyperlink" Target="https://www.etsi.org/deliver/etsi_ts/103400_103499/10341001/01.01.02_60/ts_10341001v010102p.pdf" TargetMode="External"/><Relationship Id="rId17" Type="http://schemas.openxmlformats.org/officeDocument/2006/relationships/hyperlink" Target="https://portal.etsi.org/People/ETSI-Organisation-Chart" TargetMode="External"/><Relationship Id="rId16" Type="http://schemas.openxmlformats.org/officeDocument/2006/relationships/hyperlink" Target="https://labs.etsi.org/rep/saref/saref4ener/-/blob/develop-v1.1.2/examples/heatingsystem.ttl" TargetMode="External"/><Relationship Id="rId5" Type="http://schemas.openxmlformats.org/officeDocument/2006/relationships/styles" Target="styles.xml"/><Relationship Id="rId19" Type="http://schemas.openxmlformats.org/officeDocument/2006/relationships/hyperlink" Target="https://www.etsi.org/deliver/etsi_ts/103400_103499/10341001/01.01.02_60/ts_10341001v010102p.pdf" TargetMode="External"/><Relationship Id="rId6" Type="http://schemas.openxmlformats.org/officeDocument/2006/relationships/hyperlink" Target="https://recover.inesctec.pt/pass954/" TargetMode="External"/><Relationship Id="rId18" Type="http://schemas.openxmlformats.org/officeDocument/2006/relationships/hyperlink" Target="https://docs.google.com/document/d/1qnHc3xfuiF_j_cV5iwwCZ4kP82XkQf7-/edit?usp=drive_link&amp;ouid=114482053995738165914&amp;rtpof=true&amp;sd=true" TargetMode="External"/><Relationship Id="rId7" Type="http://schemas.openxmlformats.org/officeDocument/2006/relationships/image" Target="media/image2.png"/><Relationship Id="rId8" Type="http://schemas.openxmlformats.org/officeDocument/2006/relationships/hyperlink" Target="https://drive.inesctec.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