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BIZ UD明朝 Medium" w:hAnsi="BIZ UD明朝 Medium" w:eastAsia="BIZ UD明朝 Medium"/>
          <w:b/>
          <w:sz w:val="26"/>
        </w:rPr>
        <w:t>（様式４）　技術提案に関する技術資料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工事名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会社名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</w:tbl>
    <w:p/>
    <w:p>
      <w:r>
        <w:rPr>
          <w:rFonts w:ascii="BIZ UD明朝 Medium" w:hAnsi="BIZ UD明朝 Medium" w:eastAsia="BIZ UD明朝 Medium"/>
          <w:b/>
          <w:sz w:val="22"/>
        </w:rPr>
        <w:t>留意点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07"/>
            <w:vMerge w:val="restart"/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項目1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907"/>
            <w:vMerge w:val="restart"/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項目2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907"/>
            <w:vMerge w:val="restart"/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項目3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/>
                <w:sz w:val="21"/>
              </w:rPr>
              <w:t>留意点③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明朝 Medium" w:hAnsi="BIZ UD明朝 Medium" w:eastAsia="BIZ UD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理由①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理由②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理由③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  <w:tr>
        <w:tc>
          <w:tcPr>
            <w:tcW w:type="dxa" w:w="3289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  <w:t>理由④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BIZ UDP明朝 Medium" w:hAnsi="BIZ UDP明朝 Medium" w:eastAsia="BIZ UDP明朝 Medium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明朝 Medium" w:hAnsi="BIZ UDP明朝 Medium" w:eastAsia="BIZ UDP明朝 Medium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