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40"/>
          <w:szCs w:val="40"/>
        </w:rPr>
        <w:t xml:space="preserve">SOFTWARE EFFORT ESTIMATION REPORT</w:t>
      </w:r>
    </w:p>
    <w:p>
      <w:pPr>
        <w:spacing w:after="100" w:before="200"/>
        <w:jc w:val="center"/>
      </w:pPr>
      <w:r>
        <w:rPr>
          <w:b/>
          <w:bCs/>
          <w:color w:val="2E5496"/>
          <w:sz w:val="30"/>
          <w:szCs w:val="30"/>
        </w:rPr>
        <w:t xml:space="preserve">Mini Security Information and Event Management (Mini-SIEM) System</w:t>
      </w:r>
    </w:p>
    <w:p>
      <w:pPr>
        <w:spacing w:after="600" w:before="100"/>
        <w:jc w:val="center"/>
      </w:pPr>
      <w:r>
        <w:rPr>
          <w:i/>
          <w:iCs/>
          <w:color w:val="595959"/>
          <w:sz w:val="22"/>
          <w:szCs w:val="22"/>
        </w:rPr>
        <w:t xml:space="preserve">Use Case Points Sizing with Task-Based Reconciliation for a 48-Hour Delivery Window</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tblGrid>
      <w:tr>
        <w:tc>
          <w:tcPr>
            <w:tcW w:type="dxa" w:w="2200"/>
            <w:tcBorders>
              <w:top w:val="single" w:color="B7C6DE" w:sz="4"/>
              <w:left w:val="single" w:color="B7C6DE" w:sz="4"/>
              <w:bottom w:val="single" w:color="B7C6DE" w:sz="4"/>
              <w:right w:val="single" w:color="B7C6DE" w:sz="4"/>
            </w:tcBorders>
            <w:shd w:fill="DCE6F1" w:color="auto" w:val="clear"/>
            <w:tcMar>
              <w:top w:type="dxa" w:w="80"/>
              <w:left w:type="dxa" w:w="120"/>
              <w:bottom w:type="dxa" w:w="80"/>
              <w:right w:type="dxa" w:w="120"/>
            </w:tcMar>
          </w:tcPr>
          <w:p>
            <w:r>
              <w:rPr>
                <w:b/>
                <w:bCs/>
                <w:sz w:val="19"/>
                <w:szCs w:val="19"/>
              </w:rPr>
              <w:t xml:space="preserve">Document ID</w:t>
            </w:r>
          </w:p>
        </w:tc>
        <w:tc>
          <w:tcPr>
            <w:tcW w:type="dxa" w:w="4000"/>
            <w:tcBorders>
              <w:top w:val="single" w:color="B7C6DE" w:sz="4"/>
              <w:left w:val="single" w:color="B7C6DE" w:sz="4"/>
              <w:bottom w:val="single" w:color="B7C6DE" w:sz="4"/>
              <w:right w:val="single" w:color="B7C6DE" w:sz="4"/>
            </w:tcBorders>
            <w:tcMar>
              <w:top w:type="dxa" w:w="80"/>
              <w:left w:type="dxa" w:w="120"/>
              <w:bottom w:type="dxa" w:w="80"/>
              <w:right w:type="dxa" w:w="120"/>
            </w:tcMar>
          </w:tcPr>
          <w:p>
            <w:r>
              <w:rPr>
                <w:sz w:val="19"/>
                <w:szCs w:val="19"/>
              </w:rPr>
              <w:t xml:space="preserve">EST-MSIEM-001</w:t>
            </w:r>
          </w:p>
        </w:tc>
      </w:tr>
      <w:tr>
        <w:tc>
          <w:tcPr>
            <w:tcW w:type="dxa" w:w="2200"/>
            <w:tcBorders>
              <w:top w:val="single" w:color="B7C6DE" w:sz="4"/>
              <w:left w:val="single" w:color="B7C6DE" w:sz="4"/>
              <w:bottom w:val="single" w:color="B7C6DE" w:sz="4"/>
              <w:right w:val="single" w:color="B7C6DE" w:sz="4"/>
            </w:tcBorders>
            <w:shd w:fill="DCE6F1" w:color="auto" w:val="clear"/>
            <w:tcMar>
              <w:top w:type="dxa" w:w="80"/>
              <w:left w:type="dxa" w:w="120"/>
              <w:bottom w:type="dxa" w:w="80"/>
              <w:right w:type="dxa" w:w="120"/>
            </w:tcMar>
          </w:tcPr>
          <w:p>
            <w:r>
              <w:rPr>
                <w:b/>
                <w:bCs/>
                <w:sz w:val="19"/>
                <w:szCs w:val="19"/>
              </w:rPr>
              <w:t xml:space="preserve">Version</w:t>
            </w:r>
          </w:p>
        </w:tc>
        <w:tc>
          <w:tcPr>
            <w:tcW w:type="dxa" w:w="4000"/>
            <w:tcBorders>
              <w:top w:val="single" w:color="B7C6DE" w:sz="4"/>
              <w:left w:val="single" w:color="B7C6DE" w:sz="4"/>
              <w:bottom w:val="single" w:color="B7C6DE" w:sz="4"/>
              <w:right w:val="single" w:color="B7C6DE" w:sz="4"/>
            </w:tcBorders>
            <w:tcMar>
              <w:top w:type="dxa" w:w="80"/>
              <w:left w:type="dxa" w:w="120"/>
              <w:bottom w:type="dxa" w:w="80"/>
              <w:right w:type="dxa" w:w="120"/>
            </w:tcMar>
          </w:tcPr>
          <w:p>
            <w:r>
              <w:rPr>
                <w:sz w:val="19"/>
                <w:szCs w:val="19"/>
              </w:rPr>
              <w:t xml:space="preserve">1.0</w:t>
            </w:r>
          </w:p>
        </w:tc>
      </w:tr>
      <w:tr>
        <w:tc>
          <w:tcPr>
            <w:tcW w:type="dxa" w:w="2200"/>
            <w:tcBorders>
              <w:top w:val="single" w:color="B7C6DE" w:sz="4"/>
              <w:left w:val="single" w:color="B7C6DE" w:sz="4"/>
              <w:bottom w:val="single" w:color="B7C6DE" w:sz="4"/>
              <w:right w:val="single" w:color="B7C6DE" w:sz="4"/>
            </w:tcBorders>
            <w:shd w:fill="DCE6F1" w:color="auto" w:val="clear"/>
            <w:tcMar>
              <w:top w:type="dxa" w:w="80"/>
              <w:left w:type="dxa" w:w="120"/>
              <w:bottom w:type="dxa" w:w="80"/>
              <w:right w:type="dxa" w:w="120"/>
            </w:tcMar>
          </w:tcPr>
          <w:p>
            <w:r>
              <w:rPr>
                <w:b/>
                <w:bCs/>
                <w:sz w:val="19"/>
                <w:szCs w:val="19"/>
              </w:rPr>
              <w:t xml:space="preserve">Related Document</w:t>
            </w:r>
          </w:p>
        </w:tc>
        <w:tc>
          <w:tcPr>
            <w:tcW w:type="dxa" w:w="4000"/>
            <w:tcBorders>
              <w:top w:val="single" w:color="B7C6DE" w:sz="4"/>
              <w:left w:val="single" w:color="B7C6DE" w:sz="4"/>
              <w:bottom w:val="single" w:color="B7C6DE" w:sz="4"/>
              <w:right w:val="single" w:color="B7C6DE" w:sz="4"/>
            </w:tcBorders>
            <w:tcMar>
              <w:top w:type="dxa" w:w="80"/>
              <w:left w:type="dxa" w:w="120"/>
              <w:bottom w:type="dxa" w:w="80"/>
              <w:right w:type="dxa" w:w="120"/>
            </w:tcMar>
          </w:tcPr>
          <w:p>
            <w:r>
              <w:rPr>
                <w:sz w:val="19"/>
                <w:szCs w:val="19"/>
              </w:rPr>
              <w:t xml:space="preserve">SRS-MSIEM-001 (Software Requirements Specification)</w:t>
            </w:r>
          </w:p>
        </w:tc>
      </w:tr>
      <w:tr>
        <w:tc>
          <w:tcPr>
            <w:tcW w:type="dxa" w:w="2200"/>
            <w:tcBorders>
              <w:top w:val="single" w:color="B7C6DE" w:sz="4"/>
              <w:left w:val="single" w:color="B7C6DE" w:sz="4"/>
              <w:bottom w:val="single" w:color="B7C6DE" w:sz="4"/>
              <w:right w:val="single" w:color="B7C6DE" w:sz="4"/>
            </w:tcBorders>
            <w:shd w:fill="DCE6F1" w:color="auto" w:val="clear"/>
            <w:tcMar>
              <w:top w:type="dxa" w:w="80"/>
              <w:left w:type="dxa" w:w="120"/>
              <w:bottom w:type="dxa" w:w="80"/>
              <w:right w:type="dxa" w:w="120"/>
            </w:tcMar>
          </w:tcPr>
          <w:p>
            <w:r>
              <w:rPr>
                <w:b/>
                <w:bCs/>
                <w:sz w:val="19"/>
                <w:szCs w:val="19"/>
              </w:rPr>
              <w:t xml:space="preserve">Prepared For</w:t>
            </w:r>
          </w:p>
        </w:tc>
        <w:tc>
          <w:tcPr>
            <w:tcW w:type="dxa" w:w="4000"/>
            <w:tcBorders>
              <w:top w:val="single" w:color="B7C6DE" w:sz="4"/>
              <w:left w:val="single" w:color="B7C6DE" w:sz="4"/>
              <w:bottom w:val="single" w:color="B7C6DE" w:sz="4"/>
              <w:right w:val="single" w:color="B7C6DE" w:sz="4"/>
            </w:tcBorders>
            <w:tcMar>
              <w:top w:type="dxa" w:w="80"/>
              <w:left w:type="dxa" w:w="120"/>
              <w:bottom w:type="dxa" w:w="80"/>
              <w:right w:type="dxa" w:w="120"/>
            </w:tcMar>
          </w:tcPr>
          <w:p>
            <w:r>
              <w:rPr>
                <w:sz w:val="19"/>
                <w:szCs w:val="19"/>
              </w:rPr>
              <w:t xml:space="preserve">CSCD602: Advanced Software Engineering — Individual Project-Based Examination</w:t>
            </w:r>
          </w:p>
        </w:tc>
      </w:tr>
      <w:tr>
        <w:tc>
          <w:tcPr>
            <w:tcW w:type="dxa" w:w="2200"/>
            <w:tcBorders>
              <w:top w:val="single" w:color="B7C6DE" w:sz="4"/>
              <w:left w:val="single" w:color="B7C6DE" w:sz="4"/>
              <w:bottom w:val="single" w:color="B7C6DE" w:sz="4"/>
              <w:right w:val="single" w:color="B7C6DE" w:sz="4"/>
            </w:tcBorders>
            <w:shd w:fill="DCE6F1" w:color="auto" w:val="clear"/>
            <w:tcMar>
              <w:top w:type="dxa" w:w="80"/>
              <w:left w:type="dxa" w:w="120"/>
              <w:bottom w:type="dxa" w:w="80"/>
              <w:right w:type="dxa" w:w="120"/>
            </w:tcMar>
          </w:tcPr>
          <w:p>
            <w:r>
              <w:rPr>
                <w:b/>
                <w:bCs/>
                <w:sz w:val="19"/>
                <w:szCs w:val="19"/>
              </w:rPr>
              <w:t xml:space="preserve">Prepared By</w:t>
            </w:r>
          </w:p>
        </w:tc>
        <w:tc>
          <w:tcPr>
            <w:tcW w:type="dxa" w:w="4000"/>
            <w:tcBorders>
              <w:top w:val="single" w:color="B7C6DE" w:sz="4"/>
              <w:left w:val="single" w:color="B7C6DE" w:sz="4"/>
              <w:bottom w:val="single" w:color="B7C6DE" w:sz="4"/>
              <w:right w:val="single" w:color="B7C6DE" w:sz="4"/>
            </w:tcBorders>
            <w:tcMar>
              <w:top w:type="dxa" w:w="80"/>
              <w:left w:type="dxa" w:w="120"/>
              <w:bottom w:type="dxa" w:w="80"/>
              <w:right w:type="dxa" w:w="120"/>
            </w:tcMar>
          </w:tcPr>
          <w:p>
            <w:r>
              <w:rPr>
                <w:sz w:val="19"/>
                <w:szCs w:val="19"/>
              </w:rPr>
              <w:t xml:space="preserve">[Student Name] — [Student ID]</w:t>
            </w:r>
          </w:p>
        </w:tc>
      </w:tr>
      <w:tr>
        <w:tc>
          <w:tcPr>
            <w:tcW w:type="dxa" w:w="2200"/>
            <w:tcBorders>
              <w:top w:val="single" w:color="B7C6DE" w:sz="4"/>
              <w:left w:val="single" w:color="B7C6DE" w:sz="4"/>
              <w:bottom w:val="single" w:color="B7C6DE" w:sz="4"/>
              <w:right w:val="single" w:color="B7C6DE" w:sz="4"/>
            </w:tcBorders>
            <w:shd w:fill="DCE6F1" w:color="auto" w:val="clear"/>
            <w:tcMar>
              <w:top w:type="dxa" w:w="80"/>
              <w:left w:type="dxa" w:w="120"/>
              <w:bottom w:type="dxa" w:w="80"/>
              <w:right w:type="dxa" w:w="120"/>
            </w:tcMar>
          </w:tcPr>
          <w:p>
            <w:r>
              <w:rPr>
                <w:b/>
                <w:bCs/>
                <w:sz w:val="19"/>
                <w:szCs w:val="19"/>
              </w:rPr>
              <w:t xml:space="preserve">Date</w:t>
            </w:r>
          </w:p>
        </w:tc>
        <w:tc>
          <w:tcPr>
            <w:tcW w:type="dxa" w:w="4000"/>
            <w:tcBorders>
              <w:top w:val="single" w:color="B7C6DE" w:sz="4"/>
              <w:left w:val="single" w:color="B7C6DE" w:sz="4"/>
              <w:bottom w:val="single" w:color="B7C6DE" w:sz="4"/>
              <w:right w:val="single" w:color="B7C6DE" w:sz="4"/>
            </w:tcBorders>
            <w:tcMar>
              <w:top w:type="dxa" w:w="80"/>
              <w:left w:type="dxa" w:w="120"/>
              <w:bottom w:type="dxa" w:w="80"/>
              <w:right w:type="dxa" w:w="120"/>
            </w:tcMar>
          </w:tcPr>
          <w:p>
            <w:r>
              <w:rPr>
                <w:sz w:val="19"/>
                <w:szCs w:val="19"/>
              </w:rPr>
              <w:t xml:space="preserve">[Submission Date]</w:t>
            </w:r>
          </w:p>
        </w:tc>
      </w:tr>
    </w:tbl>
    <w:p>
      <w:r>
        <w:br w:type="page"/>
      </w:r>
    </w:p>
    <w:p>
      <w:pPr>
        <w:sectPr>
          <w:pgSz w:w="11906" w:h="16838" w:orient="portrait"/>
          <w:pgMar w:top="1080" w:right="1080" w:bottom="1080" w:left="1080" w:header="708" w:footer="708" w:gutter="0"/>
          <w:pgNumType/>
          <w:docGrid w:linePitch="360"/>
        </w:sectPr>
      </w:pPr>
    </w:p>
    <w:p>
      <w:pPr>
        <w:pStyle w:val="Heading1"/>
        <w:pBdr>
          <w:bottom w:val="single" w:color="1F3864" w:sz="6" w:space="4"/>
        </w:pBdr>
        <w:spacing w:after="160" w:before="360"/>
      </w:pPr>
      <w:r>
        <w:rPr>
          <w:b/>
          <w:bCs/>
          <w:color w:val="1F3864"/>
        </w:rPr>
        <w:t xml:space="preserve">1. Technique Selection and Rationale</w:t>
      </w:r>
    </w:p>
    <w:p>
      <w:pPr>
        <w:spacing w:after="160" w:line="276"/>
      </w:pPr>
      <w:r>
        <w:rPr>
          <w:sz w:val="21"/>
          <w:szCs w:val="21"/>
        </w:rPr>
        <w:t xml:space="preserve">Two complementary estimation techniques are applied in this report, deliberately combined rather than used in isolation:</w:t>
      </w:r>
    </w:p>
    <w:p>
      <w:pPr>
        <w:pStyle w:val="ListParagraph"/>
        <w:numPr>
          <w:ilvl w:val="0"/>
          <w:numId w:val="2"/>
        </w:numPr>
        <w:spacing w:after="80"/>
      </w:pPr>
      <w:r>
        <w:rPr>
          <w:sz w:val="21"/>
          <w:szCs w:val="21"/>
        </w:rPr>
        <w:t xml:space="preserve">Use Case Points (UCP) — applied to the full set of requirements in SRS-MSIEM-001, to size the system as if it were being delivered to production quality. This produces a defensible, requirements-traceable effort figure rather than a guess.</w:t>
      </w:r>
    </w:p>
    <w:p>
      <w:pPr>
        <w:pStyle w:val="ListParagraph"/>
        <w:numPr>
          <w:ilvl w:val="0"/>
          <w:numId w:val="2"/>
        </w:numPr>
        <w:spacing w:after="80"/>
      </w:pPr>
      <w:r>
        <w:rPr>
          <w:sz w:val="21"/>
          <w:szCs w:val="21"/>
        </w:rPr>
        <w:t xml:space="preserve">Task-Based Expert Estimation — applied to the subset of "Must"-priority requirements that are realistically achievable within the fixed 48-hour examination window, to produce an actionable hour-by-hour execution plan.</w:t>
      </w:r>
    </w:p>
    <w:p>
      <w:pPr>
        <w:spacing w:after="160" w:line="276"/>
      </w:pPr>
      <w:r>
        <w:rPr>
          <w:sz w:val="21"/>
          <w:szCs w:val="21"/>
        </w:rPr>
        <w:t xml:space="preserve">COCOMO II was considered and rejected as the primary technique. COCOMO II is calibrated against historical project databases measured in thousands of source lines of code and is intended for effort prediction once a size estimate (e.g., in KLOC) already exists; for a system that has not yet been designed or coded, supplying a credible KLOC figure would itself be a guess, undermining the credibility of the estimate it produces. Use Case Points, by contrast, can be derived directly and traceably from the actors and use cases already defined in the SRS (Section 3.1 and Appendix A of SRS-MSIEM-001), which makes it both earlier-applicable and more auditable for this project.</w:t>
      </w:r>
    </w:p>
    <w:p>
      <w:pPr>
        <w:spacing w:after="160" w:line="276"/>
      </w:pPr>
      <w:r>
        <w:rPr>
          <w:sz w:val="21"/>
          <w:szCs w:val="21"/>
        </w:rPr>
        <w:t xml:space="preserve">Story Points were considered as an alternative but were set aside for the sizing exercise because story points are calibrated to a specific team's historical velocity; as a first-time solo project with no prior velocity data, any story-point figure would be arbitrary. Story points remain useful conversationally during Phase 3 implementation (Section 3.2) to sanity-check daily task sizing, but are not used as the basis of the headline estimate.</w:t>
      </w:r>
    </w:p>
    <w:p>
      <w:pPr>
        <w:spacing w:after="160" w:line="276"/>
      </w:pPr>
      <w:r>
        <w:rPr>
          <w:sz w:val="21"/>
          <w:szCs w:val="21"/>
        </w:rPr>
        <w:t xml:space="preserve">The combination of UCP (theoretical full-scope sizing) and task-based estimation (actual constrained-scope planning) is intentional: Section 2 shows why the full requirement set cannot be built in 48 hours, and Section 3 shows exactly what will be built instead, and why. This directly satisfies the examination requirement to show "how the estimation influenced project scope."</w:t>
      </w:r>
    </w:p>
    <w:p>
      <w:r>
        <w:br w:type="page"/>
      </w:r>
    </w:p>
    <w:p>
      <w:pPr>
        <w:pStyle w:val="Heading1"/>
        <w:pBdr>
          <w:bottom w:val="single" w:color="1F3864" w:sz="6" w:space="4"/>
        </w:pBdr>
        <w:spacing w:after="160" w:before="360"/>
      </w:pPr>
      <w:r>
        <w:rPr>
          <w:b/>
          <w:bCs/>
          <w:color w:val="1F3864"/>
        </w:rPr>
        <w:t xml:space="preserve">2. Use Case Points Sizing (Full Requirement Scope)</w:t>
      </w:r>
    </w:p>
    <w:p>
      <w:pPr>
        <w:spacing w:after="160" w:line="276"/>
      </w:pPr>
      <w:r>
        <w:rPr>
          <w:sz w:val="21"/>
          <w:szCs w:val="21"/>
        </w:rPr>
        <w:t xml:space="preserve">This sizing treats every requirement in SRS-MSIEM-001 — Must, Should, and Could — as in scope, to establish the true effort implied by the requirements as specified, independent of the 48-hour constraint.</w:t>
      </w:r>
    </w:p>
    <w:p>
      <w:pPr>
        <w:pStyle w:val="Heading2"/>
        <w:spacing w:after="120" w:before="260"/>
      </w:pPr>
      <w:r>
        <w:rPr>
          <w:b/>
          <w:bCs/>
          <w:color w:val="2E5496"/>
        </w:rPr>
        <w:t xml:space="preserve">2.1 Unadjusted Actor Weight (UAW)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200"/>
      </w:tblGrid>
      <w:tr>
        <w:trPr>
          <w:tblHeader/>
        </w:trPr>
        <w:tc>
          <w:tcPr>
            <w:tcW w:type="dxa" w:w="24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Actor</w:t>
            </w:r>
          </w:p>
        </w:tc>
        <w:tc>
          <w:tcPr>
            <w:tcW w:type="dxa" w:w="54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Classification Rationale</w:t>
            </w:r>
          </w:p>
        </w:tc>
        <w:tc>
          <w:tcPr>
            <w:tcW w:type="dxa" w:w="12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Weight</w:t>
            </w:r>
          </w:p>
        </w:tc>
      </w:tr>
      <w:tr>
        <w:tc>
          <w:tcPr>
            <w:tcW w:type="dxa" w:w="2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Event Source</w:t>
            </w:r>
          </w:p>
        </w:tc>
        <w:tc>
          <w:tcPr>
            <w:tcW w:type="dxa" w:w="5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Simple — programmatic submission interface, no UI (FR-1.1–FR-1.6)</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1</w:t>
            </w:r>
          </w:p>
        </w:tc>
      </w:tr>
      <w:tr>
        <w:tc>
          <w:tcPr>
            <w:tcW w:type="dxa" w:w="2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Analyst</w:t>
            </w:r>
          </w:p>
        </w:tc>
        <w:tc>
          <w:tcPr>
            <w:tcW w:type="dxa" w:w="5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Complex — interactive GUI user (dashboard, alert triage)</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3</w:t>
            </w:r>
          </w:p>
        </w:tc>
      </w:tr>
      <w:tr>
        <w:tc>
          <w:tcPr>
            <w:tcW w:type="dxa" w:w="2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Administrator</w:t>
            </w:r>
          </w:p>
        </w:tc>
        <w:tc>
          <w:tcPr>
            <w:tcW w:type="dxa" w:w="5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Complex — interactive GUI user (configuration, user/role management)</w:t>
            </w:r>
          </w:p>
        </w:tc>
        <w:tc>
          <w:tcPr>
            <w:tcW w:type="dxa" w:w="12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3</w:t>
            </w:r>
          </w:p>
        </w:tc>
      </w:tr>
      <w:tr>
        <w:tc>
          <w:tcPr>
            <w:tcW w:type="dxa" w:w="2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Auditor</w:t>
            </w:r>
          </w:p>
        </w:tc>
        <w:tc>
          <w:tcPr>
            <w:tcW w:type="dxa" w:w="5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Complex — interactive GUI user (read-only review)</w:t>
            </w:r>
          </w:p>
        </w:tc>
        <w:tc>
          <w:tcPr>
            <w:tcW w:type="dxa" w:w="12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3</w:t>
            </w:r>
          </w:p>
        </w:tc>
      </w:tr>
    </w:tbl>
    <w:p>
      <w:pPr>
        <w:spacing w:after="160" w:line="276"/>
      </w:pPr>
      <w:r>
        <w:rPr>
          <w:sz w:val="21"/>
          <w:szCs w:val="21"/>
        </w:rPr>
        <w:t xml:space="preserve">UAW = (1 simple actor × 1) + (3 complex actors × 3) = 1 + 9 = 10.</w:t>
      </w:r>
    </w:p>
    <w:p>
      <w:pPr>
        <w:pStyle w:val="Heading2"/>
        <w:spacing w:after="120" w:before="260"/>
      </w:pPr>
      <w:r>
        <w:rPr>
          <w:b/>
          <w:bCs/>
          <w:color w:val="2E5496"/>
        </w:rPr>
        <w:t xml:space="preserve">2.2 Unadjusted Use Case Weight (UUCW)</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600"/>
        <w:gridCol w:w="1300"/>
        <w:gridCol w:w="900"/>
      </w:tblGrid>
      <w:tr>
        <w:trPr>
          <w:tblHeader/>
        </w:trPr>
        <w:tc>
          <w:tcPr>
            <w:tcW w:type="dxa" w:w="19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Use Case</w:t>
            </w:r>
          </w:p>
        </w:tc>
        <w:tc>
          <w:tcPr>
            <w:tcW w:type="dxa" w:w="17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Primary Actor(s)</w:t>
            </w:r>
          </w:p>
        </w:tc>
        <w:tc>
          <w:tcPr>
            <w:tcW w:type="dxa" w:w="26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Transaction Steps</w:t>
            </w:r>
          </w:p>
        </w:tc>
        <w:tc>
          <w:tcPr>
            <w:tcW w:type="dxa" w:w="13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Classification</w:t>
            </w:r>
          </w:p>
        </w:tc>
        <w:tc>
          <w:tcPr>
            <w:tcW w:type="dxa" w:w="9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Weight</w:t>
            </w:r>
          </w:p>
        </w:tc>
      </w:tr>
      <w:tr>
        <w:tc>
          <w:tcPr>
            <w:tcW w:type="dxa" w:w="1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UC-1 Submit Security Event</w:t>
            </w:r>
          </w:p>
        </w:tc>
        <w:tc>
          <w:tcPr>
            <w:tcW w:type="dxa" w:w="17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Event Source</w:t>
            </w:r>
          </w:p>
        </w:tc>
        <w:tc>
          <w:tcPr>
            <w:tcW w:type="dxa" w:w="2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5 (validate → authenticate → accept/reject → timestamp → persist)</w:t>
            </w:r>
          </w:p>
        </w:tc>
        <w:tc>
          <w:tcPr>
            <w:tcW w:type="dxa" w:w="13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Average</w:t>
            </w:r>
          </w:p>
        </w:tc>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10</w:t>
            </w:r>
          </w:p>
        </w:tc>
      </w:tr>
      <w:tr>
        <w:tc>
          <w:tcPr>
            <w:tcW w:type="dxa" w:w="1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UC-2 Query Historical Events</w:t>
            </w:r>
          </w:p>
        </w:tc>
        <w:tc>
          <w:tcPr>
            <w:tcW w:type="dxa" w:w="17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Analyst, Auditor</w:t>
            </w:r>
          </w:p>
        </w:tc>
        <w:tc>
          <w:tcPr>
            <w:tcW w:type="dxa" w:w="2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4 (filter → search → retrieve → display)</w:t>
            </w:r>
          </w:p>
        </w:tc>
        <w:tc>
          <w:tcPr>
            <w:tcW w:type="dxa" w:w="13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Average</w:t>
            </w:r>
          </w:p>
        </w:tc>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10</w:t>
            </w:r>
          </w:p>
        </w:tc>
      </w:tr>
      <w:tr>
        <w:tc>
          <w:tcPr>
            <w:tcW w:type="dxa" w:w="1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UC-3 Define / Modify Detection Rule</w:t>
            </w:r>
          </w:p>
        </w:tc>
        <w:tc>
          <w:tcPr>
            <w:tcW w:type="dxa" w:w="17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Administrator</w:t>
            </w:r>
          </w:p>
        </w:tc>
        <w:tc>
          <w:tcPr>
            <w:tcW w:type="dxa" w:w="2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8 (define conditions → set threshold/pattern → assign severity → validate → enable → save → audit)</w:t>
            </w:r>
          </w:p>
        </w:tc>
        <w:tc>
          <w:tcPr>
            <w:tcW w:type="dxa" w:w="13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Complex</w:t>
            </w:r>
          </w:p>
        </w:tc>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15</w:t>
            </w:r>
          </w:p>
        </w:tc>
      </w:tr>
      <w:tr>
        <w:tc>
          <w:tcPr>
            <w:tcW w:type="dxa" w:w="1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UC-4 Receive and Triage Alert</w:t>
            </w:r>
          </w:p>
        </w:tc>
        <w:tc>
          <w:tcPr>
            <w:tcW w:type="dxa" w:w="17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Analyst</w:t>
            </w:r>
          </w:p>
        </w:tc>
        <w:tc>
          <w:tcPr>
            <w:tcW w:type="dxa" w:w="2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5 (notify → view → acknowledge → annotate → change status)</w:t>
            </w:r>
          </w:p>
        </w:tc>
        <w:tc>
          <w:tcPr>
            <w:tcW w:type="dxa" w:w="13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Average</w:t>
            </w:r>
          </w:p>
        </w:tc>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10</w:t>
            </w:r>
          </w:p>
        </w:tc>
      </w:tr>
      <w:tr>
        <w:tc>
          <w:tcPr>
            <w:tcW w:type="dxa" w:w="1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UC-5 View Security Dashboard</w:t>
            </w:r>
          </w:p>
        </w:tc>
        <w:tc>
          <w:tcPr>
            <w:tcW w:type="dxa" w:w="17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Analyst, Administrator, Auditor</w:t>
            </w:r>
          </w:p>
        </w:tc>
        <w:tc>
          <w:tcPr>
            <w:tcW w:type="dxa" w:w="2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4 (aggregate → render → filter → drill down)</w:t>
            </w:r>
          </w:p>
        </w:tc>
        <w:tc>
          <w:tcPr>
            <w:tcW w:type="dxa" w:w="13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Average</w:t>
            </w:r>
          </w:p>
        </w:tc>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10</w:t>
            </w:r>
          </w:p>
        </w:tc>
      </w:tr>
      <w:tr>
        <w:tc>
          <w:tcPr>
            <w:tcW w:type="dxa" w:w="1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UC-6 Authenticate to System</w:t>
            </w:r>
          </w:p>
        </w:tc>
        <w:tc>
          <w:tcPr>
            <w:tcW w:type="dxa" w:w="17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All human roles</w:t>
            </w:r>
          </w:p>
        </w:tc>
        <w:tc>
          <w:tcPr>
            <w:tcW w:type="dxa" w:w="2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3 (submit credentials → validate → establish session)</w:t>
            </w:r>
          </w:p>
        </w:tc>
        <w:tc>
          <w:tcPr>
            <w:tcW w:type="dxa" w:w="13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Simple</w:t>
            </w:r>
          </w:p>
        </w:tc>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5</w:t>
            </w:r>
          </w:p>
        </w:tc>
      </w:tr>
      <w:tr>
        <w:tc>
          <w:tcPr>
            <w:tcW w:type="dxa" w:w="1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UC-7 Manage User Accounts and Roles</w:t>
            </w:r>
          </w:p>
        </w:tc>
        <w:tc>
          <w:tcPr>
            <w:tcW w:type="dxa" w:w="17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Administrator</w:t>
            </w:r>
          </w:p>
        </w:tc>
        <w:tc>
          <w:tcPr>
            <w:tcW w:type="dxa" w:w="2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8 (create → assign role → edit → deactivate → validate → audit)</w:t>
            </w:r>
          </w:p>
        </w:tc>
        <w:tc>
          <w:tcPr>
            <w:tcW w:type="dxa" w:w="13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Complex</w:t>
            </w:r>
          </w:p>
        </w:tc>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15</w:t>
            </w:r>
          </w:p>
        </w:tc>
      </w:tr>
      <w:tr>
        <w:tc>
          <w:tcPr>
            <w:tcW w:type="dxa" w:w="1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UC-8 Review Audit Trail</w:t>
            </w:r>
          </w:p>
        </w:tc>
        <w:tc>
          <w:tcPr>
            <w:tcW w:type="dxa" w:w="17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Administrator, Auditor</w:t>
            </w:r>
          </w:p>
        </w:tc>
        <w:tc>
          <w:tcPr>
            <w:tcW w:type="dxa" w:w="2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3 (query → filter → display)</w:t>
            </w:r>
          </w:p>
        </w:tc>
        <w:tc>
          <w:tcPr>
            <w:tcW w:type="dxa" w:w="13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Simple</w:t>
            </w:r>
          </w:p>
        </w:tc>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5</w:t>
            </w:r>
          </w:p>
        </w:tc>
      </w:tr>
    </w:tbl>
    <w:p>
      <w:pPr>
        <w:spacing w:after="160" w:line="276"/>
      </w:pPr>
      <w:r>
        <w:rPr>
          <w:sz w:val="21"/>
          <w:szCs w:val="21"/>
        </w:rPr>
        <w:t xml:space="preserve">UUCW = 10 + 10 + 15 + 10 + 10 + 5 + 15 + 5 = 80.</w:t>
      </w:r>
    </w:p>
    <w:p>
      <w:pPr>
        <w:shd w:fill="F2F6FB" w:color="auto" w:val="clear"/>
        <w:spacing w:after="120" w:before="120"/>
        <w:jc w:val="center"/>
      </w:pPr>
      <w:r>
        <w:rPr>
          <w:rFonts w:ascii="Cambria Math" w:cs="Cambria Math" w:eastAsia="Cambria Math" w:hAnsi="Cambria Math"/>
          <w:i/>
          <w:iCs/>
          <w:sz w:val="21"/>
          <w:szCs w:val="21"/>
        </w:rPr>
        <w:t xml:space="preserve">UUCP  =  UAW + UUCW  =  10 + 80  =  90</w:t>
      </w:r>
    </w:p>
    <w:p>
      <w:pPr>
        <w:pStyle w:val="Heading2"/>
        <w:spacing w:after="120" w:before="260"/>
      </w:pPr>
      <w:r>
        <w:rPr>
          <w:b/>
          <w:bCs/>
          <w:color w:val="2E5496"/>
        </w:rPr>
        <w:t xml:space="preserve">2.3 Technical Complexity Factor (TCF)</w:t>
      </w:r>
    </w:p>
    <w:p>
      <w:pPr>
        <w:spacing w:after="160" w:line="276"/>
      </w:pPr>
      <w:r>
        <w:rPr>
          <w:sz w:val="21"/>
          <w:szCs w:val="21"/>
        </w:rPr>
        <w:t xml:space="preserve">Each of the 13 standard technical factors is rated 0 (irrelevant) to 5 (essential) for this system.</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000"/>
        <w:gridCol w:w="1400"/>
        <w:gridCol w:w="1300"/>
      </w:tblGrid>
      <w:tr>
        <w:trPr>
          <w:tblHeader/>
        </w:trPr>
        <w:tc>
          <w:tcPr>
            <w:tcW w:type="dxa" w:w="9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Factor</w:t>
            </w:r>
          </w:p>
        </w:tc>
        <w:tc>
          <w:tcPr>
            <w:tcW w:type="dxa" w:w="34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Description</w:t>
            </w:r>
          </w:p>
        </w:tc>
        <w:tc>
          <w:tcPr>
            <w:tcW w:type="dxa" w:w="10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Weight</w:t>
            </w:r>
          </w:p>
        </w:tc>
        <w:tc>
          <w:tcPr>
            <w:tcW w:type="dxa" w:w="14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Rating (0–5)</w:t>
            </w:r>
          </w:p>
        </w:tc>
        <w:tc>
          <w:tcPr>
            <w:tcW w:type="dxa" w:w="13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Weighted Value</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T1</w:t>
            </w:r>
          </w:p>
        </w:tc>
        <w:tc>
          <w:tcPr>
            <w:tcW w:type="dxa" w:w="3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Distributed system</w:t>
            </w:r>
          </w:p>
        </w:tc>
        <w:tc>
          <w:tcPr>
            <w:tcW w:type="dxa" w:w="1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2</w:t>
            </w:r>
          </w:p>
        </w:tc>
        <w:tc>
          <w:tcPr>
            <w:tcW w:type="dxa" w:w="1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3</w:t>
            </w:r>
          </w:p>
        </w:tc>
        <w:tc>
          <w:tcPr>
            <w:tcW w:type="dxa" w:w="13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6</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T2</w:t>
            </w:r>
          </w:p>
        </w:tc>
        <w:tc>
          <w:tcPr>
            <w:tcW w:type="dxa" w:w="3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Response/performance objectives</w:t>
            </w:r>
          </w:p>
        </w:tc>
        <w:tc>
          <w:tcPr>
            <w:tcW w:type="dxa" w:w="1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1</w:t>
            </w:r>
          </w:p>
        </w:tc>
        <w:tc>
          <w:tcPr>
            <w:tcW w:type="dxa" w:w="1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3</w:t>
            </w:r>
          </w:p>
        </w:tc>
        <w:tc>
          <w:tcPr>
            <w:tcW w:type="dxa" w:w="13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3</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T3</w:t>
            </w:r>
          </w:p>
        </w:tc>
        <w:tc>
          <w:tcPr>
            <w:tcW w:type="dxa" w:w="3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End-user efficiency</w:t>
            </w:r>
          </w:p>
        </w:tc>
        <w:tc>
          <w:tcPr>
            <w:tcW w:type="dxa" w:w="1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1</w:t>
            </w:r>
          </w:p>
        </w:tc>
        <w:tc>
          <w:tcPr>
            <w:tcW w:type="dxa" w:w="1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3</w:t>
            </w:r>
          </w:p>
        </w:tc>
        <w:tc>
          <w:tcPr>
            <w:tcW w:type="dxa" w:w="13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3</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T4</w:t>
            </w:r>
          </w:p>
        </w:tc>
        <w:tc>
          <w:tcPr>
            <w:tcW w:type="dxa" w:w="3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Complex internal processing</w:t>
            </w:r>
          </w:p>
        </w:tc>
        <w:tc>
          <w:tcPr>
            <w:tcW w:type="dxa" w:w="1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1</w:t>
            </w:r>
          </w:p>
        </w:tc>
        <w:tc>
          <w:tcPr>
            <w:tcW w:type="dxa" w:w="1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3</w:t>
            </w:r>
          </w:p>
        </w:tc>
        <w:tc>
          <w:tcPr>
            <w:tcW w:type="dxa" w:w="13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3</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T5</w:t>
            </w:r>
          </w:p>
        </w:tc>
        <w:tc>
          <w:tcPr>
            <w:tcW w:type="dxa" w:w="3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Reusable code/design</w:t>
            </w:r>
          </w:p>
        </w:tc>
        <w:tc>
          <w:tcPr>
            <w:tcW w:type="dxa" w:w="1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1</w:t>
            </w:r>
          </w:p>
        </w:tc>
        <w:tc>
          <w:tcPr>
            <w:tcW w:type="dxa" w:w="1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2</w:t>
            </w:r>
          </w:p>
        </w:tc>
        <w:tc>
          <w:tcPr>
            <w:tcW w:type="dxa" w:w="13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2</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T6</w:t>
            </w:r>
          </w:p>
        </w:tc>
        <w:tc>
          <w:tcPr>
            <w:tcW w:type="dxa" w:w="3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Easy to install</w:t>
            </w:r>
          </w:p>
        </w:tc>
        <w:tc>
          <w:tcPr>
            <w:tcW w:type="dxa" w:w="1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0.5</w:t>
            </w:r>
          </w:p>
        </w:tc>
        <w:tc>
          <w:tcPr>
            <w:tcW w:type="dxa" w:w="1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3</w:t>
            </w:r>
          </w:p>
        </w:tc>
        <w:tc>
          <w:tcPr>
            <w:tcW w:type="dxa" w:w="13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1.5</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T7</w:t>
            </w:r>
          </w:p>
        </w:tc>
        <w:tc>
          <w:tcPr>
            <w:tcW w:type="dxa" w:w="3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Easy to use</w:t>
            </w:r>
          </w:p>
        </w:tc>
        <w:tc>
          <w:tcPr>
            <w:tcW w:type="dxa" w:w="1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0.5</w:t>
            </w:r>
          </w:p>
        </w:tc>
        <w:tc>
          <w:tcPr>
            <w:tcW w:type="dxa" w:w="1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3</w:t>
            </w:r>
          </w:p>
        </w:tc>
        <w:tc>
          <w:tcPr>
            <w:tcW w:type="dxa" w:w="13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1.5</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T8</w:t>
            </w:r>
          </w:p>
        </w:tc>
        <w:tc>
          <w:tcPr>
            <w:tcW w:type="dxa" w:w="3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Portability</w:t>
            </w:r>
          </w:p>
        </w:tc>
        <w:tc>
          <w:tcPr>
            <w:tcW w:type="dxa" w:w="1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2</w:t>
            </w:r>
          </w:p>
        </w:tc>
        <w:tc>
          <w:tcPr>
            <w:tcW w:type="dxa" w:w="1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4</w:t>
            </w:r>
          </w:p>
        </w:tc>
        <w:tc>
          <w:tcPr>
            <w:tcW w:type="dxa" w:w="13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8</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T9</w:t>
            </w:r>
          </w:p>
        </w:tc>
        <w:tc>
          <w:tcPr>
            <w:tcW w:type="dxa" w:w="3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Easy to change</w:t>
            </w:r>
          </w:p>
        </w:tc>
        <w:tc>
          <w:tcPr>
            <w:tcW w:type="dxa" w:w="1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1</w:t>
            </w:r>
          </w:p>
        </w:tc>
        <w:tc>
          <w:tcPr>
            <w:tcW w:type="dxa" w:w="1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3</w:t>
            </w:r>
          </w:p>
        </w:tc>
        <w:tc>
          <w:tcPr>
            <w:tcW w:type="dxa" w:w="13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3</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T10</w:t>
            </w:r>
          </w:p>
        </w:tc>
        <w:tc>
          <w:tcPr>
            <w:tcW w:type="dxa" w:w="3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Concurrency</w:t>
            </w:r>
          </w:p>
        </w:tc>
        <w:tc>
          <w:tcPr>
            <w:tcW w:type="dxa" w:w="1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1</w:t>
            </w:r>
          </w:p>
        </w:tc>
        <w:tc>
          <w:tcPr>
            <w:tcW w:type="dxa" w:w="1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3</w:t>
            </w:r>
          </w:p>
        </w:tc>
        <w:tc>
          <w:tcPr>
            <w:tcW w:type="dxa" w:w="13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3</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T11</w:t>
            </w:r>
          </w:p>
        </w:tc>
        <w:tc>
          <w:tcPr>
            <w:tcW w:type="dxa" w:w="3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Security features</w:t>
            </w:r>
          </w:p>
        </w:tc>
        <w:tc>
          <w:tcPr>
            <w:tcW w:type="dxa" w:w="1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1</w:t>
            </w:r>
          </w:p>
        </w:tc>
        <w:tc>
          <w:tcPr>
            <w:tcW w:type="dxa" w:w="1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5</w:t>
            </w:r>
          </w:p>
        </w:tc>
        <w:tc>
          <w:tcPr>
            <w:tcW w:type="dxa" w:w="13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5</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T12</w:t>
            </w:r>
          </w:p>
        </w:tc>
        <w:tc>
          <w:tcPr>
            <w:tcW w:type="dxa" w:w="3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Access for third parties</w:t>
            </w:r>
          </w:p>
        </w:tc>
        <w:tc>
          <w:tcPr>
            <w:tcW w:type="dxa" w:w="1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1</w:t>
            </w:r>
          </w:p>
        </w:tc>
        <w:tc>
          <w:tcPr>
            <w:tcW w:type="dxa" w:w="1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2</w:t>
            </w:r>
          </w:p>
        </w:tc>
        <w:tc>
          <w:tcPr>
            <w:tcW w:type="dxa" w:w="13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2</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T13</w:t>
            </w:r>
          </w:p>
        </w:tc>
        <w:tc>
          <w:tcPr>
            <w:tcW w:type="dxa" w:w="3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Special training required</w:t>
            </w:r>
          </w:p>
        </w:tc>
        <w:tc>
          <w:tcPr>
            <w:tcW w:type="dxa" w:w="1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1</w:t>
            </w:r>
          </w:p>
        </w:tc>
        <w:tc>
          <w:tcPr>
            <w:tcW w:type="dxa" w:w="1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2</w:t>
            </w:r>
          </w:p>
        </w:tc>
        <w:tc>
          <w:tcPr>
            <w:tcW w:type="dxa" w:w="13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2</w:t>
            </w:r>
          </w:p>
        </w:tc>
      </w:tr>
    </w:tbl>
    <w:p>
      <w:pPr>
        <w:spacing w:after="160" w:line="276"/>
      </w:pPr>
      <w:r>
        <w:rPr>
          <w:sz w:val="21"/>
          <w:szCs w:val="21"/>
        </w:rPr>
        <w:t xml:space="preserve">Sum of weighted technical values = 6 + 3 + 3 + 3 + 2 + 1.5 + 1.5 + 8 + 3 + 3 + 5 + 2 + 2 = 43.</w:t>
      </w:r>
    </w:p>
    <w:p>
      <w:pPr>
        <w:shd w:fill="F2F6FB" w:color="auto" w:val="clear"/>
        <w:spacing w:after="120" w:before="120"/>
        <w:jc w:val="center"/>
      </w:pPr>
      <w:r>
        <w:rPr>
          <w:rFonts w:ascii="Cambria Math" w:cs="Cambria Math" w:eastAsia="Cambria Math" w:hAnsi="Cambria Math"/>
          <w:i/>
          <w:iCs/>
          <w:sz w:val="21"/>
          <w:szCs w:val="21"/>
        </w:rPr>
        <w:t xml:space="preserve">TCF  =  0.6 + (0.01 × 43)  =  1.03</w:t>
      </w:r>
    </w:p>
    <w:p>
      <w:pPr>
        <w:pBdr>
          <w:left w:val="single" w:color="D8A80B" w:sz="12" w:space="6"/>
        </w:pBdr>
        <w:shd w:fill="FFF6DC" w:color="auto" w:val="clear"/>
        <w:spacing w:after="200" w:before="100"/>
      </w:pPr>
      <w:r>
        <w:rPr>
          <w:i/>
          <w:iCs/>
          <w:color w:val="6B5200"/>
          <w:sz w:val="19"/>
          <w:szCs w:val="19"/>
        </w:rPr>
        <w:t xml:space="preserve">Security (T11) and Portability (T8) were deliberately rated highest, consistent with the security-first, platform-agnostic posture mandated in SRS-MSIEM-001 Sections 2.5 and 3.3.2/3.3.5.</w:t>
      </w:r>
    </w:p>
    <w:p>
      <w:pPr>
        <w:pStyle w:val="Heading2"/>
        <w:spacing w:after="120" w:before="260"/>
      </w:pPr>
      <w:r>
        <w:rPr>
          <w:b/>
          <w:bCs/>
          <w:color w:val="2E5496"/>
        </w:rPr>
        <w:t xml:space="preserve">2.4 Environmental Complexity Factor (ECF)</w:t>
      </w:r>
    </w:p>
    <w:p>
      <w:pPr>
        <w:spacing w:after="160" w:line="276"/>
      </w:pPr>
      <w:r>
        <w:rPr>
          <w:sz w:val="21"/>
          <w:szCs w:val="21"/>
        </w:rPr>
        <w:t xml:space="preserve">Each of the 8 standard environmental factors is rated 0 to 5, reflecting the conditions of a solo student developer under examination conditions.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000"/>
        <w:gridCol w:w="1400"/>
        <w:gridCol w:w="1300"/>
      </w:tblGrid>
      <w:tr>
        <w:trPr>
          <w:tblHeader/>
        </w:trPr>
        <w:tc>
          <w:tcPr>
            <w:tcW w:type="dxa" w:w="9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Factor</w:t>
            </w:r>
          </w:p>
        </w:tc>
        <w:tc>
          <w:tcPr>
            <w:tcW w:type="dxa" w:w="34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Description</w:t>
            </w:r>
          </w:p>
        </w:tc>
        <w:tc>
          <w:tcPr>
            <w:tcW w:type="dxa" w:w="10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Weight</w:t>
            </w:r>
          </w:p>
        </w:tc>
        <w:tc>
          <w:tcPr>
            <w:tcW w:type="dxa" w:w="14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Rating (0–5)</w:t>
            </w:r>
          </w:p>
        </w:tc>
        <w:tc>
          <w:tcPr>
            <w:tcW w:type="dxa" w:w="13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Weighted Value</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E1</w:t>
            </w:r>
          </w:p>
        </w:tc>
        <w:tc>
          <w:tcPr>
            <w:tcW w:type="dxa" w:w="3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Familiarity with development process</w:t>
            </w:r>
          </w:p>
        </w:tc>
        <w:tc>
          <w:tcPr>
            <w:tcW w:type="dxa" w:w="1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1.5</w:t>
            </w:r>
          </w:p>
        </w:tc>
        <w:tc>
          <w:tcPr>
            <w:tcW w:type="dxa" w:w="1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4</w:t>
            </w:r>
          </w:p>
        </w:tc>
        <w:tc>
          <w:tcPr>
            <w:tcW w:type="dxa" w:w="13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6</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E2</w:t>
            </w:r>
          </w:p>
        </w:tc>
        <w:tc>
          <w:tcPr>
            <w:tcW w:type="dxa" w:w="3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Application (domain) experience</w:t>
            </w:r>
          </w:p>
        </w:tc>
        <w:tc>
          <w:tcPr>
            <w:tcW w:type="dxa" w:w="1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0.5</w:t>
            </w:r>
          </w:p>
        </w:tc>
        <w:tc>
          <w:tcPr>
            <w:tcW w:type="dxa" w:w="1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4</w:t>
            </w:r>
          </w:p>
        </w:tc>
        <w:tc>
          <w:tcPr>
            <w:tcW w:type="dxa" w:w="13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2</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E3</w:t>
            </w:r>
          </w:p>
        </w:tc>
        <w:tc>
          <w:tcPr>
            <w:tcW w:type="dxa" w:w="3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Object-oriented / relevant design experience</w:t>
            </w:r>
          </w:p>
        </w:tc>
        <w:tc>
          <w:tcPr>
            <w:tcW w:type="dxa" w:w="1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1</w:t>
            </w:r>
          </w:p>
        </w:tc>
        <w:tc>
          <w:tcPr>
            <w:tcW w:type="dxa" w:w="1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3</w:t>
            </w:r>
          </w:p>
        </w:tc>
        <w:tc>
          <w:tcPr>
            <w:tcW w:type="dxa" w:w="13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3</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E4</w:t>
            </w:r>
          </w:p>
        </w:tc>
        <w:tc>
          <w:tcPr>
            <w:tcW w:type="dxa" w:w="3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Lead analyst capability</w:t>
            </w:r>
          </w:p>
        </w:tc>
        <w:tc>
          <w:tcPr>
            <w:tcW w:type="dxa" w:w="1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0.5</w:t>
            </w:r>
          </w:p>
        </w:tc>
        <w:tc>
          <w:tcPr>
            <w:tcW w:type="dxa" w:w="1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3</w:t>
            </w:r>
          </w:p>
        </w:tc>
        <w:tc>
          <w:tcPr>
            <w:tcW w:type="dxa" w:w="13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1.5</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E5</w:t>
            </w:r>
          </w:p>
        </w:tc>
        <w:tc>
          <w:tcPr>
            <w:tcW w:type="dxa" w:w="3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Motivation</w:t>
            </w:r>
          </w:p>
        </w:tc>
        <w:tc>
          <w:tcPr>
            <w:tcW w:type="dxa" w:w="1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1</w:t>
            </w:r>
          </w:p>
        </w:tc>
        <w:tc>
          <w:tcPr>
            <w:tcW w:type="dxa" w:w="1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5</w:t>
            </w:r>
          </w:p>
        </w:tc>
        <w:tc>
          <w:tcPr>
            <w:tcW w:type="dxa" w:w="13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5</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E6</w:t>
            </w:r>
          </w:p>
        </w:tc>
        <w:tc>
          <w:tcPr>
            <w:tcW w:type="dxa" w:w="3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Stable requirements</w:t>
            </w:r>
          </w:p>
        </w:tc>
        <w:tc>
          <w:tcPr>
            <w:tcW w:type="dxa" w:w="1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2</w:t>
            </w:r>
          </w:p>
        </w:tc>
        <w:tc>
          <w:tcPr>
            <w:tcW w:type="dxa" w:w="1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3</w:t>
            </w:r>
          </w:p>
        </w:tc>
        <w:tc>
          <w:tcPr>
            <w:tcW w:type="dxa" w:w="13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6</w:t>
            </w:r>
          </w:p>
        </w:tc>
      </w:tr>
      <w:tr>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E7</w:t>
            </w:r>
          </w:p>
        </w:tc>
        <w:tc>
          <w:tcPr>
            <w:tcW w:type="dxa" w:w="3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Part-time team members</w:t>
            </w:r>
          </w:p>
        </w:tc>
        <w:tc>
          <w:tcPr>
            <w:tcW w:type="dxa" w:w="1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-1</w:t>
            </w:r>
          </w:p>
        </w:tc>
        <w:tc>
          <w:tcPr>
            <w:tcW w:type="dxa" w:w="1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1</w:t>
            </w:r>
          </w:p>
        </w:tc>
        <w:tc>
          <w:tcPr>
            <w:tcW w:type="dxa" w:w="13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-1</w:t>
            </w:r>
          </w:p>
        </w:tc>
      </w:tr>
      <w:tr>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E8</w:t>
            </w:r>
          </w:p>
        </w:tc>
        <w:tc>
          <w:tcPr>
            <w:tcW w:type="dxa" w:w="3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Difficult programming language</w:t>
            </w:r>
          </w:p>
        </w:tc>
        <w:tc>
          <w:tcPr>
            <w:tcW w:type="dxa" w:w="1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-1</w:t>
            </w:r>
          </w:p>
        </w:tc>
        <w:tc>
          <w:tcPr>
            <w:tcW w:type="dxa" w:w="1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2</w:t>
            </w:r>
          </w:p>
        </w:tc>
        <w:tc>
          <w:tcPr>
            <w:tcW w:type="dxa" w:w="13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-2</w:t>
            </w:r>
          </w:p>
        </w:tc>
      </w:tr>
    </w:tbl>
    <w:p>
      <w:pPr>
        <w:spacing w:after="160" w:line="276"/>
      </w:pPr>
      <w:r>
        <w:rPr>
          <w:sz w:val="21"/>
          <w:szCs w:val="21"/>
        </w:rPr>
        <w:t xml:space="preserve">Sum of weighted environmental values = 6 + 2 + 3 + 1.5 + 5 + 6 − 1 − 2 = 20.5.</w:t>
      </w:r>
    </w:p>
    <w:p>
      <w:pPr>
        <w:shd w:fill="F2F6FB" w:color="auto" w:val="clear"/>
        <w:spacing w:after="120" w:before="120"/>
        <w:jc w:val="center"/>
      </w:pPr>
      <w:r>
        <w:rPr>
          <w:rFonts w:ascii="Cambria Math" w:cs="Cambria Math" w:eastAsia="Cambria Math" w:hAnsi="Cambria Math"/>
          <w:i/>
          <w:iCs/>
          <w:sz w:val="21"/>
          <w:szCs w:val="21"/>
        </w:rPr>
        <w:t xml:space="preserve">ECF  =  1.4 + (−0.03 × 20.5)  =  0.785</w:t>
      </w:r>
    </w:p>
    <w:p>
      <w:pPr>
        <w:pStyle w:val="Heading2"/>
        <w:spacing w:after="120" w:before="260"/>
      </w:pPr>
      <w:r>
        <w:rPr>
          <w:b/>
          <w:bCs/>
          <w:color w:val="2E5496"/>
        </w:rPr>
        <w:t xml:space="preserve">2.5 Adjusted Use Case Points and Effort</w:t>
      </w:r>
    </w:p>
    <w:p>
      <w:pPr>
        <w:shd w:fill="F2F6FB" w:color="auto" w:val="clear"/>
        <w:spacing w:after="120" w:before="120"/>
        <w:jc w:val="center"/>
      </w:pPr>
      <w:r>
        <w:rPr>
          <w:rFonts w:ascii="Cambria Math" w:cs="Cambria Math" w:eastAsia="Cambria Math" w:hAnsi="Cambria Math"/>
          <w:i/>
          <w:iCs/>
          <w:sz w:val="21"/>
          <w:szCs w:val="21"/>
        </w:rPr>
        <w:t xml:space="preserve">UCP  =  UUCP × TCF × ECF  =  90 × 1.03 × 0.785  ≈  72.8</w:t>
      </w:r>
    </w:p>
    <w:p>
      <w:pPr>
        <w:spacing w:after="160" w:line="276"/>
      </w:pPr>
      <w:r>
        <w:rPr>
          <w:sz w:val="21"/>
          <w:szCs w:val="21"/>
        </w:rPr>
        <w:t xml:space="preserve">Applying the standard productivity multiplier of 20 person-hours per UCP (the conventional midpoint value for a team of average, mixed experience under normal conditions):</w:t>
      </w:r>
    </w:p>
    <w:p>
      <w:pPr>
        <w:shd w:fill="F2F6FB" w:color="auto" w:val="clear"/>
        <w:spacing w:after="120" w:before="120"/>
        <w:jc w:val="center"/>
      </w:pPr>
      <w:r>
        <w:rPr>
          <w:rFonts w:ascii="Cambria Math" w:cs="Cambria Math" w:eastAsia="Cambria Math" w:hAnsi="Cambria Math"/>
          <w:i/>
          <w:iCs/>
          <w:sz w:val="21"/>
          <w:szCs w:val="21"/>
        </w:rPr>
        <w:t xml:space="preserve">Estimated Full-Scope Effort  ≈  72.8 × 20  ≈  1,456 person-hours  (≈ 36 person-weeks at 40 hrs/week for one developer)</w:t>
      </w:r>
    </w:p>
    <w:p>
      <w:pPr>
        <w:pBdr>
          <w:left w:val="single" w:color="D8A80B" w:sz="12" w:space="6"/>
        </w:pBdr>
        <w:shd w:fill="FFF6DC" w:color="auto" w:val="clear"/>
        <w:spacing w:after="200" w:before="100"/>
      </w:pPr>
      <w:r>
        <w:rPr>
          <w:i/>
          <w:iCs/>
          <w:color w:val="6B5200"/>
          <w:sz w:val="19"/>
          <w:szCs w:val="19"/>
        </w:rPr>
        <w:t xml:space="preserve">This figure represents the effort to design, build, test, document, and deploy every Must, Should, and Could requirement in SRS-MSIEM-001 to a production-ready standard. It is presented deliberately, not as a target, but as evidence for the scope decision made in Section 3.</w:t>
      </w:r>
    </w:p>
    <w:p>
      <w:r>
        <w:br w:type="page"/>
      </w:r>
    </w:p>
    <w:p>
      <w:pPr>
        <w:pStyle w:val="Heading1"/>
        <w:pBdr>
          <w:bottom w:val="single" w:color="1F3864" w:sz="6" w:space="4"/>
        </w:pBdr>
        <w:spacing w:after="160" w:before="360"/>
      </w:pPr>
      <w:r>
        <w:rPr>
          <w:b/>
          <w:bCs/>
          <w:color w:val="1F3864"/>
        </w:rPr>
        <w:t xml:space="preserve">3. Reconciliation and Task-Based Estimation for the 48-Hour Scope</w:t>
      </w:r>
    </w:p>
    <w:p>
      <w:pPr>
        <w:pStyle w:val="Heading2"/>
        <w:spacing w:after="120" w:before="260"/>
      </w:pPr>
      <w:r>
        <w:rPr>
          <w:b/>
          <w:bCs/>
          <w:color w:val="2E5496"/>
        </w:rPr>
        <w:t xml:space="preserve">3.1 Reconciling the Two Figures</w:t>
      </w:r>
    </w:p>
    <w:p>
      <w:pPr>
        <w:spacing w:after="160" w:line="276"/>
      </w:pPr>
      <w:r>
        <w:rPr>
          <w:sz w:val="21"/>
          <w:szCs w:val="21"/>
        </w:rPr>
        <w:t xml:space="preserve">The Use Case Points estimate of approximately 1,456 person-hours represents full delivery of SRS-MSIEM-001 in its entirety. Only 48 hours are available. The ratio of available time to estimated full-scope effort is:</w:t>
      </w:r>
    </w:p>
    <w:p>
      <w:pPr>
        <w:shd w:fill="F2F6FB" w:color="auto" w:val="clear"/>
        <w:spacing w:after="120" w:before="120"/>
        <w:jc w:val="center"/>
      </w:pPr>
      <w:r>
        <w:rPr>
          <w:rFonts w:ascii="Cambria Math" w:cs="Cambria Math" w:eastAsia="Cambria Math" w:hAnsi="Cambria Math"/>
          <w:i/>
          <w:iCs/>
          <w:sz w:val="21"/>
          <w:szCs w:val="21"/>
        </w:rPr>
        <w:t xml:space="preserve">48 ÷ 1,456  ≈  3.3%</w:t>
      </w:r>
    </w:p>
    <w:p>
      <w:pPr>
        <w:spacing w:after="160" w:line="276"/>
      </w:pPr>
      <w:r>
        <w:rPr>
          <w:sz w:val="21"/>
          <w:szCs w:val="21"/>
        </w:rPr>
        <w:t xml:space="preserve">This ratio is the single most important planning input for this project: it confirms quantitatively, rather than by intuition alone, that only a carefully bounded subset of the specified system can be responsibly attempted, and that attempting more would compromise the quality of testing, documentation, and security hardening rather than deliver a more complete system.</w:t>
      </w:r>
    </w:p>
    <w:p>
      <w:pPr>
        <w:spacing w:after="160" w:line="276"/>
      </w:pPr>
      <w:r>
        <w:rPr>
          <w:sz w:val="21"/>
          <w:szCs w:val="21"/>
        </w:rPr>
        <w:t xml:space="preserve">The scope reduction is applied along the MoSCoW priority already assigned in SRS-MSIEM-001: the 48-hour plan targets essentially all "Must" requirements, treats "Should" requirements as stretch goals only if time remains after Must-priority testing and documentation are complete, and defers all "Could" requirements to the Technical Debt Plan and Future Evolution Plan without attempting them in this baseline.</w:t>
      </w:r>
    </w:p>
    <w:p>
      <w:pPr>
        <w:pStyle w:val="Heading2"/>
        <w:spacing w:after="120" w:before="260"/>
      </w:pPr>
      <w:r>
        <w:rPr>
          <w:b/>
          <w:bCs/>
          <w:color w:val="2E5496"/>
        </w:rPr>
        <w:t xml:space="preserve">3.2 Task-Based Estimate for the 48-Hour Window</w:t>
      </w:r>
    </w:p>
    <w:p>
      <w:pPr>
        <w:spacing w:after="160" w:line="276"/>
      </w:pPr>
      <w:r>
        <w:rPr>
          <w:sz w:val="21"/>
          <w:szCs w:val="21"/>
        </w:rPr>
        <w:t xml:space="preserve">Effort for the achievable scope is estimated directly by expert judgement, broken into tasks aligned with the recommended phases in the examination brief. Each task is sized independently and cross-checked against the corresponding requirement group in SRS-MSIEM-001.</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900"/>
        <w:gridCol w:w="2400"/>
      </w:tblGrid>
      <w:tr>
        <w:trPr>
          <w:tblHeader/>
        </w:trPr>
        <w:tc>
          <w:tcPr>
            <w:tcW w:type="dxa" w:w="20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Phase / Task</w:t>
            </w:r>
          </w:p>
        </w:tc>
        <w:tc>
          <w:tcPr>
            <w:tcW w:type="dxa" w:w="33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Description</w:t>
            </w:r>
          </w:p>
        </w:tc>
        <w:tc>
          <w:tcPr>
            <w:tcW w:type="dxa" w:w="9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Est. Hours</w:t>
            </w:r>
          </w:p>
        </w:tc>
        <w:tc>
          <w:tcPr>
            <w:tcW w:type="dxa" w:w="24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Definition of Done</w:t>
            </w:r>
          </w:p>
        </w:tc>
      </w:tr>
      <w:tr>
        <w:tc>
          <w:tcPr>
            <w:tcW w:type="dxa" w:w="2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Planning &amp; Requirements</w:t>
            </w:r>
          </w:p>
        </w:tc>
        <w:tc>
          <w:tcPr>
            <w:tcW w:type="dxa" w:w="33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Confirm problem statement, stakeholders, finalise SRS (already produced), prioritise requirements</w:t>
            </w:r>
          </w:p>
        </w:tc>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6</w:t>
            </w:r>
          </w:p>
        </w:tc>
        <w:tc>
          <w:tcPr>
            <w:tcW w:type="dxa" w:w="2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SRS-MSIEM-001 baselined; requirements frozen for the exam window</w:t>
            </w:r>
          </w:p>
        </w:tc>
      </w:tr>
      <w:tr>
        <w:tc>
          <w:tcPr>
            <w:tcW w:type="dxa" w:w="2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Analysis &amp; Design</w:t>
            </w:r>
          </w:p>
        </w:tc>
        <w:tc>
          <w:tcPr>
            <w:tcW w:type="dxa" w:w="33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System architecture sketch, data model for events/alerts/users, UI wireframes, technology selection</w:t>
            </w:r>
          </w:p>
        </w:tc>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6</w:t>
            </w:r>
          </w:p>
        </w:tc>
        <w:tc>
          <w:tcPr>
            <w:tcW w:type="dxa" w:w="2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Architecture and data model documented; ADR-style rationale for stack choice</w:t>
            </w:r>
          </w:p>
        </w:tc>
      </w:tr>
      <w:tr>
        <w:tc>
          <w:tcPr>
            <w:tcW w:type="dxa" w:w="2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Implementation — Ingestion &amp; Storage (FR-1.x, FR-2.x)</w:t>
            </w:r>
          </w:p>
        </w:tc>
        <w:tc>
          <w:tcPr>
            <w:tcW w:type="dxa" w:w="33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Event submission interface, schema validation, source authentication, persistence, query API</w:t>
            </w:r>
          </w:p>
        </w:tc>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4</w:t>
            </w:r>
          </w:p>
        </w:tc>
        <w:tc>
          <w:tcPr>
            <w:tcW w:type="dxa" w:w="2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Events can be submitted, validated, stored, and queried</w:t>
            </w:r>
          </w:p>
        </w:tc>
      </w:tr>
      <w:tr>
        <w:tc>
          <w:tcPr>
            <w:tcW w:type="dxa" w:w="2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Implementation — Detection Engine (FR-3.x)</w:t>
            </w:r>
          </w:p>
        </w:tc>
        <w:tc>
          <w:tcPr>
            <w:tcW w:type="dxa" w:w="33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Rule model, threshold-based rule type, single-event pattern rule type, severity assignment</w:t>
            </w:r>
          </w:p>
        </w:tc>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5</w:t>
            </w:r>
          </w:p>
        </w:tc>
        <w:tc>
          <w:tcPr>
            <w:tcW w:type="dxa" w:w="2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Both mandated rule types evaluate correctly against test event streams</w:t>
            </w:r>
          </w:p>
        </w:tc>
      </w:tr>
      <w:tr>
        <w:tc>
          <w:tcPr>
            <w:tcW w:type="dxa" w:w="2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Implementation — Alerting (FR-4.1, 4.2, 4.4)</w:t>
            </w:r>
          </w:p>
        </w:tc>
        <w:tc>
          <w:tcPr>
            <w:tcW w:type="dxa" w:w="33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Alert generation on rule match, alert record fields, acknowledge/annotate/status workflow</w:t>
            </w:r>
          </w:p>
        </w:tc>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2</w:t>
            </w:r>
          </w:p>
        </w:tc>
        <w:tc>
          <w:tcPr>
            <w:tcW w:type="dxa" w:w="2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Alerts generated and manageable through their lifecycle</w:t>
            </w:r>
          </w:p>
        </w:tc>
      </w:tr>
      <w:tr>
        <w:tc>
          <w:tcPr>
            <w:tcW w:type="dxa" w:w="2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Implementation — Dashboard (FR-5.1, 5.2, 5.4)</w:t>
            </w:r>
          </w:p>
        </w:tc>
        <w:tc>
          <w:tcPr>
            <w:tcW w:type="dxa" w:w="33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Summary view, filter/search, severity colour-coding</w:t>
            </w:r>
          </w:p>
        </w:tc>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4</w:t>
            </w:r>
          </w:p>
        </w:tc>
        <w:tc>
          <w:tcPr>
            <w:tcW w:type="dxa" w:w="2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Analyst can see and interrogate current security posture</w:t>
            </w:r>
          </w:p>
        </w:tc>
      </w:tr>
      <w:tr>
        <w:tc>
          <w:tcPr>
            <w:tcW w:type="dxa" w:w="2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Implementation — AuthN/AuthZ (FR-6.1–6.3, 6.5, 6.6)</w:t>
            </w:r>
          </w:p>
        </w:tc>
        <w:tc>
          <w:tcPr>
            <w:tcW w:type="dxa" w:w="33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Login, password policy/hashing, session timeout, Analyst/Administrator roles and enforcement</w:t>
            </w:r>
          </w:p>
        </w:tc>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3</w:t>
            </w:r>
          </w:p>
        </w:tc>
        <w:tc>
          <w:tcPr>
            <w:tcW w:type="dxa" w:w="2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Access is authenticated and role-restricted per SRS</w:t>
            </w:r>
          </w:p>
        </w:tc>
      </w:tr>
      <w:tr>
        <w:tc>
          <w:tcPr>
            <w:tcW w:type="dxa" w:w="2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Implementation — Audit Trail (FR-7.1–7.3)</w:t>
            </w:r>
          </w:p>
        </w:tc>
        <w:tc>
          <w:tcPr>
            <w:tcW w:type="dxa" w:w="33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Immutable audit log of auth events, rule changes, account changes, alert status changes</w:t>
            </w:r>
          </w:p>
        </w:tc>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2</w:t>
            </w:r>
          </w:p>
        </w:tc>
        <w:tc>
          <w:tcPr>
            <w:tcW w:type="dxa" w:w="2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Audit entries recorded and non-editable</w:t>
            </w:r>
          </w:p>
        </w:tc>
      </w:tr>
      <w:tr>
        <w:tc>
          <w:tcPr>
            <w:tcW w:type="dxa" w:w="2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Testing &amp; Refinement</w:t>
            </w:r>
          </w:p>
        </w:tc>
        <w:tc>
          <w:tcPr>
            <w:tcW w:type="dxa" w:w="33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Execute functional/security/UAT test cases from Section 4.1 of the SRS traceability matrix; fix critical defects</w:t>
            </w:r>
          </w:p>
        </w:tc>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6</w:t>
            </w:r>
          </w:p>
        </w:tc>
        <w:tc>
          <w:tcPr>
            <w:tcW w:type="dxa" w:w="2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All "Must" requirements pass their designated verification method</w:t>
            </w:r>
          </w:p>
        </w:tc>
      </w:tr>
      <w:tr>
        <w:tc>
          <w:tcPr>
            <w:tcW w:type="dxa" w:w="2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Deployment</w:t>
            </w:r>
          </w:p>
        </w:tc>
        <w:tc>
          <w:tcPr>
            <w:tcW w:type="dxa" w:w="33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Deploy to a public hosting environment, verify connectivity, prepare test credentials</w:t>
            </w:r>
          </w:p>
        </w:tc>
        <w:tc>
          <w:tcPr>
            <w:tcW w:type="dxa" w:w="9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4</w:t>
            </w:r>
          </w:p>
        </w:tc>
        <w:tc>
          <w:tcPr>
            <w:tcW w:type="dxa" w:w="24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Live URL accessible; source-to-database path verified end-to-end</w:t>
            </w:r>
          </w:p>
        </w:tc>
      </w:tr>
      <w:tr>
        <w:tc>
          <w:tcPr>
            <w:tcW w:type="dxa" w:w="2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Documentation &amp; Submission</w:t>
            </w:r>
          </w:p>
        </w:tc>
        <w:tc>
          <w:tcPr>
            <w:tcW w:type="dxa" w:w="33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Finalise Testing Report, Technical Debt Plan, User Manual, Maintenance Plan; package and submit</w:t>
            </w:r>
          </w:p>
        </w:tc>
        <w:tc>
          <w:tcPr>
            <w:tcW w:type="dxa" w:w="9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6</w:t>
            </w:r>
          </w:p>
        </w:tc>
        <w:tc>
          <w:tcPr>
            <w:tcW w:type="dxa" w:w="24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All Part C submission artefacts complete and internally consistent</w:t>
            </w:r>
          </w:p>
        </w:tc>
      </w:tr>
    </w:tbl>
    <w:p>
      <w:pPr>
        <w:spacing w:after="160" w:line="276"/>
      </w:pPr>
      <w:r>
        <w:rPr>
          <w:sz w:val="21"/>
          <w:szCs w:val="21"/>
        </w:rPr>
        <w:t xml:space="preserve">Total estimated effort for the achievable scope: 6 + 6 + 4 + 5 + 2 + 4 + 3 + 2 + 6 + 4 + 6 = 48 person-hours, matching the full examination window with no slack built in beyond what is already reflected in the Testing &amp; Refinement and Documentation phases.</w:t>
      </w:r>
    </w:p>
    <w:p>
      <w:pPr>
        <w:pBdr>
          <w:left w:val="single" w:color="D8A80B" w:sz="12" w:space="6"/>
        </w:pBdr>
        <w:shd w:fill="FFF6DC" w:color="auto" w:val="clear"/>
        <w:spacing w:after="200" w:before="100"/>
      </w:pPr>
      <w:r>
        <w:rPr>
          <w:i/>
          <w:iCs/>
          <w:color w:val="6B5200"/>
          <w:sz w:val="19"/>
          <w:szCs w:val="19"/>
        </w:rPr>
        <w:t xml:space="preserve">Zero slack is a conscious risk, not an oversight: it is recorded as a constraint in Section 3.4 and as a project-level risk in the Technical Debt Plan, since any overrun in implementation will compress testing or documentation time.</w:t>
      </w:r>
    </w:p>
    <w:p>
      <w:pPr>
        <w:pStyle w:val="Heading2"/>
        <w:spacing w:after="120" w:before="260"/>
      </w:pPr>
      <w:r>
        <w:rPr>
          <w:b/>
          <w:bCs/>
          <w:color w:val="2E5496"/>
        </w:rPr>
        <w:t xml:space="preserve">3.3 Assumptions</w:t>
      </w:r>
    </w:p>
    <w:p>
      <w:pPr>
        <w:pStyle w:val="ListParagraph"/>
        <w:numPr>
          <w:ilvl w:val="0"/>
          <w:numId w:val="2"/>
        </w:numPr>
        <w:spacing w:after="80"/>
      </w:pPr>
      <w:r>
        <w:rPr>
          <w:sz w:val="21"/>
          <w:szCs w:val="21"/>
        </w:rPr>
        <w:t xml:space="preserve">The developer works the 48-hour window largely uninterrupted, consistent with the examination's individual, time-boxed format.</w:t>
      </w:r>
    </w:p>
    <w:p>
      <w:pPr>
        <w:pStyle w:val="ListParagraph"/>
        <w:numPr>
          <w:ilvl w:val="0"/>
          <w:numId w:val="2"/>
        </w:numPr>
        <w:spacing w:after="80"/>
      </w:pPr>
      <w:r>
        <w:rPr>
          <w:sz w:val="21"/>
          <w:szCs w:val="21"/>
        </w:rPr>
        <w:t xml:space="preserve">Requirements are frozen at the SRS-MSIEM-001 v1.0 baseline; no new functional scope is introduced mid-implementation.</w:t>
      </w:r>
    </w:p>
    <w:p>
      <w:pPr>
        <w:pStyle w:val="ListParagraph"/>
        <w:numPr>
          <w:ilvl w:val="0"/>
          <w:numId w:val="2"/>
        </w:numPr>
        <w:spacing w:after="80"/>
      </w:pPr>
      <w:r>
        <w:rPr>
          <w:sz w:val="21"/>
          <w:szCs w:val="21"/>
        </w:rPr>
        <w:t xml:space="preserve">The developer has prior, transferable experience with authentication, API design, and security concepts, consistent with the environmental factor ratings in Section 2.4 (E1, E2, E5 rated highly).</w:t>
      </w:r>
    </w:p>
    <w:p>
      <w:pPr>
        <w:pStyle w:val="ListParagraph"/>
        <w:numPr>
          <w:ilvl w:val="0"/>
          <w:numId w:val="2"/>
        </w:numPr>
        <w:spacing w:after="80"/>
      </w:pPr>
      <w:r>
        <w:rPr>
          <w:sz w:val="21"/>
          <w:szCs w:val="21"/>
        </w:rPr>
        <w:t xml:space="preserve">A suitable hosting platform (Section 2.4 of SRS-MSIEM-001) is available and does not require novel infrastructure setup.</w:t>
      </w:r>
    </w:p>
    <w:p>
      <w:pPr>
        <w:pStyle w:val="ListParagraph"/>
        <w:numPr>
          <w:ilvl w:val="0"/>
          <w:numId w:val="2"/>
        </w:numPr>
        <w:spacing w:after="80"/>
      </w:pPr>
      <w:r>
        <w:rPr>
          <w:sz w:val="21"/>
          <w:szCs w:val="21"/>
        </w:rPr>
        <w:t xml:space="preserve">Detection logic is limited to the two rule types mandated as "Must" (FR-3.3, FR-3.4); no additional rule types are attempted.</w:t>
      </w:r>
    </w:p>
    <w:p>
      <w:pPr>
        <w:pStyle w:val="Heading2"/>
        <w:spacing w:after="120" w:before="260"/>
      </w:pPr>
      <w:r>
        <w:rPr>
          <w:b/>
          <w:bCs/>
          <w:color w:val="2E5496"/>
        </w:rPr>
        <w:t xml:space="preserve">3.4 Constraints</w:t>
      </w:r>
    </w:p>
    <w:p>
      <w:pPr>
        <w:pStyle w:val="ListParagraph"/>
        <w:numPr>
          <w:ilvl w:val="0"/>
          <w:numId w:val="2"/>
        </w:numPr>
        <w:spacing w:after="80"/>
      </w:pPr>
      <w:r>
        <w:rPr>
          <w:sz w:val="21"/>
          <w:szCs w:val="21"/>
        </w:rPr>
        <w:t xml:space="preserve">Fixed 48-hour total duration, non-negotiable.</w:t>
      </w:r>
    </w:p>
    <w:p>
      <w:pPr>
        <w:pStyle w:val="ListParagraph"/>
        <w:numPr>
          <w:ilvl w:val="0"/>
          <w:numId w:val="2"/>
        </w:numPr>
        <w:spacing w:after="80"/>
      </w:pPr>
      <w:r>
        <w:rPr>
          <w:sz w:val="21"/>
          <w:szCs w:val="21"/>
        </w:rPr>
        <w:t xml:space="preserve">Single developer; no parallelisation of tasks is possible.</w:t>
      </w:r>
    </w:p>
    <w:p>
      <w:pPr>
        <w:pStyle w:val="ListParagraph"/>
        <w:numPr>
          <w:ilvl w:val="0"/>
          <w:numId w:val="2"/>
        </w:numPr>
        <w:spacing w:after="80"/>
      </w:pPr>
      <w:r>
        <w:rPr>
          <w:sz w:val="21"/>
          <w:szCs w:val="21"/>
        </w:rPr>
        <w:t xml:space="preserve">No dedicated time allocated for exploratory technology evaluation — technology choices made in Phase 2 are final for the duration of the exam.</w:t>
      </w:r>
    </w:p>
    <w:p>
      <w:pPr>
        <w:pStyle w:val="ListParagraph"/>
        <w:numPr>
          <w:ilvl w:val="0"/>
          <w:numId w:val="2"/>
        </w:numPr>
        <w:spacing w:after="80"/>
      </w:pPr>
      <w:r>
        <w:rPr>
          <w:sz w:val="21"/>
          <w:szCs w:val="21"/>
        </w:rPr>
        <w:t xml:space="preserve">Testing depth is necessarily limited to the "Must"-priority verification items in SRS-MSIEM-001 Section 4.1; exhaustive edge-case and load testing is out of scope for this baseline.</w:t>
      </w:r>
    </w:p>
    <w:p>
      <w:pPr>
        <w:pStyle w:val="Heading2"/>
        <w:spacing w:after="120" w:before="260"/>
      </w:pPr>
      <w:r>
        <w:rPr>
          <w:b/>
          <w:bCs/>
          <w:color w:val="2E5496"/>
        </w:rPr>
        <w:t xml:space="preserve">3.5 How This Estimate Shaped Project Scope</w:t>
      </w:r>
    </w:p>
    <w:p>
      <w:pPr>
        <w:spacing w:after="160" w:line="276"/>
      </w:pPr>
      <w:r>
        <w:rPr>
          <w:sz w:val="21"/>
          <w:szCs w:val="21"/>
        </w:rPr>
        <w:t xml:space="preserve">The estimation exercise directly drove the following scope decisions, each of which is also recorded in the Technical Debt Plan:</w:t>
      </w:r>
    </w:p>
    <w:p>
      <w:pPr>
        <w:pStyle w:val="ListParagraph"/>
        <w:numPr>
          <w:ilvl w:val="0"/>
          <w:numId w:val="2"/>
        </w:numPr>
        <w:spacing w:after="80"/>
      </w:pPr>
      <w:r>
        <w:rPr>
          <w:sz w:val="21"/>
          <w:szCs w:val="21"/>
        </w:rPr>
        <w:t xml:space="preserve">FR-4.5 (notification channel beyond in-app alerts) — priority Could — deferred entirely; the 3.3% feasibility ratio in Section 3.1 leaves no room for an integration point that is not required for core detection-to-analyst visibility.</w:t>
      </w:r>
    </w:p>
    <w:p>
      <w:pPr>
        <w:pStyle w:val="ListParagraph"/>
        <w:numPr>
          <w:ilvl w:val="0"/>
          <w:numId w:val="2"/>
        </w:numPr>
        <w:spacing w:after="80"/>
      </w:pPr>
      <w:r>
        <w:rPr>
          <w:sz w:val="21"/>
          <w:szCs w:val="21"/>
        </w:rPr>
        <w:t xml:space="preserve">FR-3.5 (enable/disable rules without redeployment) and FR-5.3 (export function) — priority Should — attempted only if the Testing &amp; Refinement phase (Section 3.2) completes ahead of its 6-hour allocation; otherwise deferred.</w:t>
      </w:r>
    </w:p>
    <w:p>
      <w:pPr>
        <w:pStyle w:val="ListParagraph"/>
        <w:numPr>
          <w:ilvl w:val="0"/>
          <w:numId w:val="2"/>
        </w:numPr>
        <w:spacing w:after="80"/>
      </w:pPr>
      <w:r>
        <w:rPr>
          <w:sz w:val="21"/>
          <w:szCs w:val="21"/>
        </w:rPr>
        <w:t xml:space="preserve">FR-6.4 / FR-7.4 (dedicated Auditor role and audit-trail access) — priority Should — the underlying audit data is captured regardless (FR-7.1–7.3 are Must), but a fully separate Auditor role and view may be represented as an Administrator-visible read-only filter in the baseline rather than a distinct role, with full separation deferred.</w:t>
      </w:r>
    </w:p>
    <w:p>
      <w:pPr>
        <w:pStyle w:val="ListParagraph"/>
        <w:numPr>
          <w:ilvl w:val="0"/>
          <w:numId w:val="2"/>
        </w:numPr>
        <w:spacing w:after="80"/>
      </w:pPr>
      <w:r>
        <w:rPr>
          <w:sz w:val="21"/>
          <w:szCs w:val="21"/>
        </w:rPr>
        <w:t xml:space="preserve">NFR-REL-3 (availability target) was itself set at a reduced 95% in the SRS specifically because the effort ratio in Section 3.1 makes production-grade high-availability engineering infeasible within the window.</w:t>
      </w:r>
    </w:p>
    <w:p>
      <w:pPr>
        <w:pStyle w:val="ListParagraph"/>
        <w:numPr>
          <w:ilvl w:val="0"/>
          <w:numId w:val="2"/>
        </w:numPr>
        <w:spacing w:after="80"/>
      </w:pPr>
      <w:r>
        <w:rPr>
          <w:sz w:val="21"/>
          <w:szCs w:val="21"/>
        </w:rPr>
        <w:t xml:space="preserve">Detection sophistication is bounded to threshold and single-event pattern rules (FR-3.3, FR-3.4) rather than any statistical or behavioural approach, consistent with the explicit exclusion already stated in SRS-MSIEM-001 Section 1.2.</w:t>
      </w:r>
    </w:p>
    <w:p>
      <w:pPr>
        <w:spacing w:after="160" w:line="276"/>
      </w:pPr>
      <w:r>
        <w:rPr>
          <w:sz w:val="21"/>
          <w:szCs w:val="21"/>
        </w:rPr>
        <w:t xml:space="preserve">This traceability — from a quantified effort gap, to specific MoSCoW deferrals, to named entries expected in the Technical Debt Plan — is the mechanism by which this report satisfies the examination's requirement to demonstrate that effort estimation genuinely influenced, rather than merely accompanied, the project's scope.</w:t>
      </w:r>
    </w:p>
    <w:p>
      <w:r>
        <w:br w:type="page"/>
      </w:r>
    </w:p>
    <w:p>
      <w:pPr>
        <w:pStyle w:val="Heading1"/>
        <w:pBdr>
          <w:bottom w:val="single" w:color="1F3864" w:sz="6" w:space="4"/>
        </w:pBdr>
        <w:spacing w:after="160" w:before="360"/>
      </w:pPr>
      <w:r>
        <w:rPr>
          <w:b/>
          <w:bCs/>
          <w:color w:val="1F3864"/>
        </w:rPr>
        <w:t xml:space="preserve">4. Summary</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600"/>
        <w:gridCol w:w="4000"/>
      </w:tblGrid>
      <w:tr>
        <w:trPr>
          <w:tblHeader/>
        </w:trPr>
        <w:tc>
          <w:tcPr>
            <w:tcW w:type="dxa" w:w="36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Metric</w:t>
            </w:r>
          </w:p>
        </w:tc>
        <w:tc>
          <w:tcPr>
            <w:tcW w:type="dxa" w:w="4000"/>
            <w:tcBorders>
              <w:top w:val="single" w:color="B7C6DE" w:sz="4"/>
              <w:left w:val="single" w:color="B7C6DE" w:sz="4"/>
              <w:bottom w:val="single" w:color="B7C6DE" w:sz="4"/>
              <w:right w:val="single" w:color="B7C6DE" w:sz="4"/>
            </w:tcBorders>
            <w:shd w:fill="1F3864" w:color="auto" w:val="clear"/>
            <w:tcMar>
              <w:top w:type="dxa" w:w="80"/>
              <w:left w:type="dxa" w:w="100"/>
              <w:bottom w:type="dxa" w:w="80"/>
              <w:right w:type="dxa" w:w="100"/>
            </w:tcMar>
            <w:vAlign w:val="center"/>
          </w:tcPr>
          <w:p>
            <w:r>
              <w:rPr>
                <w:b/>
                <w:bCs/>
                <w:color w:val="FFFFFF"/>
                <w:sz w:val="18"/>
                <w:szCs w:val="18"/>
              </w:rPr>
              <w:t xml:space="preserve">Value</w:t>
            </w:r>
          </w:p>
        </w:tc>
      </w:tr>
      <w:tr>
        <w:tc>
          <w:tcPr>
            <w:tcW w:type="dxa" w:w="3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Technique(s) used</w:t>
            </w:r>
          </w:p>
        </w:tc>
        <w:tc>
          <w:tcPr>
            <w:tcW w:type="dxa" w:w="4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Use Case Points (full-scope sizing) + Task-Based Expert Estimation (constrained-scope plan)</w:t>
            </w:r>
          </w:p>
        </w:tc>
      </w:tr>
      <w:tr>
        <w:tc>
          <w:tcPr>
            <w:tcW w:type="dxa" w:w="3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Full-scope Unadjusted UCP (UUCP)</w:t>
            </w:r>
          </w:p>
        </w:tc>
        <w:tc>
          <w:tcPr>
            <w:tcW w:type="dxa" w:w="4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90</w:t>
            </w:r>
          </w:p>
        </w:tc>
      </w:tr>
      <w:tr>
        <w:tc>
          <w:tcPr>
            <w:tcW w:type="dxa" w:w="3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Technical Complexity Factor (TCF)</w:t>
            </w:r>
          </w:p>
        </w:tc>
        <w:tc>
          <w:tcPr>
            <w:tcW w:type="dxa" w:w="4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1.03</w:t>
            </w:r>
          </w:p>
        </w:tc>
      </w:tr>
      <w:tr>
        <w:tc>
          <w:tcPr>
            <w:tcW w:type="dxa" w:w="3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Environmental Complexity Factor (ECF)</w:t>
            </w:r>
          </w:p>
        </w:tc>
        <w:tc>
          <w:tcPr>
            <w:tcW w:type="dxa" w:w="4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0.785</w:t>
            </w:r>
          </w:p>
        </w:tc>
      </w:tr>
      <w:tr>
        <w:tc>
          <w:tcPr>
            <w:tcW w:type="dxa" w:w="3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Adjusted Use Case Points (UCP)</w:t>
            </w:r>
          </w:p>
        </w:tc>
        <w:tc>
          <w:tcPr>
            <w:tcW w:type="dxa" w:w="4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 72.8</w:t>
            </w:r>
          </w:p>
        </w:tc>
      </w:tr>
      <w:tr>
        <w:tc>
          <w:tcPr>
            <w:tcW w:type="dxa" w:w="3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Full-scope estimated effort</w:t>
            </w:r>
          </w:p>
        </w:tc>
        <w:tc>
          <w:tcPr>
            <w:tcW w:type="dxa" w:w="4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 1,456 person-hours (≈ 36 person-weeks, 1 developer)</w:t>
            </w:r>
          </w:p>
        </w:tc>
      </w:tr>
      <w:tr>
        <w:tc>
          <w:tcPr>
            <w:tcW w:type="dxa" w:w="3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Available effort (examination window)</w:t>
            </w:r>
          </w:p>
        </w:tc>
        <w:tc>
          <w:tcPr>
            <w:tcW w:type="dxa" w:w="4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48 person-hours</w:t>
            </w:r>
          </w:p>
        </w:tc>
      </w:tr>
      <w:tr>
        <w:tc>
          <w:tcPr>
            <w:tcW w:type="dxa" w:w="3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Feasibility ratio (available ÷ full-scope)</w:t>
            </w:r>
          </w:p>
        </w:tc>
        <w:tc>
          <w:tcPr>
            <w:tcW w:type="dxa" w:w="4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 3.3%</w:t>
            </w:r>
          </w:p>
        </w:tc>
      </w:tr>
      <w:tr>
        <w:tc>
          <w:tcPr>
            <w:tcW w:type="dxa" w:w="36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Constrained-scope estimated effort (task-based)</w:t>
            </w:r>
          </w:p>
        </w:tc>
        <w:tc>
          <w:tcPr>
            <w:tcW w:type="dxa" w:w="4000"/>
            <w:tcBorders>
              <w:top w:val="single" w:color="B7C6DE" w:sz="4"/>
              <w:left w:val="single" w:color="B7C6DE" w:sz="4"/>
              <w:bottom w:val="single" w:color="B7C6DE" w:sz="4"/>
              <w:right w:val="single" w:color="B7C6DE" w:sz="4"/>
            </w:tcBorders>
            <w:tcMar>
              <w:top w:type="dxa" w:w="70"/>
              <w:left w:type="dxa" w:w="100"/>
              <w:bottom w:type="dxa" w:w="70"/>
              <w:right w:type="dxa" w:w="100"/>
            </w:tcMar>
            <w:vAlign w:val="center"/>
          </w:tcPr>
          <w:p>
            <w:r>
              <w:rPr>
                <w:b w:val="false"/>
                <w:bCs w:val="false"/>
                <w:sz w:val="18"/>
                <w:szCs w:val="18"/>
              </w:rPr>
              <w:t xml:space="preserve">48 person-hours (matches window exactly — zero slack)</w:t>
            </w:r>
          </w:p>
        </w:tc>
      </w:tr>
      <w:tr>
        <w:tc>
          <w:tcPr>
            <w:tcW w:type="dxa" w:w="36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Estimated development duration</w:t>
            </w:r>
          </w:p>
        </w:tc>
        <w:tc>
          <w:tcPr>
            <w:tcW w:type="dxa" w:w="4000"/>
            <w:tcBorders>
              <w:top w:val="single" w:color="B7C6DE" w:sz="4"/>
              <w:left w:val="single" w:color="B7C6DE" w:sz="4"/>
              <w:bottom w:val="single" w:color="B7C6DE" w:sz="4"/>
              <w:right w:val="single" w:color="B7C6DE" w:sz="4"/>
            </w:tcBorders>
            <w:shd w:fill="F2F6FB" w:color="auto" w:val="clear"/>
            <w:tcMar>
              <w:top w:type="dxa" w:w="70"/>
              <w:left w:type="dxa" w:w="100"/>
              <w:bottom w:type="dxa" w:w="70"/>
              <w:right w:type="dxa" w:w="100"/>
            </w:tcMar>
            <w:vAlign w:val="center"/>
          </w:tcPr>
          <w:p>
            <w:r>
              <w:rPr>
                <w:b w:val="false"/>
                <w:bCs w:val="false"/>
                <w:sz w:val="18"/>
                <w:szCs w:val="18"/>
              </w:rPr>
              <w:t xml:space="preserve">48 hours elapsed, 1 developer, no parallelisation</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6DE" w:sz="4"/>
      </w:pBdr>
      <w:jc w:val="right"/>
    </w:pPr>
    <w:r>
      <w:rPr>
        <w:i/>
        <w:iCs/>
        <w:color w:val="595959"/>
        <w:sz w:val="16"/>
        <w:szCs w:val="16"/>
      </w:rPr>
      <w:t xml:space="preserve">EST-MSIEM-001  |  Mini-SIEM Effort Estimation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Effort Estimation Report - Mini-SIEM</dc:title>
  <dc:creator>CLET DTI</dc:creator>
  <cp:lastModifiedBy>Un-named</cp:lastModifiedBy>
  <cp:revision>1</cp:revision>
  <dcterms:created xsi:type="dcterms:W3CDTF">2026-08-13T22:27:10.993Z</dcterms:created>
  <dcterms:modified xsi:type="dcterms:W3CDTF">2026-08-13T22:27:11.011Z</dcterms:modified>
</cp:coreProperties>
</file>

<file path=docProps/custom.xml><?xml version="1.0" encoding="utf-8"?>
<Properties xmlns="http://schemas.openxmlformats.org/officeDocument/2006/custom-properties" xmlns:vt="http://schemas.openxmlformats.org/officeDocument/2006/docPropsVTypes"/>
</file>