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0"/>
          <w:szCs w:val="40"/>
        </w:rPr>
        <w:t xml:space="preserve">SOFTWARE REQUIREMENTS SPECIFICATION</w:t>
      </w:r>
    </w:p>
    <w:p>
      <w:pPr>
        <w:spacing w:after="100" w:before="200"/>
        <w:jc w:val="center"/>
      </w:pPr>
      <w:r>
        <w:rPr>
          <w:b/>
          <w:bCs/>
          <w:color w:val="2E5496"/>
          <w:sz w:val="30"/>
          <w:szCs w:val="30"/>
        </w:rPr>
        <w:t xml:space="preserve">Mini Security Information and Event Management (Mini-SIEM) System</w:t>
      </w:r>
    </w:p>
    <w:p>
      <w:pPr>
        <w:spacing w:after="600" w:before="100"/>
        <w:jc w:val="center"/>
      </w:pPr>
      <w:r>
        <w:rPr>
          <w:i/>
          <w:iCs/>
          <w:color w:val="595959"/>
          <w:sz w:val="22"/>
          <w:szCs w:val="22"/>
        </w:rPr>
        <w:t xml:space="preserve">A Lightweight Security Event Logging, Detection, and Alerting Platform</w:t>
      </w:r>
    </w:p>
    <w:p>
      <w:pPr>
        <w:spacing w:after="60"/>
        <w:jc w:val="center"/>
      </w:pPr>
      <w:r>
        <w:rPr>
          <w:b/>
          <w:bCs/>
          <w:color w:val="333333"/>
          <w:sz w:val="20"/>
          <w:szCs w:val="20"/>
        </w:rPr>
        <w:t xml:space="preserve">Prepared in conformance with ISO/IEC/IEEE 29148:2018</w:t>
      </w:r>
    </w:p>
    <w:p>
      <w:pPr>
        <w:spacing w:after="900"/>
        <w:jc w:val="center"/>
      </w:pPr>
      <w:r>
        <w:rPr>
          <w:i/>
          <w:iCs/>
          <w:color w:val="595959"/>
          <w:sz w:val="18"/>
          <w:szCs w:val="18"/>
        </w:rPr>
        <w:t xml:space="preserve">Systems and software engineering — Life cycle processes — Requirements engineering</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Document ID</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SRS-MSIEM-001</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Version</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1.0</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Status</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Draft for Examination</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Prepared For</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CSCD602: Advanced Software Engineering — Individual Project-Based Examination</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Prepared By</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[Student Name] — [Student ID]</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Date</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[Submission Date]</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Classification</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Academic Use — Confidential to Course Assessment</w:t>
            </w:r>
          </w:p>
        </w:tc>
      </w:tr>
    </w:tbl>
    <w:p>
      <w:r>
        <w:br w:type="page"/>
      </w:r>
    </w:p>
    <w:p>
      <w:pPr>
        <w:sectPr>
          <w:pgSz w:w="11906" w:h="16838" w:orient="portrait"/>
          <w:pgMar w:top="1080" w:right="1080" w:bottom="1080" w:left="1080" w:header="708" w:footer="708" w:gutter="0"/>
          <w:pgNumType/>
          <w:docGrid w:linePitch="360"/>
        </w:sectPr>
      </w:pPr>
    </w:p>
    <w:p>
      <w:pPr>
        <w:pStyle w:val="Heading2"/>
        <w:spacing w:after="120" w:before="260"/>
      </w:pPr>
      <w:r>
        <w:rPr>
          <w:b/>
          <w:bCs/>
          <w:color w:val="2E5496"/>
        </w:rPr>
        <w:t xml:space="preserve">Document Control</w:t>
      </w:r>
    </w:p>
    <w:p>
      <w:pPr>
        <w:pStyle w:val="Heading3"/>
        <w:spacing w:after="100" w:before="200"/>
      </w:pPr>
      <w:r>
        <w:rPr>
          <w:b/>
          <w:bCs/>
          <w:i w:val="false"/>
          <w:iCs w:val="false"/>
          <w:color w:val="333333"/>
        </w:rPr>
        <w:t xml:space="preserve">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800"/>
      </w:tblGrid>
      <w:tr>
        <w:trPr>
          <w:tblHeader/>
        </w:trPr>
        <w:tc>
          <w:tcPr>
            <w:tcW w:type="dxa" w:w="1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Version</w:t>
            </w:r>
          </w:p>
        </w:tc>
        <w:tc>
          <w:tcPr>
            <w:tcW w:type="dxa" w:w="18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Date</w:t>
            </w:r>
          </w:p>
        </w:tc>
        <w:tc>
          <w:tcPr>
            <w:tcW w:type="dxa" w:w="2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Author</w:t>
            </w:r>
          </w:p>
        </w:tc>
        <w:tc>
          <w:tcPr>
            <w:tcW w:type="dxa" w:w="38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Description of Change</w:t>
            </w:r>
          </w:p>
        </w:tc>
      </w:tr>
      <w:tr>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0.1</w:t>
            </w:r>
          </w:p>
        </w:tc>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[Date]</w:t>
            </w:r>
          </w:p>
        </w:tc>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[Student Name]</w:t>
            </w:r>
          </w:p>
        </w:tc>
        <w:tc>
          <w:tcPr>
            <w:tcW w:type="dxa" w:w="3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Initial draft covering stakeholder needs and functional scope</w:t>
            </w:r>
          </w:p>
        </w:tc>
      </w:tr>
      <w:tr>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1.0</w:t>
            </w:r>
          </w:p>
        </w:tc>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[Date]</w:t>
            </w:r>
          </w:p>
        </w:tc>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[Student Name]</w:t>
            </w:r>
          </w:p>
        </w:tc>
        <w:tc>
          <w:tcPr>
            <w:tcW w:type="dxa" w:w="3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Baseline version submitted for examination</w:t>
            </w:r>
          </w:p>
        </w:tc>
      </w:tr>
    </w:tbl>
    <w:p>
      <w:pPr>
        <w:spacing w:after="200"/>
      </w:pPr>
    </w:p>
    <w:p>
      <w:pPr>
        <w:pStyle w:val="Heading3"/>
        <w:spacing w:after="100" w:before="200"/>
      </w:pPr>
      <w:r>
        <w:rPr>
          <w:b/>
          <w:bCs/>
          <w:i w:val="false"/>
          <w:iCs w:val="false"/>
          <w:color w:val="333333"/>
        </w:rPr>
        <w:t xml:space="preserve">Approval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Role</w:t>
            </w:r>
          </w:p>
        </w:tc>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Name</w:t>
            </w:r>
          </w:p>
        </w:tc>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Signature / Approval</w:t>
            </w:r>
          </w:p>
        </w:tc>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Date</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Author / Developer</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[Student Name]</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Examiner</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Prof. Solomon Mensah</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
            </w:r>
          </w:p>
        </w:tc>
      </w:tr>
    </w:tbl>
    <w:p>
      <w:r>
        <w:br w:type="page"/>
      </w:r>
    </w:p>
    <w:p>
      <w:pPr>
        <w:pStyle w:val="Heading1"/>
        <w:pBdr>
          <w:bottom w:val="single" w:color="1F3864" w:sz="6" w:space="4"/>
        </w:pBdr>
        <w:spacing w:after="160" w:before="36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160" w:before="360"/>
      </w:pPr>
      <w:r>
        <w:rPr>
          <w:b/>
          <w:bCs/>
          <w:color w:val="1F3864"/>
        </w:rPr>
        <w:t xml:space="preserve">1. Introduction</w:t>
      </w:r>
    </w:p>
    <w:p>
      <w:pPr>
        <w:pStyle w:val="Heading2"/>
        <w:spacing w:after="120" w:before="260"/>
      </w:pPr>
      <w:r>
        <w:rPr>
          <w:b/>
          <w:bCs/>
          <w:color w:val="2E5496"/>
        </w:rPr>
        <w:t xml:space="preserve">1.1 Purpose</w:t>
      </w:r>
    </w:p>
    <w:p>
      <w:pPr>
        <w:spacing w:after="160" w:line="276"/>
      </w:pPr>
      <w:r>
        <w:rPr>
          <w:sz w:val="21"/>
          <w:szCs w:val="21"/>
        </w:rPr>
        <w:t xml:space="preserve">This Software Requirements Specification (SRS) defines the functional and non-functional requirements for the Mini Security Information and Event Management (Mini-SIEM) System, hereafter referred to as "the System." The document is prepared in conformance with the requirements specification guidance of ISO/IEC/IEEE 29148:2018 (Systems and software engineering — Life cycle processes — Requirements engineering).</w:t>
      </w:r>
    </w:p>
    <w:p>
      <w:pPr>
        <w:spacing w:after="160" w:line="276"/>
      </w:pPr>
      <w:r>
        <w:rPr>
          <w:sz w:val="21"/>
          <w:szCs w:val="21"/>
        </w:rPr>
        <w:t xml:space="preserve">The intended audience for this document includes the developer responsible for design and implementation, the course examiner assessing conformance to the stated requirements, and any future maintainer who extends or evolves the System beyond the initial examination scope. This SRS is intentionally platform- and implementation-agnostic: it specifies what the System shall do and the qualities it shall exhibit, without prescribing a specific programming language, framework, database technology, or hosting platform. Technology selection is a design-stage decision documented separately in the System Design Specification.</w:t>
      </w:r>
    </w:p>
    <w:p>
      <w:pPr>
        <w:pStyle w:val="Heading2"/>
        <w:spacing w:after="120" w:before="260"/>
      </w:pPr>
      <w:r>
        <w:rPr>
          <w:b/>
          <w:bCs/>
          <w:color w:val="2E5496"/>
        </w:rPr>
        <w:t xml:space="preserve">1.2 Scope</w:t>
      </w:r>
    </w:p>
    <w:p>
      <w:pPr>
        <w:spacing w:after="160" w:line="276"/>
      </w:pPr>
      <w:r>
        <w:rPr>
          <w:sz w:val="21"/>
          <w:szCs w:val="21"/>
        </w:rPr>
        <w:t xml:space="preserve">Product name: Mini Security Information and Event Management System (Mini-SIEM).</w:t>
      </w:r>
    </w:p>
    <w:p>
      <w:pPr>
        <w:spacing w:after="160" w:line="276"/>
      </w:pPr>
      <w:r>
        <w:rPr>
          <w:sz w:val="21"/>
          <w:szCs w:val="21"/>
        </w:rPr>
        <w:t xml:space="preserve">The System is a lightweight, self-contained security event monitoring solution intended for small organizations, small IT teams, or academic demonstration environments that require basic visibility into authentication and access-related security events, but for whom commercial-grade SIEM platforms (e.g., enterprise correlation engines) are cost-prohibitive or operationally excessive.</w:t>
      </w:r>
    </w:p>
    <w:p>
      <w:pPr>
        <w:spacing w:after="160" w:line="276"/>
      </w:pPr>
      <w:r>
        <w:rPr>
          <w:sz w:val="21"/>
          <w:szCs w:val="21"/>
        </w:rPr>
        <w:t xml:space="preserve">The System shall:</w:t>
      </w:r>
    </w:p>
    <w:p>
      <w:pPr>
        <w:pStyle w:val="ListParagraph"/>
        <w:numPr>
          <w:ilvl w:val="0"/>
          <w:numId w:val="2"/>
        </w:numPr>
        <w:spacing w:after="80"/>
      </w:pPr>
      <w:r>
        <w:rPr>
          <w:sz w:val="21"/>
          <w:szCs w:val="21"/>
        </w:rPr>
        <w:t xml:space="preserve">Accept structured security event records submitted by one or more event sources.</w:t>
      </w:r>
    </w:p>
    <w:p>
      <w:pPr>
        <w:pStyle w:val="ListParagraph"/>
        <w:numPr>
          <w:ilvl w:val="0"/>
          <w:numId w:val="2"/>
        </w:numPr>
        <w:spacing w:after="80"/>
      </w:pPr>
      <w:r>
        <w:rPr>
          <w:sz w:val="21"/>
          <w:szCs w:val="21"/>
        </w:rPr>
        <w:t xml:space="preserve">Persist received events in a queryable, tamper-evident store.</w:t>
      </w:r>
    </w:p>
    <w:p>
      <w:pPr>
        <w:pStyle w:val="ListParagraph"/>
        <w:numPr>
          <w:ilvl w:val="0"/>
          <w:numId w:val="2"/>
        </w:numPr>
        <w:spacing w:after="80"/>
      </w:pPr>
      <w:r>
        <w:rPr>
          <w:sz w:val="21"/>
          <w:szCs w:val="21"/>
        </w:rPr>
        <w:t xml:space="preserve">Evaluate incoming and stored events against a configurable set of detection rules to identify indicators of suspicious or malicious activity.</w:t>
      </w:r>
    </w:p>
    <w:p>
      <w:pPr>
        <w:pStyle w:val="ListParagraph"/>
        <w:numPr>
          <w:ilvl w:val="0"/>
          <w:numId w:val="2"/>
        </w:numPr>
        <w:spacing w:after="80"/>
      </w:pPr>
      <w:r>
        <w:rPr>
          <w:sz w:val="21"/>
          <w:szCs w:val="21"/>
        </w:rPr>
        <w:t xml:space="preserve">Generate alerts when detection rules are triggered, and present them to authorized users.</w:t>
      </w:r>
    </w:p>
    <w:p>
      <w:pPr>
        <w:pStyle w:val="ListParagraph"/>
        <w:numPr>
          <w:ilvl w:val="0"/>
          <w:numId w:val="2"/>
        </w:numPr>
        <w:spacing w:after="80"/>
      </w:pPr>
      <w:r>
        <w:rPr>
          <w:sz w:val="21"/>
          <w:szCs w:val="21"/>
        </w:rPr>
        <w:t xml:space="preserve">Provide an authenticated, role-restricted dashboard for reviewing events, alerts, and summary security posture.</w:t>
      </w:r>
    </w:p>
    <w:p>
      <w:pPr>
        <w:pStyle w:val="ListParagraph"/>
        <w:numPr>
          <w:ilvl w:val="0"/>
          <w:numId w:val="2"/>
        </w:numPr>
        <w:spacing w:after="80"/>
      </w:pPr>
      <w:r>
        <w:rPr>
          <w:sz w:val="21"/>
          <w:szCs w:val="21"/>
        </w:rPr>
        <w:t xml:space="preserve">Maintain an audit trail of security-relevant actions performed within the System itself.</w:t>
      </w:r>
    </w:p>
    <w:p>
      <w:pPr>
        <w:spacing w:after="160" w:line="276"/>
      </w:pPr>
      <w:r>
        <w:rPr>
          <w:sz w:val="21"/>
          <w:szCs w:val="21"/>
        </w:rPr>
        <w:t xml:space="preserve">The System shall explicitly NOT, within the scope of this examination baseline:</w:t>
      </w:r>
    </w:p>
    <w:p>
      <w:pPr>
        <w:pStyle w:val="ListParagraph"/>
        <w:numPr>
          <w:ilvl w:val="0"/>
          <w:numId w:val="2"/>
        </w:numPr>
        <w:spacing w:after="80"/>
      </w:pPr>
      <w:r>
        <w:rPr>
          <w:sz w:val="21"/>
          <w:szCs w:val="21"/>
        </w:rPr>
        <w:t xml:space="preserve">Provide native log-shipping agents for third-party operating systems or applications (event sources are assumed to submit events via the defined data exchange contract; see Section 3.2.3).</w:t>
      </w:r>
    </w:p>
    <w:p>
      <w:pPr>
        <w:pStyle w:val="ListParagraph"/>
        <w:numPr>
          <w:ilvl w:val="0"/>
          <w:numId w:val="2"/>
        </w:numPr>
        <w:spacing w:after="80"/>
      </w:pPr>
      <w:r>
        <w:rPr>
          <w:sz w:val="21"/>
          <w:szCs w:val="21"/>
        </w:rPr>
        <w:t xml:space="preserve">Perform statistical, machine-learning-based, or behavioural-baseline anomaly detection (detection is rule-based only in this baseline; see Section 12, Future Evolution, in the accompanying Project Documentation).</w:t>
      </w:r>
    </w:p>
    <w:p>
      <w:pPr>
        <w:pStyle w:val="ListParagraph"/>
        <w:numPr>
          <w:ilvl w:val="0"/>
          <w:numId w:val="2"/>
        </w:numPr>
        <w:spacing w:after="80"/>
      </w:pPr>
      <w:r>
        <w:rPr>
          <w:sz w:val="21"/>
          <w:szCs w:val="21"/>
        </w:rPr>
        <w:t xml:space="preserve">Support multi-tenant operation (the System is scoped to a single organizational context per deployment).</w:t>
      </w:r>
    </w:p>
    <w:p>
      <w:pPr>
        <w:pStyle w:val="ListParagraph"/>
        <w:numPr>
          <w:ilvl w:val="0"/>
          <w:numId w:val="2"/>
        </w:numPr>
        <w:spacing w:after="80"/>
      </w:pPr>
      <w:r>
        <w:rPr>
          <w:sz w:val="21"/>
          <w:szCs w:val="21"/>
        </w:rPr>
        <w:t xml:space="preserve">Provide automated response or remediation (Security Orchestration, Automation and Response — SOAR — capability is out of scope).</w:t>
      </w:r>
    </w:p>
    <w:p>
      <w:pPr>
        <w:spacing w:after="160" w:line="276"/>
      </w:pPr>
      <w:r>
        <w:rPr>
          <w:sz w:val="21"/>
          <w:szCs w:val="21"/>
        </w:rPr>
        <w:t xml:space="preserve">Business value: the System reduces the mean time to detect (MTTD) common credential-based attacks (e.g., brute-force login attempts, credential stuffing, anomalous privilege changes) for organizations that would otherwise rely on manual log review or have no monitoring capability at all.</w:t>
      </w:r>
    </w:p>
    <w:p>
      <w:pPr>
        <w:pStyle w:val="Heading2"/>
        <w:spacing w:after="120" w:before="260"/>
      </w:pPr>
      <w:r>
        <w:rPr>
          <w:b/>
          <w:bCs/>
          <w:color w:val="2E5496"/>
        </w:rPr>
        <w:t xml:space="preserve">1.3 Definitions, Acronyms, and Abbreviations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Term</w:t>
            </w:r>
          </w:p>
        </w:tc>
        <w:tc>
          <w:tcPr>
            <w:tcW w:type="dxa" w:w="6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Definition</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SIEM</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Security Information and Event Management — a class of system that aggregates, correlates, and analyses security event data.</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Event</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 discrete, timestamped record describing an occurrence relevant to security monitoring (e.g., a login attempt, a privilege change).</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Alert</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 notification generated by the System when one or more events satisfy the conditions of a detection rule.</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Detection Rule</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 configurable condition or set of conditions evaluated against events to identify potentially malicious or anomalous activity.</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IOC</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Indicator of Compromise — an artefact (e.g., IP address, account identifier) observed to be associated with malicious activity.</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RBAC</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Role-Based Access Control — an authorization model that grants permissions according to assigned user roles.</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MFA</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Multi-Factor Authentication.</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Non-Functional Requirement.</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Functional Requirement.</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MTTD</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Mean Time to Detect.</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MTTR</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Mean Time to Respond / Resolve.</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Event Source</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Any system, application, or agent that submits event records to the System.</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Analyst</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 user role responsible for reviewing events and alerts and taking investigative action.</w:t>
            </w:r>
          </w:p>
        </w:tc>
      </w:tr>
      <w:tr>
        <w:tc>
          <w:tcPr>
            <w:tcW w:type="dxa" w:w="2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Retention Period</w:t>
            </w:r>
          </w:p>
        </w:tc>
        <w:tc>
          <w:tcPr>
            <w:tcW w:type="dxa" w:w="6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duration for which event and audit data is stored before archival or deletion.</w:t>
            </w:r>
          </w:p>
        </w:tc>
      </w:tr>
      <w:tr>
        <w:tc>
          <w:tcPr>
            <w:tcW w:type="dxa" w:w="2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CIA Triad</w:t>
            </w:r>
          </w:p>
        </w:tc>
        <w:tc>
          <w:tcPr>
            <w:tcW w:type="dxa" w:w="6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Confidentiality, Integrity, and Availability — the three foundational properties of information security.</w:t>
            </w:r>
          </w:p>
        </w:tc>
      </w:tr>
    </w:tbl>
    <w:p>
      <w:pPr>
        <w:pStyle w:val="Heading2"/>
        <w:spacing w:after="120" w:before="260"/>
      </w:pPr>
      <w:r>
        <w:rPr>
          <w:b/>
          <w:bCs/>
          <w:color w:val="2E5496"/>
        </w:rPr>
        <w:t xml:space="preserve">1.4 References</w:t>
      </w:r>
    </w:p>
    <w:p>
      <w:pPr>
        <w:pStyle w:val="ListParagraph"/>
        <w:numPr>
          <w:ilvl w:val="0"/>
          <w:numId w:val="2"/>
        </w:numPr>
        <w:spacing w:after="80"/>
      </w:pPr>
      <w:r>
        <w:rPr>
          <w:sz w:val="21"/>
          <w:szCs w:val="21"/>
        </w:rPr>
        <w:t xml:space="preserve">ISO/IEC/IEEE 29148:2018 — Systems and software engineering — Life cycle processes — Requirements engineering.</w:t>
      </w:r>
    </w:p>
    <w:p>
      <w:pPr>
        <w:pStyle w:val="ListParagraph"/>
        <w:numPr>
          <w:ilvl w:val="0"/>
          <w:numId w:val="2"/>
        </w:numPr>
        <w:spacing w:after="80"/>
      </w:pPr>
      <w:r>
        <w:rPr>
          <w:sz w:val="21"/>
          <w:szCs w:val="21"/>
        </w:rPr>
        <w:t xml:space="preserve">ISO/IEC 27001:2022 — Information security, cybersecurity and privacy protection — Information security management systems — Requirements.</w:t>
      </w:r>
    </w:p>
    <w:p>
      <w:pPr>
        <w:pStyle w:val="ListParagraph"/>
        <w:numPr>
          <w:ilvl w:val="0"/>
          <w:numId w:val="2"/>
        </w:numPr>
        <w:spacing w:after="80"/>
      </w:pPr>
      <w:r>
        <w:rPr>
          <w:sz w:val="21"/>
          <w:szCs w:val="21"/>
        </w:rPr>
        <w:t xml:space="preserve">ISO/IEC 25010:2011 — Systems and software Quality Requirements and Evaluation (SQuaRE) — System and software quality models.</w:t>
      </w:r>
    </w:p>
    <w:p>
      <w:pPr>
        <w:pStyle w:val="ListParagraph"/>
        <w:numPr>
          <w:ilvl w:val="0"/>
          <w:numId w:val="2"/>
        </w:numPr>
        <w:spacing w:after="80"/>
      </w:pPr>
      <w:r>
        <w:rPr>
          <w:sz w:val="21"/>
          <w:szCs w:val="21"/>
        </w:rPr>
        <w:t xml:space="preserve">NIST SP 800-63B — Digital Identity Guidelines: Authentication and Lifecycle Management.</w:t>
      </w:r>
    </w:p>
    <w:p>
      <w:pPr>
        <w:pStyle w:val="ListParagraph"/>
        <w:numPr>
          <w:ilvl w:val="0"/>
          <w:numId w:val="2"/>
        </w:numPr>
        <w:spacing w:after="80"/>
      </w:pPr>
      <w:r>
        <w:rPr>
          <w:sz w:val="21"/>
          <w:szCs w:val="21"/>
        </w:rPr>
        <w:t xml:space="preserve">NIST SP 800-92 — Guide to Computer Security Log Management.</w:t>
      </w:r>
    </w:p>
    <w:p>
      <w:pPr>
        <w:pStyle w:val="ListParagraph"/>
        <w:numPr>
          <w:ilvl w:val="0"/>
          <w:numId w:val="2"/>
        </w:numPr>
        <w:spacing w:after="80"/>
      </w:pPr>
      <w:r>
        <w:rPr>
          <w:sz w:val="21"/>
          <w:szCs w:val="21"/>
        </w:rPr>
        <w:t xml:space="preserve">OWASP Top 10 (Web Application Security Risks) — Open Worldwide Application Security Project.</w:t>
      </w:r>
    </w:p>
    <w:p>
      <w:pPr>
        <w:pStyle w:val="ListParagraph"/>
        <w:numPr>
          <w:ilvl w:val="0"/>
          <w:numId w:val="2"/>
        </w:numPr>
        <w:spacing w:after="80"/>
      </w:pPr>
      <w:r>
        <w:rPr>
          <w:sz w:val="21"/>
          <w:szCs w:val="21"/>
        </w:rPr>
        <w:t xml:space="preserve">OWASP API Security Top 10 — Open Worldwide Application Security Project.</w:t>
      </w:r>
    </w:p>
    <w:p>
      <w:pPr>
        <w:pStyle w:val="ListParagraph"/>
        <w:numPr>
          <w:ilvl w:val="0"/>
          <w:numId w:val="2"/>
        </w:numPr>
        <w:spacing w:after="80"/>
      </w:pPr>
      <w:r>
        <w:rPr>
          <w:sz w:val="21"/>
          <w:szCs w:val="21"/>
        </w:rPr>
        <w:t xml:space="preserve">CSCD602: Advanced Software Engineering — Individual Project-Based Examination Brief, University of Ghana, Department of Computer Science, 2025/2026.</w:t>
      </w:r>
    </w:p>
    <w:p>
      <w:pPr>
        <w:pStyle w:val="Heading2"/>
        <w:spacing w:after="120" w:before="260"/>
      </w:pPr>
      <w:r>
        <w:rPr>
          <w:b/>
          <w:bCs/>
          <w:color w:val="2E5496"/>
        </w:rPr>
        <w:t xml:space="preserve">1.5 Overview</w:t>
      </w:r>
    </w:p>
    <w:p>
      <w:pPr>
        <w:spacing w:after="160" w:line="276"/>
      </w:pPr>
      <w:r>
        <w:rPr>
          <w:sz w:val="21"/>
          <w:szCs w:val="21"/>
        </w:rPr>
        <w:t xml:space="preserve">Section 2 describes the System at a high level, including its context, principal functions, intended users, and the constraints and assumptions under which it is specified. Section 3 provides the detailed, individually verifiable functional and non-functional requirements, organized by feature area, together with external interface requirements. Section 4 defines how each requirement will be verified and provides a requirements traceability matrix. Section 5 contains supporting appendices, including a use-case summary and glossary cross-reference.</w:t>
      </w:r>
    </w:p>
    <w:p>
      <w:r>
        <w:br w:type="page"/>
      </w:r>
    </w:p>
    <w:p>
      <w:pPr>
        <w:pStyle w:val="Heading1"/>
        <w:pBdr>
          <w:bottom w:val="single" w:color="1F3864" w:sz="6" w:space="4"/>
        </w:pBdr>
        <w:spacing w:after="160" w:before="360"/>
      </w:pPr>
      <w:r>
        <w:rPr>
          <w:b/>
          <w:bCs/>
          <w:color w:val="1F3864"/>
        </w:rPr>
        <w:t xml:space="preserve">2. Overall Description</w:t>
      </w:r>
    </w:p>
    <w:p>
      <w:pPr>
        <w:pStyle w:val="Heading2"/>
        <w:spacing w:after="120" w:before="260"/>
      </w:pPr>
      <w:r>
        <w:rPr>
          <w:b/>
          <w:bCs/>
          <w:color w:val="2E5496"/>
        </w:rPr>
        <w:t xml:space="preserve">2.1 Product Perspective</w:t>
      </w:r>
    </w:p>
    <w:p>
      <w:pPr>
        <w:spacing w:after="160" w:line="276"/>
      </w:pPr>
      <w:r>
        <w:rPr>
          <w:sz w:val="21"/>
          <w:szCs w:val="21"/>
        </w:rPr>
        <w:t xml:space="preserve">The System is a new, standalone product. It is not a replacement for, nor does it interoperate by default with, enterprise SIEM or SOAR platforms. It occupies the niche of a minimal-viable monitoring capability for contexts that currently have none.</w:t>
      </w:r>
    </w:p>
    <w:p>
      <w:pPr>
        <w:spacing w:after="160" w:line="276"/>
      </w:pPr>
      <w:r>
        <w:rPr>
          <w:sz w:val="21"/>
          <w:szCs w:val="21"/>
        </w:rPr>
        <w:t xml:space="preserve">At a conceptual level, the System sits between one or more Event Sources and a human Analyst, as follows (described functionally, independent of implementation technology):</w:t>
      </w:r>
    </w:p>
    <w:p>
      <w:pPr>
        <w:pStyle w:val="ListParagraph"/>
        <w:numPr>
          <w:ilvl w:val="0"/>
          <w:numId w:val="2"/>
        </w:numPr>
        <w:spacing w:after="80"/>
      </w:pPr>
      <w:r>
        <w:rPr>
          <w:sz w:val="21"/>
          <w:szCs w:val="21"/>
        </w:rPr>
        <w:t xml:space="preserve">Event Sources → Ingestion Boundary: external systems submit event records across a defined data exchange contract (Section 3.2.3).</w:t>
      </w:r>
    </w:p>
    <w:p>
      <w:pPr>
        <w:pStyle w:val="ListParagraph"/>
        <w:numPr>
          <w:ilvl w:val="0"/>
          <w:numId w:val="2"/>
        </w:numPr>
        <w:spacing w:after="80"/>
      </w:pPr>
      <w:r>
        <w:rPr>
          <w:sz w:val="21"/>
          <w:szCs w:val="21"/>
        </w:rPr>
        <w:t xml:space="preserve">Ingestion Boundary → Event Store: validated events are persisted with integrity protections.</w:t>
      </w:r>
    </w:p>
    <w:p>
      <w:pPr>
        <w:pStyle w:val="ListParagraph"/>
        <w:numPr>
          <w:ilvl w:val="0"/>
          <w:numId w:val="2"/>
        </w:numPr>
        <w:spacing w:after="80"/>
      </w:pPr>
      <w:r>
        <w:rPr>
          <w:sz w:val="21"/>
          <w:szCs w:val="21"/>
        </w:rPr>
        <w:t xml:space="preserve">Event Store → Detection Engine: stored and incoming events are evaluated against detection rules.</w:t>
      </w:r>
    </w:p>
    <w:p>
      <w:pPr>
        <w:pStyle w:val="ListParagraph"/>
        <w:numPr>
          <w:ilvl w:val="0"/>
          <w:numId w:val="2"/>
        </w:numPr>
        <w:spacing w:after="80"/>
      </w:pPr>
      <w:r>
        <w:rPr>
          <w:sz w:val="21"/>
          <w:szCs w:val="21"/>
        </w:rPr>
        <w:t xml:space="preserve">Detection Engine → Alert Store: rule matches generate alert records.</w:t>
      </w:r>
    </w:p>
    <w:p>
      <w:pPr>
        <w:pStyle w:val="ListParagraph"/>
        <w:numPr>
          <w:ilvl w:val="0"/>
          <w:numId w:val="2"/>
        </w:numPr>
        <w:spacing w:after="80"/>
      </w:pPr>
      <w:r>
        <w:rPr>
          <w:sz w:val="21"/>
          <w:szCs w:val="21"/>
        </w:rPr>
        <w:t xml:space="preserve">Event Store / Alert Store → Presentation Layer: authenticated users view events, alerts, and summaries through a dashboard.</w:t>
      </w:r>
    </w:p>
    <w:p>
      <w:pPr>
        <w:pStyle w:val="ListParagraph"/>
        <w:numPr>
          <w:ilvl w:val="0"/>
          <w:numId w:val="2"/>
        </w:numPr>
        <w:spacing w:after="80"/>
      </w:pPr>
      <w:r>
        <w:rPr>
          <w:sz w:val="21"/>
          <w:szCs w:val="21"/>
        </w:rPr>
        <w:t xml:space="preserve">All components → Audit Subsystem: security-relevant actions across the System are logged independently of the primary event stream.</w:t>
      </w:r>
    </w:p>
    <w:p>
      <w:pPr>
        <w:pStyle w:val="Heading2"/>
        <w:spacing w:after="120" w:before="260"/>
      </w:pPr>
      <w:r>
        <w:rPr>
          <w:b/>
          <w:bCs/>
          <w:color w:val="2E5496"/>
        </w:rPr>
        <w:t xml:space="preserve">2.2 Product Functions (Summary)</w:t>
      </w:r>
    </w:p>
    <w:p>
      <w:pPr>
        <w:spacing w:after="160" w:line="276"/>
      </w:pPr>
      <w:r>
        <w:rPr>
          <w:sz w:val="21"/>
          <w:szCs w:val="21"/>
        </w:rPr>
        <w:t xml:space="preserve">The major functions of the System, elaborated fully in Section 3.1, are:</w:t>
      </w:r>
    </w:p>
    <w:p>
      <w:pPr>
        <w:pStyle w:val="ListParagraph"/>
        <w:numPr>
          <w:ilvl w:val="0"/>
          <w:numId w:val="2"/>
        </w:numPr>
        <w:spacing w:after="80"/>
      </w:pPr>
      <w:r>
        <w:rPr>
          <w:sz w:val="21"/>
          <w:szCs w:val="21"/>
        </w:rPr>
        <w:t xml:space="preserve">F1 — Event Ingestion: accept and validate incoming security event records.</w:t>
      </w:r>
    </w:p>
    <w:p>
      <w:pPr>
        <w:pStyle w:val="ListParagraph"/>
        <w:numPr>
          <w:ilvl w:val="0"/>
          <w:numId w:val="2"/>
        </w:numPr>
        <w:spacing w:after="80"/>
      </w:pPr>
      <w:r>
        <w:rPr>
          <w:sz w:val="21"/>
          <w:szCs w:val="21"/>
        </w:rPr>
        <w:t xml:space="preserve">F2 — Event Storage and Retention: persist, retrieve, and age out event data according to policy.</w:t>
      </w:r>
    </w:p>
    <w:p>
      <w:pPr>
        <w:pStyle w:val="ListParagraph"/>
        <w:numPr>
          <w:ilvl w:val="0"/>
          <w:numId w:val="2"/>
        </w:numPr>
        <w:spacing w:after="80"/>
      </w:pPr>
      <w:r>
        <w:rPr>
          <w:sz w:val="21"/>
          <w:szCs w:val="21"/>
        </w:rPr>
        <w:t xml:space="preserve">F3 — Detection and Correlation: evaluate events against configurable detection rules.</w:t>
      </w:r>
    </w:p>
    <w:p>
      <w:pPr>
        <w:pStyle w:val="ListParagraph"/>
        <w:numPr>
          <w:ilvl w:val="0"/>
          <w:numId w:val="2"/>
        </w:numPr>
        <w:spacing w:after="80"/>
      </w:pPr>
      <w:r>
        <w:rPr>
          <w:sz w:val="21"/>
          <w:szCs w:val="21"/>
        </w:rPr>
        <w:t xml:space="preserve">F4 — Alerting and Notification: surface rule matches to authorized users as alerts.</w:t>
      </w:r>
    </w:p>
    <w:p>
      <w:pPr>
        <w:pStyle w:val="ListParagraph"/>
        <w:numPr>
          <w:ilvl w:val="0"/>
          <w:numId w:val="2"/>
        </w:numPr>
        <w:spacing w:after="80"/>
      </w:pPr>
      <w:r>
        <w:rPr>
          <w:sz w:val="21"/>
          <w:szCs w:val="21"/>
        </w:rPr>
        <w:t xml:space="preserve">F5 — Dashboard and Reporting: present events, alerts, and summary security posture.</w:t>
      </w:r>
    </w:p>
    <w:p>
      <w:pPr>
        <w:pStyle w:val="ListParagraph"/>
        <w:numPr>
          <w:ilvl w:val="0"/>
          <w:numId w:val="2"/>
        </w:numPr>
        <w:spacing w:after="80"/>
      </w:pPr>
      <w:r>
        <w:rPr>
          <w:sz w:val="21"/>
          <w:szCs w:val="21"/>
        </w:rPr>
        <w:t xml:space="preserve">F6 — User Authentication and Authorization: control who may access the System and what they may do.</w:t>
      </w:r>
    </w:p>
    <w:p>
      <w:pPr>
        <w:pStyle w:val="ListParagraph"/>
        <w:numPr>
          <w:ilvl w:val="0"/>
          <w:numId w:val="2"/>
        </w:numPr>
        <w:spacing w:after="80"/>
      </w:pPr>
      <w:r>
        <w:rPr>
          <w:sz w:val="21"/>
          <w:szCs w:val="21"/>
        </w:rPr>
        <w:t xml:space="preserve">F7 — Audit and Accountability: record actions taken within the System for later review.</w:t>
      </w:r>
    </w:p>
    <w:p>
      <w:pPr>
        <w:pStyle w:val="Heading2"/>
        <w:spacing w:after="120" w:before="260"/>
      </w:pPr>
      <w:r>
        <w:rPr>
          <w:b/>
          <w:bCs/>
          <w:color w:val="2E5496"/>
        </w:rPr>
        <w:t xml:space="preserve">2.3 User Classes and Characteristics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000"/>
      </w:tblGrid>
      <w:tr>
        <w:trPr>
          <w:tblHeader/>
        </w:trPr>
        <w:tc>
          <w:tcPr>
            <w:tcW w:type="dxa" w:w="2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User Class</w:t>
            </w:r>
          </w:p>
        </w:tc>
        <w:tc>
          <w:tcPr>
            <w:tcW w:type="dxa" w:w="48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Description</w:t>
            </w:r>
          </w:p>
        </w:tc>
        <w:tc>
          <w:tcPr>
            <w:tcW w:type="dxa" w:w="2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Technical Proficiency</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Security Analyst</w:t>
            </w:r>
          </w:p>
        </w:tc>
        <w:tc>
          <w:tcPr>
            <w:tcW w:type="dxa" w:w="4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Primary user. Reviews events and alerts, investigates flagged activity, and manages detection rules.</w:t>
            </w:r>
          </w:p>
        </w:tc>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Moderate to high; assumed familiarity with basic security concepts.</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System Administrator</w:t>
            </w:r>
          </w:p>
        </w:tc>
        <w:tc>
          <w:tcPr>
            <w:tcW w:type="dxa" w:w="4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Manages user accounts, roles, event source registration, and system configuration.</w:t>
            </w:r>
          </w:p>
        </w:tc>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High; assumed familiarity with system administration.</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Auditor / Management</w:t>
            </w:r>
          </w:p>
        </w:tc>
        <w:tc>
          <w:tcPr>
            <w:tcW w:type="dxa" w:w="4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Read-only consumer of summary reports and historical audit trails for compliance or oversight purposes.</w:t>
            </w:r>
          </w:p>
        </w:tc>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Low to moderate.</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Event Source</w:t>
            </w:r>
          </w:p>
        </w:tc>
        <w:tc>
          <w:tcPr>
            <w:tcW w:type="dxa" w:w="4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Not a human user, but a system actor. Any application, service, or agent that submits event records to the System.</w:t>
            </w:r>
          </w:p>
        </w:tc>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N/A (automated).</w:t>
            </w:r>
          </w:p>
        </w:tc>
      </w:tr>
    </w:tbl>
    <w:p>
      <w:pPr>
        <w:pStyle w:val="Heading2"/>
        <w:spacing w:after="120" w:before="260"/>
      </w:pPr>
      <w:r>
        <w:rPr>
          <w:b/>
          <w:bCs/>
          <w:color w:val="2E5496"/>
        </w:rPr>
        <w:t xml:space="preserve">2.4 Operating Environment</w:t>
      </w:r>
    </w:p>
    <w:p>
      <w:pPr>
        <w:spacing w:after="160" w:line="276"/>
      </w:pPr>
      <w:r>
        <w:rPr>
          <w:sz w:val="21"/>
          <w:szCs w:val="21"/>
        </w:rPr>
        <w:t xml:space="preserve">The System is specified independently of any specific operating system, programming language, database engine, or hosting model. It shall be deployable in any environment that provides:</w:t>
      </w:r>
    </w:p>
    <w:p>
      <w:pPr>
        <w:pStyle w:val="ListParagraph"/>
        <w:numPr>
          <w:ilvl w:val="0"/>
          <w:numId w:val="2"/>
        </w:numPr>
        <w:spacing w:after="80"/>
      </w:pPr>
      <w:r>
        <w:rPr>
          <w:sz w:val="21"/>
          <w:szCs w:val="21"/>
        </w:rPr>
        <w:t xml:space="preserve">A persistent data store capable of retaining structured records across restarts.</w:t>
      </w:r>
    </w:p>
    <w:p>
      <w:pPr>
        <w:pStyle w:val="ListParagraph"/>
        <w:numPr>
          <w:ilvl w:val="0"/>
          <w:numId w:val="2"/>
        </w:numPr>
        <w:spacing w:after="80"/>
      </w:pPr>
      <w:r>
        <w:rPr>
          <w:sz w:val="21"/>
          <w:szCs w:val="21"/>
        </w:rPr>
        <w:t xml:space="preserve">Network connectivity between registered Event Sources and the System's ingestion boundary.</w:t>
      </w:r>
    </w:p>
    <w:p>
      <w:pPr>
        <w:pStyle w:val="ListParagraph"/>
        <w:numPr>
          <w:ilvl w:val="0"/>
          <w:numId w:val="2"/>
        </w:numPr>
        <w:spacing w:after="80"/>
      </w:pPr>
      <w:r>
        <w:rPr>
          <w:sz w:val="21"/>
          <w:szCs w:val="21"/>
        </w:rPr>
        <w:t xml:space="preserve">A mechanism for authorized users to reach the presentation layer over a network (e.g., a web browser over HTTPS, or an equivalent secure client).</w:t>
      </w:r>
    </w:p>
    <w:p>
      <w:pPr>
        <w:spacing w:after="160" w:line="276"/>
      </w:pPr>
      <w:r>
        <w:rPr>
          <w:sz w:val="21"/>
          <w:szCs w:val="21"/>
        </w:rPr>
        <w:t xml:space="preserve">Suitable environments include, without limitation, on-premises servers, virtual machines, containerized environments, or cloud-hosted infrastructure. No requirement in this document shall be interpreted as mandating a specific vendor, framework, or deployment topology.</w:t>
      </w:r>
    </w:p>
    <w:p>
      <w:pPr>
        <w:pStyle w:val="Heading2"/>
        <w:spacing w:after="120" w:before="260"/>
      </w:pPr>
      <w:r>
        <w:rPr>
          <w:b/>
          <w:bCs/>
          <w:color w:val="2E5496"/>
        </w:rPr>
        <w:t xml:space="preserve">2.5 Design and Implementation Constraints</w:t>
      </w:r>
    </w:p>
    <w:p>
      <w:pPr>
        <w:pStyle w:val="ListParagraph"/>
        <w:numPr>
          <w:ilvl w:val="0"/>
          <w:numId w:val="2"/>
        </w:numPr>
        <w:spacing w:after="80"/>
      </w:pPr>
      <w:r>
        <w:rPr>
          <w:sz w:val="21"/>
          <w:szCs w:val="21"/>
        </w:rPr>
        <w:t xml:space="preserve">The initial baseline of the System is developed within a fixed, time-boxed academic examination period; scope has been deliberately limited to what can be responsibly implemented, tested, and deployed within that period (see the accompanying Software Effort Estimation and Technical Debt Plan documents).</w:t>
      </w:r>
    </w:p>
    <w:p>
      <w:pPr>
        <w:pStyle w:val="ListParagraph"/>
        <w:numPr>
          <w:ilvl w:val="0"/>
          <w:numId w:val="2"/>
        </w:numPr>
        <w:spacing w:after="80"/>
      </w:pPr>
      <w:r>
        <w:rPr>
          <w:sz w:val="21"/>
          <w:szCs w:val="21"/>
        </w:rPr>
        <w:t xml:space="preserve">The System shall not persist authentication credentials in a reversible or plaintext form under any implementation (see NFR-SEC requirements, Section 3.3.2).</w:t>
      </w:r>
    </w:p>
    <w:p>
      <w:pPr>
        <w:pStyle w:val="ListParagraph"/>
        <w:numPr>
          <w:ilvl w:val="0"/>
          <w:numId w:val="2"/>
        </w:numPr>
        <w:spacing w:after="80"/>
      </w:pPr>
      <w:r>
        <w:rPr>
          <w:sz w:val="21"/>
          <w:szCs w:val="21"/>
        </w:rPr>
        <w:t xml:space="preserve">The System shall be designed so that no single requirement in this document presumes a specific database paradigm (relational, document, or otherwise); persistence requirements are expressed in terms of required properties (durability, queryability, integrity), not mechanisms.</w:t>
      </w:r>
    </w:p>
    <w:p>
      <w:pPr>
        <w:pStyle w:val="ListParagraph"/>
        <w:numPr>
          <w:ilvl w:val="0"/>
          <w:numId w:val="2"/>
        </w:numPr>
        <w:spacing w:after="80"/>
      </w:pPr>
      <w:r>
        <w:rPr>
          <w:sz w:val="21"/>
          <w:szCs w:val="21"/>
        </w:rPr>
        <w:t xml:space="preserve">Where the deployment context is subject to data protection regulation (e.g., organizational, sectoral, or national data protection law applicable to the deploying organization), the System's handling of personally identifiable information within event data shall be configurable to support compliance, though specific regulatory certification is out of scope of this baseline.</w:t>
      </w:r>
    </w:p>
    <w:p>
      <w:pPr>
        <w:pStyle w:val="Heading2"/>
        <w:spacing w:after="120" w:before="260"/>
      </w:pPr>
      <w:r>
        <w:rPr>
          <w:b/>
          <w:bCs/>
          <w:color w:val="2E5496"/>
        </w:rPr>
        <w:t xml:space="preserve">2.6 Assumptions and Dependencies</w:t>
      </w:r>
    </w:p>
    <w:p>
      <w:pPr>
        <w:pStyle w:val="ListParagraph"/>
        <w:numPr>
          <w:ilvl w:val="0"/>
          <w:numId w:val="2"/>
        </w:numPr>
        <w:spacing w:after="80"/>
      </w:pPr>
      <w:r>
        <w:rPr>
          <w:sz w:val="21"/>
          <w:szCs w:val="21"/>
        </w:rPr>
        <w:t xml:space="preserve">Event Sources are capable of producing event data in a structured, timestamped form and can reach the System's ingestion boundary over the network.</w:t>
      </w:r>
    </w:p>
    <w:p>
      <w:pPr>
        <w:pStyle w:val="ListParagraph"/>
        <w:numPr>
          <w:ilvl w:val="0"/>
          <w:numId w:val="2"/>
        </w:numPr>
        <w:spacing w:after="80"/>
      </w:pPr>
      <w:r>
        <w:rPr>
          <w:sz w:val="21"/>
          <w:szCs w:val="21"/>
        </w:rPr>
        <w:t xml:space="preserve">The deployment environment provides reasonably accurate and synchronized time (e.g., via NTP or equivalent), since detection rules depend on event ordering and time-windowed correlation.</w:t>
      </w:r>
    </w:p>
    <w:p>
      <w:pPr>
        <w:pStyle w:val="ListParagraph"/>
        <w:numPr>
          <w:ilvl w:val="0"/>
          <w:numId w:val="2"/>
        </w:numPr>
        <w:spacing w:after="80"/>
      </w:pPr>
      <w:r>
        <w:rPr>
          <w:sz w:val="21"/>
          <w:szCs w:val="21"/>
        </w:rPr>
        <w:t xml:space="preserve">At least one Analyst or Administrator account is provisioned during initial deployment ("bootstrap" account); the process for this is defined in the Deployment and Installation documentation, not in this SRS.</w:t>
      </w:r>
    </w:p>
    <w:p>
      <w:pPr>
        <w:pStyle w:val="ListParagraph"/>
        <w:numPr>
          <w:ilvl w:val="0"/>
          <w:numId w:val="2"/>
        </w:numPr>
        <w:spacing w:after="80"/>
      </w:pPr>
      <w:r>
        <w:rPr>
          <w:sz w:val="21"/>
          <w:szCs w:val="21"/>
        </w:rPr>
        <w:t xml:space="preserve">The System is assumed to be deployed within a single organizational trust boundary per instance; cross-organization data sharing is not assumed.</w:t>
      </w:r>
    </w:p>
    <w:p>
      <w:pPr>
        <w:pStyle w:val="ListParagraph"/>
        <w:numPr>
          <w:ilvl w:val="0"/>
          <w:numId w:val="2"/>
        </w:numPr>
        <w:spacing w:after="80"/>
      </w:pPr>
      <w:r>
        <w:rPr>
          <w:sz w:val="21"/>
          <w:szCs w:val="21"/>
        </w:rPr>
        <w:t xml:space="preserve">Availability of underlying infrastructure (network, host, storage) is assumed to be managed outside the System itself; the System is responsible for its own application-level reliability only (see Section 3.3.3).</w:t>
      </w:r>
    </w:p>
    <w:p>
      <w:r>
        <w:br w:type="page"/>
      </w:r>
    </w:p>
    <w:p>
      <w:pPr>
        <w:pStyle w:val="Heading1"/>
        <w:pBdr>
          <w:bottom w:val="single" w:color="1F3864" w:sz="6" w:space="4"/>
        </w:pBdr>
        <w:spacing w:after="160" w:before="360"/>
      </w:pPr>
      <w:r>
        <w:rPr>
          <w:b/>
          <w:bCs/>
          <w:color w:val="1F3864"/>
        </w:rPr>
        <w:t xml:space="preserve">3. Specific Requirements</w:t>
      </w:r>
    </w:p>
    <w:p>
      <w:pPr>
        <w:spacing w:after="160" w:line="276"/>
      </w:pPr>
      <w:r>
        <w:rPr>
          <w:sz w:val="21"/>
          <w:szCs w:val="21"/>
        </w:rPr>
        <w:t xml:space="preserve">Requirements are expressed to be individually verifiable, unambiguous, and — as far as practicable at this stage — free of implementation bias, consistent with the characteristics of well-formed requirements defined in ISO/IEC/IEEE 29148:2018. Priority follows the MoSCoW scale (Must, Should, Could, Won't-this-baseline).</w:t>
      </w:r>
    </w:p>
    <w:p>
      <w:pPr>
        <w:pStyle w:val="Heading2"/>
        <w:spacing w:after="120" w:before="260"/>
      </w:pPr>
      <w:r>
        <w:rPr>
          <w:b/>
          <w:bCs/>
          <w:color w:val="2E5496"/>
        </w:rPr>
        <w:t xml:space="preserve">3.1 Functional Requirements</w:t>
      </w:r>
    </w:p>
    <w:p>
      <w:pPr>
        <w:pStyle w:val="Heading3"/>
        <w:spacing w:after="100" w:before="200"/>
      </w:pPr>
      <w:r>
        <w:rPr>
          <w:b/>
          <w:bCs/>
          <w:i w:val="false"/>
          <w:iCs w:val="false"/>
          <w:color w:val="333333"/>
        </w:rPr>
        <w:t xml:space="preserve">3.1.1 Event Ingestion (F1)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FR-1.1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provide a defined interface through which registered Event Sources can submit event records.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FR-1.2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validate each incoming event record against a defined minimum schema (at minimum: timestamp, source identifier, event type, and a description or payload field) before acceptance.</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FR-1.3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reject and log (without persisting as a valid event) any submission that fails schema validation, and shall return a machine-readable reason for rejection to the submitting source.</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FR-1.4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record the time of receipt for every accepted event, independent of any timestamp supplied by the Event Source, to support integrity checking of source-supplied timestamps.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FR-1.5</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support the registration of multiple distinct Event Sources, each uniquely identifiable.</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FR-1.6</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authenticate Event Sources prior to accepting submitted events, to prevent unauthorized or spoofed event injection.</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bl>
    <w:p>
      <w:pPr>
        <w:pStyle w:val="Heading3"/>
        <w:spacing w:after="100" w:before="200"/>
      </w:pPr>
      <w:r>
        <w:rPr>
          <w:b/>
          <w:bCs/>
          <w:i w:val="false"/>
          <w:iCs w:val="false"/>
          <w:color w:val="333333"/>
        </w:rPr>
        <w:t xml:space="preserve">3.1.2 Event Storage and Retention (F2)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FR-2.1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persist all accepted event records such that they remain retrievable after a system restart.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FR-2.2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allow an authorized user to query stored events by at least: time range, source, event type, and severity.</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FR-2.3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enforce a configurable retention period after which event records may be archived or purged.</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FR-2.4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protect stored event records against undetected modification (e.g., through integrity verification such as checksums or hash chaining).</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Analysis</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FR-2.5</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prevent any user, regardless of role, from directly editing the content of a persisted event record (append-only for event data).</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bl>
    <w:p>
      <w:pPr>
        <w:pStyle w:val="Heading3"/>
        <w:spacing w:after="100" w:before="200"/>
      </w:pPr>
      <w:r>
        <w:rPr>
          <w:b/>
          <w:bCs/>
          <w:i w:val="false"/>
          <w:iCs w:val="false"/>
          <w:color w:val="333333"/>
        </w:rPr>
        <w:t xml:space="preserve">3.1.3 Detection and Correlation (F3)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FR-3.1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support the definition of detection rules, each composed of one or more conditions evaluated against event attributes.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FR-3.2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evaluate newly accepted events against all active detection rules without requiring manual triggering.</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FR-3.3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support at minimum a threshold-based rule type (e.g., N matching events from the same source/user/IP within a defined time window).</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FR-3.4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support at minimum a single-event pattern rule type (e.g., an event of a specific high-risk type occurring at all, such as a privilege escalation).</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FR-3.5</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allow an authorized user to enable or disable individual detection rules without requiring redeployment of the System.</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FR-3.6</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assign a severity level to each detection rule, which is inherited by any alert the rule generates.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bl>
    <w:p>
      <w:pPr>
        <w:pStyle w:val="Heading3"/>
        <w:spacing w:after="100" w:before="200"/>
      </w:pPr>
      <w:r>
        <w:rPr>
          <w:b/>
          <w:bCs/>
          <w:i w:val="false"/>
          <w:iCs w:val="false"/>
          <w:color w:val="333333"/>
        </w:rPr>
        <w:t xml:space="preserve">3.1.4 Alerting and Notification (F4)</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FR-4.1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generate an alert record whenever a detection rule's conditions are satisfied.</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FR-4.2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Each alert shall reference the triggering event(s), the rule that generated it, its severity, and its generation timestamp.</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FR-4.3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present newly generated alerts to authorized users through the presentation layer without requiring a manual refresh initiated by polling logic outside the System's control.</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FR-4.4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allow an authorized user to acknowledge, annotate, and change the status of an alert (e.g., New, Under Investigation, Resolved, False Positive).</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FR-4.5</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support at least one notification channel beyond the in-application alert list (e.g., email, webhook, or equivalent) as an extensible integration point.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Inspection</w:t>
            </w:r>
          </w:p>
        </w:tc>
      </w:tr>
    </w:tbl>
    <w:p>
      <w:pPr>
        <w:pStyle w:val="Heading3"/>
        <w:spacing w:after="100" w:before="200"/>
      </w:pPr>
      <w:r>
        <w:rPr>
          <w:b/>
          <w:bCs/>
          <w:i w:val="false"/>
          <w:iCs w:val="false"/>
          <w:color w:val="333333"/>
        </w:rPr>
        <w:t xml:space="preserve">3.1.5 Dashboard and Reporting (F5)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FR-5.1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provide a dashboard view summarizing event volume, open alerts, and alert severity distribution over a selectable time window.</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FR-5.2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allow an authorized user to filter and search the event list and alert list by the criteria defined in FR-2.2.</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FR-5.3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allow an authorized user to export a filtered set of events or alerts in a structured, human-readable format for offline reporting.</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FR-5.4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visually distinguish alert severity levels (e.g., Critical, High, Medium, Low, Informational) in all views where alerts are listed.</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Inspection</w:t>
            </w:r>
          </w:p>
        </w:tc>
      </w:tr>
    </w:tbl>
    <w:p>
      <w:pPr>
        <w:pStyle w:val="Heading3"/>
        <w:spacing w:after="100" w:before="200"/>
      </w:pPr>
      <w:r>
        <w:rPr>
          <w:b/>
          <w:bCs/>
          <w:i w:val="false"/>
          <w:iCs w:val="false"/>
          <w:color w:val="333333"/>
        </w:rPr>
        <w:t xml:space="preserve">3.1.6 User Authentication and Authorization (F6)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FR-6.1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require every human user to authenticate before accessing any event, alert, or configuration data.</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FR-6.2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support at least the roles Analyst and Administrator, each with a distinct, enumerable set of permissions.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FR-6.3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restrict configuration functions (e.g., managing detection rules, registering Event Sources, managing user accounts) to the Administrator role.</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FR-6.4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allow an Auditor role with read-only access to historical events, alerts, and audit records, without access to configuration functions.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FR-6.5</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terminate a user's session after a configurable period of inactivity.</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FR-6.6</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enforce a minimum password strength policy for locally managed accounts, consistent with current digital identity guidance (see NIST SP 800-63B).</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bl>
    <w:p>
      <w:pPr>
        <w:pStyle w:val="Heading3"/>
        <w:spacing w:after="100" w:before="200"/>
      </w:pPr>
      <w:r>
        <w:rPr>
          <w:b/>
          <w:bCs/>
          <w:i w:val="false"/>
          <w:iCs w:val="false"/>
          <w:color w:val="333333"/>
        </w:rPr>
        <w:t xml:space="preserve">3.1.7 Audit and Accountability (F7)</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FR-7.1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maintain an audit record of security-relevant actions performed by users, including at minimum: authentication attempts (success and failure), changes to detection rules, changes to user accounts, and changes to alert status.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FR-7.2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record, for each audit entry, the acting user identity, the action performed, the affected object, and the timestamp.</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FR-7.3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prevent modification or deletion of audit records by any user through normal application functions, including Administrators.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FR-7.4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allow the Auditor and Administrator roles to view the audit trail.</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bl>
    <w:p>
      <w:pPr>
        <w:pStyle w:val="Heading2"/>
        <w:spacing w:after="120" w:before="260"/>
      </w:pPr>
      <w:r>
        <w:rPr>
          <w:b/>
          <w:bCs/>
          <w:color w:val="2E5496"/>
        </w:rPr>
        <w:t xml:space="preserve">3.2 External Interface Requirements</w:t>
      </w:r>
    </w:p>
    <w:p>
      <w:pPr>
        <w:pStyle w:val="Heading3"/>
        <w:spacing w:after="100" w:before="200"/>
      </w:pPr>
      <w:r>
        <w:rPr>
          <w:b/>
          <w:bCs/>
          <w:i w:val="false"/>
          <w:iCs w:val="false"/>
          <w:color w:val="333333"/>
        </w:rPr>
        <w:t xml:space="preserve">3.2.1 User Interfaces</w:t>
      </w:r>
    </w:p>
    <w:p>
      <w:pPr>
        <w:pStyle w:val="ListParagraph"/>
        <w:numPr>
          <w:ilvl w:val="0"/>
          <w:numId w:val="2"/>
        </w:numPr>
        <w:spacing w:after="80"/>
      </w:pPr>
      <w:r>
        <w:rPr>
          <w:sz w:val="21"/>
          <w:szCs w:val="21"/>
        </w:rPr>
        <w:t xml:space="preserve">UI-1: The presentation layer shall be accessible through a standard client (e.g., a web browser) without requiring proprietary client software, so that the System remains platform-independent for its users.</w:t>
      </w:r>
    </w:p>
    <w:p>
      <w:pPr>
        <w:pStyle w:val="ListParagraph"/>
        <w:numPr>
          <w:ilvl w:val="0"/>
          <w:numId w:val="2"/>
        </w:numPr>
        <w:spacing w:after="80"/>
      </w:pPr>
      <w:r>
        <w:rPr>
          <w:sz w:val="21"/>
          <w:szCs w:val="21"/>
        </w:rPr>
        <w:t xml:space="preserve">UI-2: The presentation layer shall present critical and high-severity alerts with visually prominent cues (e.g., colour, iconography, position) distinct from lower-severity items.</w:t>
      </w:r>
    </w:p>
    <w:p>
      <w:pPr>
        <w:pStyle w:val="ListParagraph"/>
        <w:numPr>
          <w:ilvl w:val="0"/>
          <w:numId w:val="2"/>
        </w:numPr>
        <w:spacing w:after="80"/>
      </w:pPr>
      <w:r>
        <w:rPr>
          <w:sz w:val="21"/>
          <w:szCs w:val="21"/>
        </w:rPr>
        <w:t xml:space="preserve">UI-3: The presentation layer shall remain usable on both desktop and reduced-width (e.g., tablet-class) viewports; full mobile-phone optimisation is not required in this baseline.</w:t>
      </w:r>
    </w:p>
    <w:p>
      <w:pPr>
        <w:pStyle w:val="Heading3"/>
        <w:spacing w:after="100" w:before="200"/>
      </w:pPr>
      <w:r>
        <w:rPr>
          <w:b/>
          <w:bCs/>
          <w:i w:val="false"/>
          <w:iCs w:val="false"/>
          <w:color w:val="333333"/>
        </w:rPr>
        <w:t xml:space="preserve">3.2.2 Hardware Interfaces</w:t>
      </w:r>
    </w:p>
    <w:p>
      <w:pPr>
        <w:spacing w:after="160" w:line="276"/>
      </w:pPr>
      <w:r>
        <w:rPr>
          <w:sz w:val="21"/>
          <w:szCs w:val="21"/>
        </w:rPr>
        <w:t xml:space="preserve">The System has no mandatory hardware interface requirements beyond generic compute, storage, and network infrastructure. No specialized hardware is required for the baseline scope.</w:t>
      </w:r>
    </w:p>
    <w:p>
      <w:pPr>
        <w:pStyle w:val="Heading3"/>
        <w:spacing w:after="100" w:before="200"/>
      </w:pPr>
      <w:r>
        <w:rPr>
          <w:b/>
          <w:bCs/>
          <w:i w:val="false"/>
          <w:iCs w:val="false"/>
          <w:color w:val="333333"/>
        </w:rPr>
        <w:t xml:space="preserve">3.2.3 Software Interfaces</w:t>
      </w:r>
    </w:p>
    <w:p>
      <w:pPr>
        <w:pStyle w:val="ListParagraph"/>
        <w:numPr>
          <w:ilvl w:val="0"/>
          <w:numId w:val="2"/>
        </w:numPr>
        <w:spacing w:after="80"/>
      </w:pPr>
      <w:r>
        <w:rPr>
          <w:sz w:val="21"/>
          <w:szCs w:val="21"/>
        </w:rPr>
        <w:t xml:space="preserve">SI-1: The System shall expose a documented, technology-neutral data exchange contract (an event schema and a submission mechanism) through which Event Sources submit events. The specific protocol (e.g., a web API, a message queue, a file drop) is a design-time decision and is not constrained by this SRS, provided the contract in Section 3.1.1 is satisfied.</w:t>
      </w:r>
    </w:p>
    <w:p>
      <w:pPr>
        <w:pStyle w:val="ListParagraph"/>
        <w:numPr>
          <w:ilvl w:val="0"/>
          <w:numId w:val="2"/>
        </w:numPr>
        <w:spacing w:after="80"/>
      </w:pPr>
      <w:r>
        <w:rPr>
          <w:sz w:val="21"/>
          <w:szCs w:val="21"/>
        </w:rPr>
        <w:t xml:space="preserve">SI-2: The System shall not require any specific third-party log-shipping agent; any Event Source capable of satisfying the data exchange contract in SI-1 shall be usable.</w:t>
      </w:r>
    </w:p>
    <w:p>
      <w:pPr>
        <w:pStyle w:val="Heading3"/>
        <w:spacing w:after="100" w:before="200"/>
      </w:pPr>
      <w:r>
        <w:rPr>
          <w:b/>
          <w:bCs/>
          <w:i w:val="false"/>
          <w:iCs w:val="false"/>
          <w:color w:val="333333"/>
        </w:rPr>
        <w:t xml:space="preserve">3.2.4 Communications Interfaces</w:t>
      </w:r>
    </w:p>
    <w:p>
      <w:pPr>
        <w:pStyle w:val="ListParagraph"/>
        <w:numPr>
          <w:ilvl w:val="0"/>
          <w:numId w:val="2"/>
        </w:numPr>
        <w:spacing w:after="80"/>
      </w:pPr>
      <w:r>
        <w:rPr>
          <w:sz w:val="21"/>
          <w:szCs w:val="21"/>
        </w:rPr>
        <w:t xml:space="preserve">CI-1: All communication between Event Sources and the System, and between users and the System, shall be protected in transit using an industry-standard encryption protocol (e.g., TLS 1.2 or later, or an equivalent successor in force at deployment time).</w:t>
      </w:r>
    </w:p>
    <w:p>
      <w:pPr>
        <w:pStyle w:val="ListParagraph"/>
        <w:numPr>
          <w:ilvl w:val="0"/>
          <w:numId w:val="2"/>
        </w:numPr>
        <w:spacing w:after="80"/>
      </w:pPr>
      <w:r>
        <w:rPr>
          <w:sz w:val="21"/>
          <w:szCs w:val="21"/>
        </w:rPr>
        <w:t xml:space="preserve">CI-2: The System shall reject communication attempts that do not meet the minimum transport security standard defined in CI-1.</w:t>
      </w:r>
    </w:p>
    <w:p>
      <w:pPr>
        <w:pStyle w:val="Heading2"/>
        <w:spacing w:after="120" w:before="260"/>
      </w:pPr>
      <w:r>
        <w:rPr>
          <w:b/>
          <w:bCs/>
          <w:color w:val="2E5496"/>
        </w:rPr>
        <w:t xml:space="preserve">3.3 Non-Functional Requirements</w:t>
      </w:r>
    </w:p>
    <w:p>
      <w:pPr>
        <w:spacing w:after="160" w:line="276"/>
      </w:pPr>
      <w:r>
        <w:rPr>
          <w:sz w:val="21"/>
          <w:szCs w:val="21"/>
        </w:rPr>
        <w:t xml:space="preserve">Non-functional requirements are grouped using recognised software quality characteristics (informed by ISO/IEC 25010) and are stated, where possible, with a measurable target and an associated verification method, in keeping with the verifiability principle of ISO/IEC/IEEE 29148:2018.</w:t>
      </w:r>
    </w:p>
    <w:p>
      <w:pPr>
        <w:pStyle w:val="Heading3"/>
        <w:spacing w:after="100" w:before="200"/>
      </w:pPr>
      <w:r>
        <w:rPr>
          <w:b/>
          <w:bCs/>
          <w:i w:val="false"/>
          <w:iCs w:val="false"/>
          <w:color w:val="333333"/>
        </w:rPr>
        <w:t xml:space="preserve">3.3.1 Performance Efficiency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NFR-PERF-1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accept and acknowledge a submitted event within 2 seconds under nominal load (baseline: up to 50 events/minute).</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NFR-PERF-2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evaluate an incoming event against all active detection rules and, where applicable, generate an alert within 5 seconds of event acceptance under nominal load.</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NFR-PERF-3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dashboard summary view (FR-5.1) shall render within 3 seconds for a dataset of up to 100,000 stored events, on a reference deployment.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bl>
    <w:p>
      <w:pPr>
        <w:pStyle w:val="Heading3"/>
        <w:spacing w:after="100" w:before="200"/>
      </w:pPr>
      <w:r>
        <w:rPr>
          <w:b/>
          <w:bCs/>
          <w:i w:val="false"/>
          <w:iCs w:val="false"/>
          <w:color w:val="333333"/>
        </w:rPr>
        <w:t xml:space="preserve">3.3.2 Security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NFR-SEC-1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store all user credentials using a one-way, salted cryptographic hashing scheme; credentials shall never be stored or logged in plaintext or in a reversibly encrypted form.</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Inspection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NFR-SEC-2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enforce the principle of least privilege, such that no user role has access to functions beyond those explicitly required by that role (see FR-6.2–FR-6.4).</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NFR-SEC-3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be resilient to the applicable classes of risk identified in the current OWASP Top 10 and OWASP API Security Top 10 (e.g., broken authentication, broken object-level authorization, injection, excessive data exposure), to the extent applicable to its own interfaces.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Analysis / 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NFR-SEC-4</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validate and sanitize all externally supplied input (from Event Sources and from user-facing forms) before processing or persistence.</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NFR-SEC-5</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lock or throttle an account after a configurable number of consecutive failed authentication attempts, to mitigate credential-stuffing and brute-force risk.</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NFR-SEC-6</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not expose internal error detail (e.g., stack traces, query text) to end users or Event Sources in any response.</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Inspection</w:t>
            </w:r>
          </w:p>
        </w:tc>
      </w:tr>
    </w:tbl>
    <w:p>
      <w:pPr>
        <w:pStyle w:val="Heading3"/>
        <w:spacing w:after="100" w:before="200"/>
      </w:pPr>
      <w:r>
        <w:rPr>
          <w:b/>
          <w:bCs/>
          <w:i w:val="false"/>
          <w:iCs w:val="false"/>
          <w:color w:val="333333"/>
        </w:rPr>
        <w:t xml:space="preserve">3.3.3 Reliability and Availability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NFR-REL-1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not lose previously accepted and persisted event or audit data as a result of an application-level crash or restart.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NFR-REL-2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degrade gracefully if a non-critical component (e.g., the notification channel in FR-4.5) is unavailable, without preventing core ingestion, detection, or dashboard functions.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NFR-REL-3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System's application-level availability target for the deployed examination instance is 95% during the grading and demonstration window; this is a reduced target reflecting the academic scope and is distinguished from the production-grade availability targets that would apply to a commercial deployment.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Analysis</w:t>
            </w:r>
          </w:p>
        </w:tc>
      </w:tr>
    </w:tbl>
    <w:p>
      <w:pPr>
        <w:pStyle w:val="Heading3"/>
        <w:spacing w:after="100" w:before="200"/>
      </w:pPr>
      <w:r>
        <w:rPr>
          <w:b/>
          <w:bCs/>
          <w:i w:val="false"/>
          <w:iCs w:val="false"/>
          <w:color w:val="333333"/>
        </w:rPr>
        <w:t xml:space="preserve">3.3.4 Maintainability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NFR-MAINT-1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System's detection rules shall be modifiable (added, edited, enabled/disabled) without requiring a rebuild or redeployment of the System's core components.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NFR-MAINT-2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System's components (ingestion, detection, storage, presentation, audit) shall be sufficiently decoupled that any one component can be modified with minimal, identifiable impact on the others.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Inspection</w:t>
            </w:r>
          </w:p>
        </w:tc>
      </w:tr>
    </w:tbl>
    <w:p>
      <w:pPr>
        <w:pStyle w:val="Heading3"/>
        <w:spacing w:after="100" w:before="200"/>
      </w:pPr>
      <w:r>
        <w:rPr>
          <w:b/>
          <w:bCs/>
          <w:i w:val="false"/>
          <w:iCs w:val="false"/>
          <w:color w:val="333333"/>
        </w:rPr>
        <w:t xml:space="preserve">3.3.5 Portability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NFR-PORT-1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 shall not require a specific operating system for its runtime environment.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Inspection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NFR-PORT-2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System's persistence layer shall be defined in terms of required data properties (Section 2.5) rather than a named database product, so that the underlying storage technology can be substituted with bounded rework.</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Inspection</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NFR-PORT-3</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The System's data exchange contract (SI-1) shall be documented independently of any specific transport protocol implementation, to support future substitution of the ingestion mechanism.</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Inspection</w:t>
            </w:r>
          </w:p>
        </w:tc>
      </w:tr>
    </w:tbl>
    <w:p>
      <w:pPr>
        <w:pStyle w:val="Heading3"/>
        <w:spacing w:after="100" w:before="200"/>
      </w:pPr>
      <w:r>
        <w:rPr>
          <w:b/>
          <w:bCs/>
          <w:i w:val="false"/>
          <w:iCs w:val="false"/>
          <w:color w:val="333333"/>
        </w:rPr>
        <w:t xml:space="preserve">3.3.6 Usability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NFR-USE-1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 first-time Analyst user shall be able to locate and review the current list of open alerts within 2 minutes of first login, without external instruction, in a usability walkthrough.</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Demonstration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NFR-USE-2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 shall provide clear, actionable error messages for all user-facing input validation failures.</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Must</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r>
    </w:tbl>
    <w:p>
      <w:pPr>
        <w:pStyle w:val="Heading3"/>
        <w:spacing w:after="100" w:before="200"/>
      </w:pPr>
      <w:r>
        <w:rPr>
          <w:b/>
          <w:bCs/>
          <w:i w:val="false"/>
          <w:iCs w:val="false"/>
          <w:color w:val="333333"/>
        </w:rPr>
        <w:t xml:space="preserve">3.3.7 Compliance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16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ID</w:t>
            </w:r>
          </w:p>
        </w:tc>
        <w:tc>
          <w:tcPr>
            <w:tcW w:type="dxa" w:w="51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Requirement Description</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1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NFR-COMP-1</w:t>
            </w:r>
          </w:p>
        </w:tc>
        <w:tc>
          <w:tcPr>
            <w:tcW w:type="dxa" w:w="51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Where event data may contain personal data, the System shall provide a configurable mechanism to restrict, mask, or limit retention of such fields, to support the deploying organization's applicable data protection obligations.</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Could</w:t>
            </w:r>
          </w:p>
        </w:tc>
        <w:tc>
          <w:tcPr>
            <w:tcW w:type="dxa" w:w="1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Inspection</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NFR-COMP-2</w:t>
            </w:r>
          </w:p>
        </w:tc>
        <w:tc>
          <w:tcPr>
            <w:tcW w:type="dxa" w:w="51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The System's audit trail (FR-7.1–FR-7.4) shall be structured so as to support external compliance or forensic review without requiring proprietary tooling to interpret.</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1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Inspection</w:t>
            </w:r>
          </w:p>
        </w:tc>
      </w:tr>
    </w:tbl>
    <w:p>
      <w:r>
        <w:br w:type="page"/>
      </w:r>
    </w:p>
    <w:p>
      <w:pPr>
        <w:pStyle w:val="Heading1"/>
        <w:pBdr>
          <w:bottom w:val="single" w:color="1F3864" w:sz="6" w:space="4"/>
        </w:pBdr>
        <w:spacing w:after="160" w:before="360"/>
      </w:pPr>
      <w:r>
        <w:rPr>
          <w:b/>
          <w:bCs/>
          <w:color w:val="1F3864"/>
        </w:rPr>
        <w:t xml:space="preserve">4. Verification</w:t>
      </w:r>
    </w:p>
    <w:p>
      <w:pPr>
        <w:pStyle w:val="Heading2"/>
        <w:spacing w:after="120" w:before="260"/>
      </w:pPr>
      <w:r>
        <w:rPr>
          <w:b/>
          <w:bCs/>
          <w:color w:val="2E5496"/>
        </w:rPr>
        <w:t xml:space="preserve">4.1 Requirements Traceability Matrix</w:t>
      </w:r>
    </w:p>
    <w:p>
      <w:pPr>
        <w:spacing w:after="160" w:line="276"/>
      </w:pPr>
      <w:r>
        <w:rPr>
          <w:sz w:val="21"/>
          <w:szCs w:val="21"/>
        </w:rPr>
        <w:t xml:space="preserve">The matrix below maps stakeholder needs to the requirements that satisfy them, together with the intended verification method and a reference to the corresponding test case series to be detailed in the Testing Report deliverable.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200"/>
      </w:tblGrid>
      <w:tr>
        <w:trPr>
          <w:tblHeader/>
        </w:trPr>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Stakeholder Need</w:t>
            </w:r>
          </w:p>
        </w:tc>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Satisfying Requirement(s)</w:t>
            </w:r>
          </w:p>
        </w:tc>
        <w:tc>
          <w:tcPr>
            <w:tcW w:type="dxa" w:w="18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Verification Method</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Test Case Ref.</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Provide visibility into authentication/access events</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FR-1.1–FR-1.6, FR-2.1–FR-2.2</w:t>
            </w:r>
          </w:p>
        </w:tc>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TC-ING-01…06</w:t>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Detect suspicious patterns automatically</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FR-3.1–FR-3.6</w:t>
            </w:r>
          </w:p>
        </w:tc>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TC-DET-01…05</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Notify analysts of detected issues promptly</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FR-4.1–FR-4.5, NFR-PERF-2</w:t>
            </w:r>
          </w:p>
        </w:tc>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 / Demonstration</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TC-ALT-01…04</w:t>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Summarize security posture at a glance</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FR-5.1–FR-5.4</w:t>
            </w:r>
          </w:p>
        </w:tc>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Demonstration</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TC-DASH-01…03</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Restrict access appropriately by role</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FR-6.1–FR-6.6, NFR-SEC-2</w:t>
            </w:r>
          </w:p>
        </w:tc>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TC-AUTH-01…06</w:t>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Provide accountability for actions taken</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FR-7.1–FR-7.4</w:t>
            </w:r>
          </w:p>
        </w:tc>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Test</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TC-AUD-01…03</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Protect the confidentiality/integrity of data</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NFR-SEC-1, NFR-SEC-3, NFR-SEC-4, FR-2.4</w:t>
            </w:r>
          </w:p>
        </w:tc>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Analysis / Test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TC-SEC-01…05</w:t>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Remain operable across deployment environments</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NFR-PORT-1–3, Section 2.4</w:t>
            </w:r>
          </w:p>
        </w:tc>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Inspection</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N/A — design review</w:t>
            </w:r>
          </w:p>
        </w:tc>
      </w:tr>
    </w:tbl>
    <w:p>
      <w:pPr>
        <w:spacing w:after="200"/>
      </w:pPr>
    </w:p>
    <w:p>
      <w:pPr>
        <w:pStyle w:val="Heading2"/>
        <w:spacing w:after="120" w:before="260"/>
      </w:pPr>
      <w:r>
        <w:rPr>
          <w:b/>
          <w:bCs/>
          <w:color w:val="2E5496"/>
        </w:rPr>
        <w:t xml:space="preserve">4.2 Verification Methods</w:t>
      </w:r>
    </w:p>
    <w:p>
      <w:pPr>
        <w:pStyle w:val="ListParagraph"/>
        <w:numPr>
          <w:ilvl w:val="0"/>
          <w:numId w:val="2"/>
        </w:numPr>
        <w:spacing w:after="80"/>
      </w:pPr>
      <w:r>
        <w:rPr>
          <w:sz w:val="21"/>
          <w:szCs w:val="21"/>
        </w:rPr>
        <w:t xml:space="preserve">Test — dynamic execution of the System against defined inputs, with a pass/fail outcome recorded in the Testing Report.</w:t>
      </w:r>
    </w:p>
    <w:p>
      <w:pPr>
        <w:pStyle w:val="ListParagraph"/>
        <w:numPr>
          <w:ilvl w:val="0"/>
          <w:numId w:val="2"/>
        </w:numPr>
        <w:spacing w:after="80"/>
      </w:pPr>
      <w:r>
        <w:rPr>
          <w:sz w:val="21"/>
          <w:szCs w:val="21"/>
        </w:rPr>
        <w:t xml:space="preserve">Demonstration — observation of System behaviour under representative operating conditions, without necessarily exercising boundary or negative cases.</w:t>
      </w:r>
    </w:p>
    <w:p>
      <w:pPr>
        <w:pStyle w:val="ListParagraph"/>
        <w:numPr>
          <w:ilvl w:val="0"/>
          <w:numId w:val="2"/>
        </w:numPr>
        <w:spacing w:after="80"/>
      </w:pPr>
      <w:r>
        <w:rPr>
          <w:sz w:val="21"/>
          <w:szCs w:val="21"/>
        </w:rPr>
        <w:t xml:space="preserve">Analysis — evaluation through calculation, modelling, or review of design artefacts rather than execution (e.g., reasoning about the availability target).</w:t>
      </w:r>
    </w:p>
    <w:p>
      <w:pPr>
        <w:pStyle w:val="ListParagraph"/>
        <w:numPr>
          <w:ilvl w:val="0"/>
          <w:numId w:val="2"/>
        </w:numPr>
        <w:spacing w:after="80"/>
      </w:pPr>
      <w:r>
        <w:rPr>
          <w:sz w:val="21"/>
          <w:szCs w:val="21"/>
        </w:rPr>
        <w:t xml:space="preserve">Inspection — visual or documentary examination of the System or its artefacts (e.g., confirming credential hashing in code review, confirming the data exchange contract is documented independently of transport).</w:t>
      </w:r>
    </w:p>
    <w:p>
      <w:pPr>
        <w:pStyle w:val="Heading2"/>
        <w:spacing w:after="120" w:before="260"/>
      </w:pPr>
      <w:r>
        <w:rPr>
          <w:b/>
          <w:bCs/>
          <w:color w:val="2E5496"/>
        </w:rPr>
        <w:t xml:space="preserve">4.3 Acceptance Criteria</w:t>
      </w:r>
    </w:p>
    <w:p>
      <w:pPr>
        <w:spacing w:after="160" w:line="276"/>
      </w:pPr>
      <w:r>
        <w:rPr>
          <w:sz w:val="21"/>
          <w:szCs w:val="21"/>
        </w:rPr>
        <w:t xml:space="preserve">A build of the System is considered acceptable for the examination baseline when all requirements marked "Must" priority in Section 3 have passed their designated verification method, and any "Should" or "Could" priority requirement not met is explicitly and consciously recorded as technical debt in the accompanying Technical Debt Plan, rather than silently omitted.</w:t>
      </w:r>
    </w:p>
    <w:p>
      <w:r>
        <w:br w:type="page"/>
      </w:r>
    </w:p>
    <w:p>
      <w:pPr>
        <w:pStyle w:val="Heading1"/>
        <w:pBdr>
          <w:bottom w:val="single" w:color="1F3864" w:sz="6" w:space="4"/>
        </w:pBdr>
        <w:spacing w:after="160" w:before="360"/>
      </w:pPr>
      <w:r>
        <w:rPr>
          <w:b/>
          <w:bCs/>
          <w:color w:val="1F3864"/>
        </w:rPr>
        <w:t xml:space="preserve">5. Appendices</w:t>
      </w:r>
    </w:p>
    <w:p>
      <w:pPr>
        <w:pStyle w:val="Heading2"/>
        <w:spacing w:after="120" w:before="260"/>
      </w:pPr>
      <w:r>
        <w:rPr>
          <w:b/>
          <w:bCs/>
          <w:color w:val="2E5496"/>
        </w:rPr>
        <w:t xml:space="preserve">Appendix A — Use Case Summary</w:t>
      </w:r>
    </w:p>
    <w:p>
      <w:pPr>
        <w:spacing w:after="160" w:line="276"/>
      </w:pPr>
      <w:r>
        <w:rPr>
          <w:sz w:val="21"/>
          <w:szCs w:val="21"/>
        </w:rPr>
        <w:t xml:space="preserve">The following use cases correspond to the functional requirement groups in Section 3.1 and may be elaborated with full use-case descriptions or diagrams in the System Design Specification.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tblGrid>
      <w:tr>
        <w:trPr>
          <w:tblHeader/>
        </w:trPr>
        <w:tc>
          <w:tcPr>
            <w:tcW w:type="dxa" w:w="2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Use Case</w:t>
            </w:r>
          </w:p>
        </w:tc>
        <w:tc>
          <w:tcPr>
            <w:tcW w:type="dxa" w:w="2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Primary Actor</w:t>
            </w:r>
          </w:p>
        </w:tc>
        <w:tc>
          <w:tcPr>
            <w:tcW w:type="dxa" w:w="3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Related Requirements</w:t>
            </w:r>
          </w:p>
        </w:tc>
      </w:tr>
      <w:tr>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UC-1 Submit Security Event</w:t>
            </w:r>
          </w:p>
        </w:tc>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Event Source</w:t>
            </w:r>
          </w:p>
        </w:tc>
        <w:tc>
          <w:tcPr>
            <w:tcW w:type="dxa" w:w="3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FR-1.1–FR-1.6</w:t>
            </w:r>
          </w:p>
        </w:tc>
      </w:tr>
      <w:tr>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UC-2 Query Historical Events</w:t>
            </w:r>
          </w:p>
        </w:tc>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Analyst, Auditor</w:t>
            </w:r>
          </w:p>
        </w:tc>
        <w:tc>
          <w:tcPr>
            <w:tcW w:type="dxa" w:w="3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FR-2.2, FR-5.2</w:t>
            </w:r>
          </w:p>
        </w:tc>
      </w:tr>
      <w:tr>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UC-3 Define / Modify Detection Rule</w:t>
            </w:r>
          </w:p>
        </w:tc>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Administrator</w:t>
            </w:r>
          </w:p>
        </w:tc>
        <w:tc>
          <w:tcPr>
            <w:tcW w:type="dxa" w:w="3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FR-3.1, FR-3.5, FR-3.6</w:t>
            </w:r>
          </w:p>
        </w:tc>
      </w:tr>
      <w:tr>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UC-4 Receive and Triage Alert</w:t>
            </w:r>
          </w:p>
        </w:tc>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Analyst</w:t>
            </w:r>
          </w:p>
        </w:tc>
        <w:tc>
          <w:tcPr>
            <w:tcW w:type="dxa" w:w="3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FR-4.1–FR-4.4</w:t>
            </w:r>
          </w:p>
        </w:tc>
      </w:tr>
      <w:tr>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UC-5 View Security Dashboard</w:t>
            </w:r>
          </w:p>
        </w:tc>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Analyst, Administrator, Auditor</w:t>
            </w:r>
          </w:p>
        </w:tc>
        <w:tc>
          <w:tcPr>
            <w:tcW w:type="dxa" w:w="3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FR-5.1, FR-5.3, FR-5.4</w:t>
            </w:r>
          </w:p>
        </w:tc>
      </w:tr>
      <w:tr>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UC-6 Authenticate to System</w:t>
            </w:r>
          </w:p>
        </w:tc>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All human user roles</w:t>
            </w:r>
          </w:p>
        </w:tc>
        <w:tc>
          <w:tcPr>
            <w:tcW w:type="dxa" w:w="3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FR-6.1, FR-6.5, FR-6.6</w:t>
            </w:r>
          </w:p>
        </w:tc>
      </w:tr>
      <w:tr>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UC-7 Manage User Accounts and Roles</w:t>
            </w:r>
          </w:p>
        </w:tc>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Administrator</w:t>
            </w:r>
          </w:p>
        </w:tc>
        <w:tc>
          <w:tcPr>
            <w:tcW w:type="dxa" w:w="3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FR-6.2, FR-6.3</w:t>
            </w:r>
          </w:p>
        </w:tc>
      </w:tr>
      <w:tr>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UC-8 Review Audit Trail</w:t>
            </w:r>
          </w:p>
        </w:tc>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Administrator, Auditor</w:t>
            </w:r>
          </w:p>
        </w:tc>
        <w:tc>
          <w:tcPr>
            <w:tcW w:type="dxa" w:w="3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FR-7.4</w:t>
            </w:r>
          </w:p>
        </w:tc>
      </w:tr>
    </w:tbl>
    <w:p>
      <w:pPr>
        <w:pStyle w:val="Heading2"/>
        <w:spacing w:after="120" w:before="260"/>
      </w:pPr>
      <w:r>
        <w:rPr>
          <w:b/>
          <w:bCs/>
          <w:color w:val="2E5496"/>
        </w:rPr>
        <w:t xml:space="preserve">Appendix B — Requirement Prioritisation Key (MoSCoW)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Priority</w:t>
            </w:r>
          </w:p>
        </w:tc>
        <w:tc>
          <w:tcPr>
            <w:tcW w:type="dxa" w:w="68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Meaning</w:t>
            </w:r>
          </w:p>
        </w:tc>
      </w:tr>
      <w:tr>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Must</w:t>
            </w:r>
          </w:p>
        </w:tc>
        <w:tc>
          <w:tcPr>
            <w:tcW w:type="dxa" w:w="6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Mandatory for the examination baseline to be considered functionally acceptable.</w:t>
            </w:r>
          </w:p>
        </w:tc>
      </w:tr>
      <w:tr>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Should</w:t>
            </w:r>
          </w:p>
        </w:tc>
        <w:tc>
          <w:tcPr>
            <w:tcW w:type="dxa" w:w="6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Important, expected to be delivered if time permits; omission must be documented as technical debt.</w:t>
            </w:r>
          </w:p>
        </w:tc>
      </w:tr>
      <w:tr>
        <w:tc>
          <w:tcPr>
            <w:tcW w:type="dxa" w:w="1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Could</w:t>
            </w:r>
          </w:p>
        </w:tc>
        <w:tc>
          <w:tcPr>
            <w:tcW w:type="dxa" w:w="68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Desirable, lowest-regret item to defer; explicitly treated as a future-evolution candidate.</w:t>
            </w:r>
          </w:p>
        </w:tc>
      </w:tr>
      <w:tr>
        <w:tc>
          <w:tcPr>
            <w:tcW w:type="dxa" w:w="1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Won't (this baseline)</w:t>
            </w:r>
          </w:p>
        </w:tc>
        <w:tc>
          <w:tcPr>
            <w:tcW w:type="dxa" w:w="68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Consciously excluded from the current scope; recorded for completeness only.</w:t>
            </w:r>
          </w:p>
        </w:tc>
      </w:tr>
    </w:tbl>
    <w:p>
      <w:pPr>
        <w:pStyle w:val="Heading2"/>
        <w:spacing w:after="120" w:before="260"/>
      </w:pPr>
      <w:r>
        <w:rPr>
          <w:b/>
          <w:bCs/>
          <w:color w:val="2E5496"/>
        </w:rPr>
        <w:t xml:space="preserve">Appendix C — Relationship to Other Project Documents</w:t>
      </w:r>
    </w:p>
    <w:p>
      <w:pPr>
        <w:spacing w:after="160" w:line="276"/>
      </w:pPr>
      <w:r>
        <w:rPr>
          <w:sz w:val="21"/>
          <w:szCs w:val="21"/>
        </w:rPr>
        <w:t xml:space="preserve">This SRS is one of several deliverables produced for the CSCD602 examination and is intended to be read alongside:</w:t>
      </w:r>
    </w:p>
    <w:p>
      <w:pPr>
        <w:pStyle w:val="ListParagraph"/>
        <w:numPr>
          <w:ilvl w:val="0"/>
          <w:numId w:val="2"/>
        </w:numPr>
        <w:spacing w:after="80"/>
      </w:pPr>
      <w:r>
        <w:rPr>
          <w:sz w:val="21"/>
          <w:szCs w:val="21"/>
        </w:rPr>
        <w:t xml:space="preserve">Software Effort Estimation Report — explains the technique used to size the effort implied by this SRS and how that estimate constrained the final scope.</w:t>
      </w:r>
    </w:p>
    <w:p>
      <w:pPr>
        <w:pStyle w:val="ListParagraph"/>
        <w:numPr>
          <w:ilvl w:val="0"/>
          <w:numId w:val="2"/>
        </w:numPr>
        <w:spacing w:after="80"/>
      </w:pPr>
      <w:r>
        <w:rPr>
          <w:sz w:val="21"/>
          <w:szCs w:val="21"/>
        </w:rPr>
        <w:t xml:space="preserve">System Design Specification — translates the requirements in Section 3 into an architecture, data model, and chosen technology stack.</w:t>
      </w:r>
    </w:p>
    <w:p>
      <w:pPr>
        <w:pStyle w:val="ListParagraph"/>
        <w:numPr>
          <w:ilvl w:val="0"/>
          <w:numId w:val="2"/>
        </w:numPr>
        <w:spacing w:after="80"/>
      </w:pPr>
      <w:r>
        <w:rPr>
          <w:sz w:val="21"/>
          <w:szCs w:val="21"/>
        </w:rPr>
        <w:t xml:space="preserve">Technical Debt Plan — records any "Should"/"Could" requirement not fully met in the baseline, with cause, impact, priority, and proposed resolution.</w:t>
      </w:r>
    </w:p>
    <w:p>
      <w:pPr>
        <w:pStyle w:val="ListParagraph"/>
        <w:numPr>
          <w:ilvl w:val="0"/>
          <w:numId w:val="2"/>
        </w:numPr>
        <w:spacing w:after="80"/>
      </w:pPr>
      <w:r>
        <w:rPr>
          <w:sz w:val="21"/>
          <w:szCs w:val="21"/>
        </w:rPr>
        <w:t xml:space="preserve">Testing Report — records the executed test cases referenced in Section 4.1 with expected/actual results.</w:t>
      </w:r>
    </w:p>
    <w:p>
      <w:pPr>
        <w:pStyle w:val="ListParagraph"/>
        <w:numPr>
          <w:ilvl w:val="0"/>
          <w:numId w:val="2"/>
        </w:numPr>
        <w:spacing w:after="80"/>
      </w:pPr>
      <w:r>
        <w:rPr>
          <w:sz w:val="21"/>
          <w:szCs w:val="21"/>
        </w:rPr>
        <w:t xml:space="preserve">Maintenance and Future Evolution Plan — describes how the System will evolve beyond the requirements captured here.</w:t>
      </w:r>
    </w:p>
    <w:p>
      <w:pPr>
        <w:pStyle w:val="Heading2"/>
        <w:spacing w:after="120" w:before="260"/>
      </w:pPr>
      <w:r>
        <w:rPr>
          <w:b/>
          <w:bCs/>
          <w:color w:val="2E5496"/>
        </w:rPr>
        <w:t xml:space="preserve">Appendix D — Glossary Cross-Reference</w:t>
      </w:r>
    </w:p>
    <w:p>
      <w:pPr>
        <w:spacing w:after="160" w:line="276"/>
      </w:pPr>
      <w:r>
        <w:rPr>
          <w:sz w:val="21"/>
          <w:szCs w:val="21"/>
        </w:rPr>
        <w:t xml:space="preserve">See Section 1.3 for the full glossary of terms and acronyms used throughout this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DE" w:sz="4"/>
      </w:pBdr>
      <w:jc w:val="right"/>
    </w:pPr>
    <w:r>
      <w:rPr>
        <w:i/>
        <w:iCs/>
        <w:color w:val="595959"/>
        <w:sz w:val="16"/>
        <w:szCs w:val="16"/>
      </w:rPr>
      <w:t xml:space="preserve">SRS-MSIEM-001  |  Mini-SIEM System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Mini-SIEM System (ISO/IEC/IEEE 29148:2018)</dc:title>
  <dc:creator>CLET DTI</dc:creator>
  <cp:lastModifiedBy>Un-named</cp:lastModifiedBy>
  <cp:revision>1</cp:revision>
  <dcterms:created xsi:type="dcterms:W3CDTF">2026-08-13T20:11:34.416Z</dcterms:created>
  <dcterms:modified xsi:type="dcterms:W3CDTF">2026-08-13T20:11:34.431Z</dcterms:modified>
</cp:coreProperties>
</file>

<file path=docProps/custom.xml><?xml version="1.0" encoding="utf-8"?>
<Properties xmlns="http://schemas.openxmlformats.org/officeDocument/2006/custom-properties" xmlns:vt="http://schemas.openxmlformats.org/officeDocument/2006/docPropsVTypes"/>
</file>