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2EC1" w14:textId="77777777" w:rsidR="00033B20" w:rsidRDefault="00033B20">
      <w:r>
        <w:t xml:space="preserve">PROG7312 </w:t>
      </w:r>
    </w:p>
    <w:p w14:paraId="75B65583" w14:textId="4276F94F" w:rsidR="00033B20" w:rsidRDefault="00033B20">
      <w:r>
        <w:t>Part 1</w:t>
      </w:r>
    </w:p>
    <w:p w14:paraId="44350E6B" w14:textId="17B2CA10" w:rsidR="00033B20" w:rsidRDefault="00033B20">
      <w:r>
        <w:t>Kuan-Chi Fang</w:t>
      </w:r>
    </w:p>
    <w:p w14:paraId="7D201F50" w14:textId="0FBD59C3" w:rsidR="00033B20" w:rsidRDefault="00033B20">
      <w:r>
        <w:t>ST10041814</w:t>
      </w:r>
    </w:p>
    <w:p w14:paraId="6E294AE7" w14:textId="77777777" w:rsidR="00033B20" w:rsidRDefault="00033B20">
      <w:r>
        <w:br w:type="page"/>
      </w:r>
    </w:p>
    <w:p w14:paraId="71637646" w14:textId="6B778A4D" w:rsidR="00033B20" w:rsidRDefault="00BA4DB7">
      <w:r>
        <w:lastRenderedPageBreak/>
        <w:t xml:space="preserve">Task 1: Research </w:t>
      </w:r>
    </w:p>
    <w:p w14:paraId="7EE64AEB" w14:textId="66D0BFC5" w:rsidR="001E37B0" w:rsidRDefault="001E37B0">
      <w:pPr>
        <w:rPr>
          <w:rFonts w:hint="eastAsia"/>
        </w:rPr>
      </w:pPr>
      <w:r>
        <w:rPr>
          <w:rFonts w:hint="eastAsia"/>
        </w:rPr>
        <w:t xml:space="preserve">The Smart-X </w:t>
      </w:r>
      <w:r>
        <w:t>uses</w:t>
      </w:r>
      <w:r>
        <w:rPr>
          <w:rFonts w:hint="eastAsia"/>
        </w:rPr>
        <w:t xml:space="preserve"> a real-time </w:t>
      </w:r>
      <w:r>
        <w:t>dashboard</w:t>
      </w:r>
      <w:r>
        <w:rPr>
          <w:rFonts w:hint="eastAsia"/>
        </w:rPr>
        <w:t xml:space="preserve"> that combines </w:t>
      </w:r>
      <w:r>
        <w:t>visual</w:t>
      </w:r>
      <w:r>
        <w:rPr>
          <w:rFonts w:hint="eastAsia"/>
        </w:rPr>
        <w:t xml:space="preserve"> threshold bands, </w:t>
      </w:r>
      <w:r>
        <w:t>severity alerts, sensor monitoring and guided troubleshooting. This is appropriate for converting the heterogeneous telemetry into a visual data state for action and analysis.</w:t>
      </w:r>
    </w:p>
    <w:p w14:paraId="2FA1673C" w14:textId="48F4354B" w:rsidR="00BA4DB7" w:rsidRDefault="001E37B0">
      <w:r>
        <w:t xml:space="preserve">Five </w:t>
      </w:r>
      <w:r w:rsidR="00BA4DB7">
        <w:t>Strategies:</w:t>
      </w:r>
    </w:p>
    <w:p w14:paraId="18B8801A" w14:textId="590D871E" w:rsidR="00BA4DB7" w:rsidRDefault="00BA4DB7">
      <w:r>
        <w:t>1: Real-time anomaly visualization</w:t>
      </w:r>
    </w:p>
    <w:p w14:paraId="20076D77" w14:textId="1C06538B" w:rsidR="001E37B0" w:rsidRDefault="001E37B0">
      <w:r>
        <w:t xml:space="preserve">Display the status and data </w:t>
      </w:r>
      <w:r w:rsidR="00034D91">
        <w:t>in dashboard to enable user to analysis.</w:t>
      </w:r>
    </w:p>
    <w:p w14:paraId="759B12FF" w14:textId="77777777" w:rsidR="00034D91" w:rsidRDefault="00034D91"/>
    <w:p w14:paraId="03B5C6A1" w14:textId="15279A65" w:rsidR="00BA4DB7" w:rsidRDefault="00BA4DB7">
      <w:r>
        <w:t>2: Severity-based proactive alerts</w:t>
      </w:r>
    </w:p>
    <w:p w14:paraId="0D73EC6C" w14:textId="796559AB" w:rsidR="00034D91" w:rsidRDefault="00034D91">
      <w:r>
        <w:t xml:space="preserve">Classifies the issues or problems when the </w:t>
      </w:r>
      <w:r w:rsidR="001D5026">
        <w:t>alert</w:t>
      </w:r>
      <w:r>
        <w:t xml:space="preserve"> </w:t>
      </w:r>
      <w:r w:rsidR="003D5683">
        <w:t>triggers</w:t>
      </w:r>
      <w:r>
        <w:t>, and automatically message or informs the user before they search it manually.</w:t>
      </w:r>
    </w:p>
    <w:p w14:paraId="66B7A81E" w14:textId="77777777" w:rsidR="00034D91" w:rsidRDefault="00034D91"/>
    <w:p w14:paraId="552B2661" w14:textId="2EB97831" w:rsidR="00BA4DB7" w:rsidRDefault="00BA4DB7">
      <w:r>
        <w:t xml:space="preserve">3: Interactive filtering </w:t>
      </w:r>
    </w:p>
    <w:p w14:paraId="13E7820D" w14:textId="166F2507" w:rsidR="00034D91" w:rsidRDefault="00034D91">
      <w:r>
        <w:t>Filtering can reduce the amount of data or information shown on the dashboard, where thousands of sensors can be difficult to examine or test one of each, but only shows the relevant devices. When displaying the</w:t>
      </w:r>
      <w:r w:rsidR="001D5026">
        <w:t xml:space="preserve"> details, the system will drill down the information to avoid all investigating problems overcrowding the dashboard interface.</w:t>
      </w:r>
    </w:p>
    <w:p w14:paraId="409CF8ED" w14:textId="77777777" w:rsidR="001D5026" w:rsidRDefault="001D5026"/>
    <w:p w14:paraId="69E41818" w14:textId="59F98F96" w:rsidR="00BA4DB7" w:rsidRDefault="00BA4DB7">
      <w:r>
        <w:t>4: Guided troubleshooting workflow</w:t>
      </w:r>
    </w:p>
    <w:p w14:paraId="3F6E1436" w14:textId="5D622ABC" w:rsidR="003D5683" w:rsidRDefault="003D5683">
      <w:r>
        <w:t>This strategy does more than inform the user when the device causes issues. It provides a clear sequence to troubleshoot the problem. Which can help the user configure the device in hardware or software configuration.</w:t>
      </w:r>
    </w:p>
    <w:p w14:paraId="3322BF2B" w14:textId="77777777" w:rsidR="003D5683" w:rsidRDefault="003D5683"/>
    <w:p w14:paraId="450EC3CD" w14:textId="77777777" w:rsidR="001821A2" w:rsidRDefault="00BA4DB7">
      <w:r>
        <w:t>5: Simplified onboarding</w:t>
      </w:r>
    </w:p>
    <w:p w14:paraId="4D0A7599" w14:textId="4E0DF972" w:rsidR="00BA4DB7" w:rsidRDefault="001821A2">
      <w:r>
        <w:t>It is the interface</w:t>
      </w:r>
      <w:r w:rsidR="00BA4DB7">
        <w:t xml:space="preserve"> progressive disclosure </w:t>
      </w:r>
      <w:r>
        <w:t>that helps the user focus on the essential information and configure or operate the Smart-X, unlike the Severity alerts, it guides the user when they interact with the system, especially when they register the device or examine the devices.</w:t>
      </w:r>
    </w:p>
    <w:p w14:paraId="1CCA13D3" w14:textId="77777777" w:rsidR="003D5683" w:rsidRDefault="003D5683"/>
    <w:p w14:paraId="5873EF6B" w14:textId="77777777" w:rsidR="00BD2751" w:rsidRDefault="00BD2751" w:rsidP="00BD2751">
      <w:r>
        <w:t>Chosen strategy and justification</w:t>
      </w:r>
    </w:p>
    <w:p w14:paraId="72B4C422" w14:textId="77777777" w:rsidR="00BD2751" w:rsidRDefault="00BD2751" w:rsidP="00BD2751"/>
    <w:p w14:paraId="1BD52FDC" w14:textId="0E816F57" w:rsidR="00BD2751" w:rsidRDefault="00BD2751" w:rsidP="00BD2751">
      <w:r>
        <w:t>The selected strategy is a real-time anomaly dashboard with severity alerts and guided troubleshooting. Smart-X receives continuous readings with different meanings and types, including temperature floats, power integers and actuator Boolean states. A raw table forces an operator to compare each value manually. Instead, the dashboard should plot each numeric stream as a time series, overlay its configured safe range and mark out</w:t>
      </w:r>
      <w:r>
        <w:t xml:space="preserve"> </w:t>
      </w:r>
      <w:r>
        <w:t>of</w:t>
      </w:r>
      <w:r>
        <w:t xml:space="preserve"> </w:t>
      </w:r>
      <w:r>
        <w:t xml:space="preserve">range points </w:t>
      </w:r>
      <w:r>
        <w:t>now</w:t>
      </w:r>
      <w:r>
        <w:t xml:space="preserve"> they occur. </w:t>
      </w:r>
      <w:r w:rsidR="00F439BE">
        <w:t>IoT</w:t>
      </w:r>
      <w:r>
        <w:t xml:space="preserve"> research shows that abnormality may appear as an isolated point, a changed subsequence or an unusual relationship between several signals [1], [2]. Smart-X should therefore begin with transparent range and timeout rules while retaining a design that can later accept statistical or learned detectors.</w:t>
      </w:r>
    </w:p>
    <w:p w14:paraId="5C99C6CA" w14:textId="77777777" w:rsidR="00BD2751" w:rsidRDefault="00BD2751" w:rsidP="00BD2751"/>
    <w:p w14:paraId="126C123F" w14:textId="24E68618" w:rsidR="00BD2751" w:rsidRDefault="00BD2751" w:rsidP="00BD2751">
      <w:r>
        <w:t xml:space="preserve">The display should apply an </w:t>
      </w:r>
      <w:r>
        <w:t>overview first</w:t>
      </w:r>
      <w:r>
        <w:t>, details</w:t>
      </w:r>
      <w:r w:rsidR="00EA3AE8">
        <w:t xml:space="preserve"> </w:t>
      </w:r>
      <w:r>
        <w:t>on</w:t>
      </w:r>
      <w:r w:rsidR="00EA3AE8">
        <w:t xml:space="preserve"> </w:t>
      </w:r>
      <w:r>
        <w:t xml:space="preserve">demand structure. A landing view reports the number of online, warning, critical and disconnected devices. </w:t>
      </w:r>
      <w:r>
        <w:t>Color</w:t>
      </w:r>
      <w:r>
        <w:t xml:space="preserve">, icons and text labels are used together, so status is not communicated through </w:t>
      </w:r>
      <w:r>
        <w:t>color</w:t>
      </w:r>
      <w:r>
        <w:t xml:space="preserve"> alone. Selecting an alert opens the relevant sensor profile and a focused time window containing the event. Interactive filters for facility, zone, category and severity reduce visual</w:t>
      </w:r>
      <w:r w:rsidR="00EA3AE8">
        <w:t xml:space="preserve">. </w:t>
      </w:r>
      <w:r>
        <w:t xml:space="preserve">In Smart-X, location and </w:t>
      </w:r>
      <w:r>
        <w:t>neighboring</w:t>
      </w:r>
      <w:r>
        <w:t xml:space="preserve"> readings give an anomaly operational meaning rather than presenting an unexplained red value.</w:t>
      </w:r>
    </w:p>
    <w:p w14:paraId="5704ACB7" w14:textId="77777777" w:rsidR="00BD2751" w:rsidRDefault="00BD2751" w:rsidP="00BD2751"/>
    <w:p w14:paraId="6962BA4D" w14:textId="3F7678B9" w:rsidR="00BD2751" w:rsidRDefault="00BD2751" w:rsidP="00BD2751">
      <w:r>
        <w:t>A spike is detected when a reading crosses its configured limit or changes unusually quickly. The chart highlights that point, displays the actual and expected values and preserves readings for comparison. A disconnect is inferred from absence</w:t>
      </w:r>
      <w:r w:rsidR="002E21F8">
        <w:t xml:space="preserve"> that</w:t>
      </w:r>
      <w:r>
        <w:t xml:space="preserve"> sensor has an expected reporting interval, and a heartbeat timer changes its state to warning and then critical when packets are late. The interface must show the last</w:t>
      </w:r>
      <w:r w:rsidR="002E21F8">
        <w:t xml:space="preserve"> </w:t>
      </w:r>
      <w:r>
        <w:t>seen timestamp and elapsed silence. This prevents missing data from looking like a harmless flat line. Real-time IoT monitoring studies demonstrate the practical value of combining acquisition, anomaly detection and immediate visual monitoring in one pipeline [</w:t>
      </w:r>
      <w:r w:rsidR="00F439BE">
        <w:t>3</w:t>
      </w:r>
      <w:r>
        <w:t>].</w:t>
      </w:r>
    </w:p>
    <w:p w14:paraId="0B92034D" w14:textId="77777777" w:rsidR="00BD2751" w:rsidRDefault="00BD2751" w:rsidP="00BD2751"/>
    <w:p w14:paraId="2D9B9182" w14:textId="321F07D0" w:rsidR="00BD2751" w:rsidRDefault="00BD2751" w:rsidP="00BD2751">
      <w:r>
        <w:lastRenderedPageBreak/>
        <w:t xml:space="preserve">Finally, each alert should provide a short diagnostic path: confirm the latest packet, inspect </w:t>
      </w:r>
      <w:r>
        <w:t>neighboring</w:t>
      </w:r>
      <w:r>
        <w:t xml:space="preserve"> sensors, check power or network status, review the uploaded configuration or log, and acknowledge or escalate the incident. This is not automatic fault diagnosis. Alert severity should be derived from magnitude, duration, sensor category and disconnection time, with </w:t>
      </w:r>
      <w:r>
        <w:t>reason</w:t>
      </w:r>
      <w:r>
        <w:t xml:space="preserve"> visible to the operator. The resulting workflow shortens the path from noticing an abnormal state to investigating its probable cause, </w:t>
      </w:r>
      <w:r w:rsidR="002E21F8">
        <w:t xml:space="preserve">this </w:t>
      </w:r>
      <w:r>
        <w:t xml:space="preserve">avoiding alert overload. </w:t>
      </w:r>
    </w:p>
    <w:p w14:paraId="4429ED3C" w14:textId="77777777" w:rsidR="00BD2751" w:rsidRDefault="00BD2751" w:rsidP="00BD2751"/>
    <w:p w14:paraId="177EFBCE" w14:textId="2210CDE8" w:rsidR="00BD2751" w:rsidRDefault="002E21F8" w:rsidP="00BD2751">
      <w:r w:rsidRPr="002E21F8">
        <w:drawing>
          <wp:inline distT="0" distB="0" distL="0" distR="0" wp14:anchorId="165354A1" wp14:editId="715D4444">
            <wp:extent cx="5486400" cy="828675"/>
            <wp:effectExtent l="0" t="0" r="0" b="9525"/>
            <wp:docPr id="9734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85101" name=""/>
                    <pic:cNvPicPr/>
                  </pic:nvPicPr>
                  <pic:blipFill>
                    <a:blip r:embed="rId5"/>
                    <a:stretch>
                      <a:fillRect/>
                    </a:stretch>
                  </pic:blipFill>
                  <pic:spPr>
                    <a:xfrm>
                      <a:off x="0" y="0"/>
                      <a:ext cx="5486400" cy="828675"/>
                    </a:xfrm>
                    <a:prstGeom prst="rect">
                      <a:avLst/>
                    </a:prstGeom>
                  </pic:spPr>
                </pic:pic>
              </a:graphicData>
            </a:graphic>
          </wp:inline>
        </w:drawing>
      </w:r>
    </w:p>
    <w:p w14:paraId="286FBF1A" w14:textId="118A7FDC" w:rsidR="00F439BE" w:rsidRDefault="00BD2751" w:rsidP="00BD2751">
      <w:r>
        <w:t>Figure 1. Smart-X anomaly</w:t>
      </w:r>
      <w:r>
        <w:t xml:space="preserve"> </w:t>
      </w:r>
      <w:r>
        <w:t>to</w:t>
      </w:r>
      <w:r>
        <w:t xml:space="preserve"> </w:t>
      </w:r>
      <w:r>
        <w:t>action interaction workflow.</w:t>
      </w:r>
    </w:p>
    <w:p w14:paraId="0957D392" w14:textId="77777777" w:rsidR="00F439BE" w:rsidRDefault="00F439BE">
      <w:r>
        <w:br w:type="page"/>
      </w:r>
    </w:p>
    <w:sdt>
      <w:sdtPr>
        <w:id w:val="81351210"/>
        <w:docPartObj>
          <w:docPartGallery w:val="Bibliographies"/>
          <w:docPartUnique/>
        </w:docPartObj>
      </w:sdtPr>
      <w:sdtEndPr>
        <w:rPr>
          <w:rFonts w:asciiTheme="minorHAnsi" w:eastAsiaTheme="minorEastAsia" w:hAnsiTheme="minorHAnsi" w:cstheme="minorBidi"/>
          <w:color w:val="auto"/>
          <w:sz w:val="24"/>
          <w:szCs w:val="24"/>
        </w:rPr>
      </w:sdtEndPr>
      <w:sdtContent>
        <w:p w14:paraId="0FF1FF44" w14:textId="1AC2A482" w:rsidR="00F439BE" w:rsidRDefault="00F439BE">
          <w:pPr>
            <w:pStyle w:val="Heading1"/>
          </w:pPr>
          <w:r>
            <w:t>References</w:t>
          </w:r>
        </w:p>
        <w:sdt>
          <w:sdtPr>
            <w:id w:val="-573587230"/>
            <w:bibliography/>
          </w:sdtPr>
          <w:sdtContent>
            <w:p w14:paraId="529B8541" w14:textId="77777777" w:rsidR="00F439BE" w:rsidRPr="00F439BE" w:rsidRDefault="00F439BE" w:rsidP="00F439BE">
              <w:r w:rsidRPr="00F439BE">
                <w:t xml:space="preserve">[1] A. A. Cook, G. </w:t>
              </w:r>
              <w:proofErr w:type="spellStart"/>
              <w:r w:rsidRPr="00F439BE">
                <w:t>Misirli</w:t>
              </w:r>
              <w:proofErr w:type="spellEnd"/>
              <w:r w:rsidRPr="00F439BE">
                <w:t xml:space="preserve"> and Z. Fan, “Anomaly detection for IoT time-series data: A survey,” IEEE Internet of Things Journal, vol. 7, no. 7, pp. 6481–6494, 2020, </w:t>
              </w:r>
              <w:proofErr w:type="spellStart"/>
              <w:r w:rsidRPr="00F439BE">
                <w:t>doi</w:t>
              </w:r>
              <w:proofErr w:type="spellEnd"/>
              <w:r w:rsidRPr="00F439BE">
                <w:t>: 10.1109/JIOT.2019.2958185.</w:t>
              </w:r>
            </w:p>
            <w:p w14:paraId="3353F6C4" w14:textId="77777777" w:rsidR="00F439BE" w:rsidRPr="00F439BE" w:rsidRDefault="00F439BE" w:rsidP="00F439BE">
              <w:r w:rsidRPr="00F439BE">
                <w:t xml:space="preserve">[2] S. Schmidl, P. Wenig and T. </w:t>
              </w:r>
              <w:proofErr w:type="spellStart"/>
              <w:r w:rsidRPr="00F439BE">
                <w:t>Papenbrock</w:t>
              </w:r>
              <w:proofErr w:type="spellEnd"/>
              <w:r w:rsidRPr="00F439BE">
                <w:t xml:space="preserve">, “Anomaly detection in time series: A comprehensive evaluation,” Proceedings of the VLDB Endowment, vol. 15, no. 9, pp. 1779–1797, 2022, </w:t>
              </w:r>
              <w:proofErr w:type="spellStart"/>
              <w:r w:rsidRPr="00F439BE">
                <w:t>doi</w:t>
              </w:r>
              <w:proofErr w:type="spellEnd"/>
              <w:r w:rsidRPr="00F439BE">
                <w:t>: 10.14778/3538598.3538602.</w:t>
              </w:r>
            </w:p>
            <w:p w14:paraId="0E68B512" w14:textId="1FFE3373" w:rsidR="00F439BE" w:rsidRPr="00F439BE" w:rsidRDefault="00F439BE" w:rsidP="00F439BE">
              <w:r w:rsidRPr="00F439BE">
                <w:t>[</w:t>
              </w:r>
              <w:r>
                <w:t>3</w:t>
              </w:r>
              <w:r w:rsidRPr="00F439BE">
                <w:t xml:space="preserve">] R. Bin Mofidul, M. M. Alam, M. H. Rahman and Y. M. Jang, “Real-time energy data acquisition, anomaly detection, and monitoring system: Implementation of a secured, robust, and integrated global </w:t>
              </w:r>
              <w:proofErr w:type="spellStart"/>
              <w:r w:rsidRPr="00F439BE">
                <w:t>IIoT</w:t>
              </w:r>
              <w:proofErr w:type="spellEnd"/>
              <w:r w:rsidRPr="00F439BE">
                <w:t xml:space="preserve"> infrastructure,” Sensors, vol. 22, no. 22, art. 8980, 2022, </w:t>
              </w:r>
              <w:proofErr w:type="spellStart"/>
              <w:r w:rsidRPr="00F439BE">
                <w:t>doi</w:t>
              </w:r>
              <w:proofErr w:type="spellEnd"/>
              <w:r w:rsidRPr="00F439BE">
                <w:t>: 10.3390/s22228980.</w:t>
              </w:r>
            </w:p>
            <w:p w14:paraId="51DA9B69" w14:textId="298E417B" w:rsidR="00F439BE" w:rsidRDefault="00F439BE">
              <w:r w:rsidRPr="00F439BE">
                <w:t>[</w:t>
              </w:r>
              <w:r>
                <w:t>4</w:t>
              </w:r>
              <w:r w:rsidRPr="00F439BE">
                <w:t xml:space="preserve">] </w:t>
              </w:r>
              <w:proofErr w:type="spellStart"/>
              <w:r w:rsidRPr="00F439BE">
                <w:t>xAI</w:t>
              </w:r>
              <w:proofErr w:type="spellEnd"/>
              <w:r w:rsidRPr="00F439BE">
                <w:t xml:space="preserve">, Grok, (2026). </w:t>
              </w:r>
              <w:proofErr w:type="spellStart"/>
              <w:r w:rsidRPr="00F439BE">
                <w:t>xAI</w:t>
              </w:r>
              <w:proofErr w:type="spellEnd"/>
              <w:r w:rsidRPr="00F439BE">
                <w:t>. Accessed: Sep. 14, 2026. [Online]. Available: https://grok.x.ai</w:t>
              </w:r>
            </w:p>
          </w:sdtContent>
        </w:sdt>
      </w:sdtContent>
    </w:sdt>
    <w:p w14:paraId="05508C57" w14:textId="77777777" w:rsidR="00F439BE" w:rsidRPr="00F439BE" w:rsidRDefault="00F439BE" w:rsidP="00F439BE">
      <w:r w:rsidRPr="00F439BE">
        <w:t>The authors used Grok (</w:t>
      </w:r>
      <w:proofErr w:type="spellStart"/>
      <w:r w:rsidRPr="00F439BE">
        <w:t>xAI</w:t>
      </w:r>
      <w:proofErr w:type="spellEnd"/>
      <w:r w:rsidRPr="00F439BE">
        <w:t>) to assist in refining the descriptions of the five dashboard interactivity strategies and for language polishing in Sections III and IV. All content was reviewed, verified, and rewritten by the authors.</w:t>
      </w:r>
    </w:p>
    <w:p w14:paraId="073EDBFF" w14:textId="77777777" w:rsidR="00BA4DB7" w:rsidRDefault="00BA4DB7" w:rsidP="00BD2751">
      <w:pPr>
        <w:rPr>
          <w:rFonts w:hint="eastAsia"/>
        </w:rPr>
      </w:pPr>
    </w:p>
    <w:sectPr w:rsidR="00BA4D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B20"/>
    <w:rsid w:val="00033B20"/>
    <w:rsid w:val="00034D91"/>
    <w:rsid w:val="001821A2"/>
    <w:rsid w:val="001D5026"/>
    <w:rsid w:val="001E37B0"/>
    <w:rsid w:val="002176E9"/>
    <w:rsid w:val="002E21F8"/>
    <w:rsid w:val="003D5683"/>
    <w:rsid w:val="00BA4DB7"/>
    <w:rsid w:val="00BD2751"/>
    <w:rsid w:val="00EA3AE8"/>
    <w:rsid w:val="00F439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37FB"/>
  <w15:chartTrackingRefBased/>
  <w15:docId w15:val="{D8D070D9-95D0-45F0-B842-21434E0F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B20"/>
    <w:rPr>
      <w:rFonts w:eastAsiaTheme="majorEastAsia" w:cstheme="majorBidi"/>
      <w:color w:val="272727" w:themeColor="text1" w:themeTint="D8"/>
    </w:rPr>
  </w:style>
  <w:style w:type="paragraph" w:styleId="Title">
    <w:name w:val="Title"/>
    <w:basedOn w:val="Normal"/>
    <w:next w:val="Normal"/>
    <w:link w:val="TitleChar"/>
    <w:uiPriority w:val="10"/>
    <w:qFormat/>
    <w:rsid w:val="00033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B20"/>
    <w:pPr>
      <w:spacing w:before="160"/>
      <w:jc w:val="center"/>
    </w:pPr>
    <w:rPr>
      <w:i/>
      <w:iCs/>
      <w:color w:val="404040" w:themeColor="text1" w:themeTint="BF"/>
    </w:rPr>
  </w:style>
  <w:style w:type="character" w:customStyle="1" w:styleId="QuoteChar">
    <w:name w:val="Quote Char"/>
    <w:basedOn w:val="DefaultParagraphFont"/>
    <w:link w:val="Quote"/>
    <w:uiPriority w:val="29"/>
    <w:rsid w:val="00033B20"/>
    <w:rPr>
      <w:i/>
      <w:iCs/>
      <w:color w:val="404040" w:themeColor="text1" w:themeTint="BF"/>
    </w:rPr>
  </w:style>
  <w:style w:type="paragraph" w:styleId="ListParagraph">
    <w:name w:val="List Paragraph"/>
    <w:basedOn w:val="Normal"/>
    <w:uiPriority w:val="34"/>
    <w:qFormat/>
    <w:rsid w:val="00033B20"/>
    <w:pPr>
      <w:ind w:left="720"/>
      <w:contextualSpacing/>
    </w:pPr>
  </w:style>
  <w:style w:type="character" w:styleId="IntenseEmphasis">
    <w:name w:val="Intense Emphasis"/>
    <w:basedOn w:val="DefaultParagraphFont"/>
    <w:uiPriority w:val="21"/>
    <w:qFormat/>
    <w:rsid w:val="00033B20"/>
    <w:rPr>
      <w:i/>
      <w:iCs/>
      <w:color w:val="0F4761" w:themeColor="accent1" w:themeShade="BF"/>
    </w:rPr>
  </w:style>
  <w:style w:type="paragraph" w:styleId="IntenseQuote">
    <w:name w:val="Intense Quote"/>
    <w:basedOn w:val="Normal"/>
    <w:next w:val="Normal"/>
    <w:link w:val="IntenseQuoteChar"/>
    <w:uiPriority w:val="30"/>
    <w:qFormat/>
    <w:rsid w:val="00033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B20"/>
    <w:rPr>
      <w:i/>
      <w:iCs/>
      <w:color w:val="0F4761" w:themeColor="accent1" w:themeShade="BF"/>
    </w:rPr>
  </w:style>
  <w:style w:type="character" w:styleId="IntenseReference">
    <w:name w:val="Intense Reference"/>
    <w:basedOn w:val="DefaultParagraphFont"/>
    <w:uiPriority w:val="32"/>
    <w:qFormat/>
    <w:rsid w:val="00033B20"/>
    <w:rPr>
      <w:b/>
      <w:bCs/>
      <w:smallCaps/>
      <w:color w:val="0F4761" w:themeColor="accent1" w:themeShade="BF"/>
      <w:spacing w:val="5"/>
    </w:rPr>
  </w:style>
  <w:style w:type="paragraph" w:styleId="NormalWeb">
    <w:name w:val="Normal (Web)"/>
    <w:basedOn w:val="Normal"/>
    <w:uiPriority w:val="99"/>
    <w:semiHidden/>
    <w:unhideWhenUsed/>
    <w:rsid w:val="00F439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E94C33-21C0-4BF2-835E-00275C04F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Kuan-Chi Fang</dc:creator>
  <cp:keywords/>
  <dc:description/>
  <cp:lastModifiedBy>Kuan-Chi Fang</cp:lastModifiedBy>
  <cp:revision>2</cp:revision>
  <dcterms:created xsi:type="dcterms:W3CDTF">2026-09-14T17:30:00Z</dcterms:created>
  <dcterms:modified xsi:type="dcterms:W3CDTF">2026-09-14T17:30:00Z</dcterms:modified>
</cp:coreProperties>
</file>