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A5DD2" w14:textId="77777777" w:rsidR="006B39B0" w:rsidRPr="006B39B0" w:rsidRDefault="006B39B0" w:rsidP="006B39B0">
      <w:pPr>
        <w:jc w:val="center"/>
        <w:rPr>
          <w:rFonts w:ascii="標楷體" w:eastAsia="標楷體" w:hAnsi="標楷體"/>
          <w:sz w:val="44"/>
          <w:szCs w:val="40"/>
        </w:rPr>
      </w:pPr>
    </w:p>
    <w:p w14:paraId="017CAA67" w14:textId="77777777" w:rsidR="006B39B0" w:rsidRPr="006B39B0" w:rsidRDefault="006B39B0" w:rsidP="006B39B0">
      <w:pPr>
        <w:jc w:val="center"/>
        <w:rPr>
          <w:rFonts w:ascii="標楷體" w:eastAsia="標楷體" w:hAnsi="標楷體"/>
          <w:sz w:val="44"/>
          <w:szCs w:val="40"/>
        </w:rPr>
      </w:pPr>
    </w:p>
    <w:p w14:paraId="2D7D83DB" w14:textId="77777777" w:rsidR="006B39B0" w:rsidRPr="006B39B0" w:rsidRDefault="006B39B0" w:rsidP="006B39B0">
      <w:pPr>
        <w:jc w:val="center"/>
        <w:rPr>
          <w:rFonts w:ascii="標楷體" w:eastAsia="標楷體" w:hAnsi="標楷體"/>
          <w:sz w:val="44"/>
          <w:szCs w:val="40"/>
        </w:rPr>
      </w:pPr>
    </w:p>
    <w:p w14:paraId="5D73E607" w14:textId="77777777" w:rsidR="006B39B0" w:rsidRPr="006B39B0" w:rsidRDefault="006B39B0" w:rsidP="006B39B0">
      <w:pPr>
        <w:jc w:val="center"/>
        <w:rPr>
          <w:rFonts w:ascii="標楷體" w:eastAsia="標楷體" w:hAnsi="標楷體"/>
          <w:sz w:val="44"/>
          <w:szCs w:val="40"/>
        </w:rPr>
      </w:pPr>
    </w:p>
    <w:p w14:paraId="0AF6FB52" w14:textId="77777777" w:rsidR="006B39B0" w:rsidRPr="006B39B0" w:rsidRDefault="006B39B0" w:rsidP="006B39B0">
      <w:pPr>
        <w:jc w:val="center"/>
        <w:rPr>
          <w:rFonts w:ascii="標楷體" w:eastAsia="標楷體" w:hAnsi="標楷體"/>
          <w:sz w:val="44"/>
          <w:szCs w:val="40"/>
        </w:rPr>
      </w:pPr>
    </w:p>
    <w:p w14:paraId="5F523120" w14:textId="77777777" w:rsidR="006B39B0" w:rsidRPr="006B39B0" w:rsidRDefault="006B39B0" w:rsidP="006B39B0">
      <w:pPr>
        <w:jc w:val="center"/>
        <w:rPr>
          <w:rFonts w:ascii="標楷體" w:eastAsia="標楷體" w:hAnsi="標楷體"/>
          <w:sz w:val="44"/>
          <w:szCs w:val="40"/>
        </w:rPr>
      </w:pPr>
    </w:p>
    <w:p w14:paraId="7160C968" w14:textId="40142167" w:rsidR="006B39B0" w:rsidRPr="00543AF9" w:rsidRDefault="006B39B0" w:rsidP="006B39B0">
      <w:pPr>
        <w:jc w:val="center"/>
        <w:rPr>
          <w:rFonts w:ascii="標楷體" w:eastAsia="標楷體" w:hAnsi="標楷體"/>
          <w:sz w:val="48"/>
          <w:szCs w:val="44"/>
        </w:rPr>
      </w:pPr>
      <w:r w:rsidRPr="00543AF9">
        <w:rPr>
          <w:rFonts w:ascii="標楷體" w:eastAsia="標楷體" w:hAnsi="標楷體"/>
          <w:sz w:val="48"/>
          <w:szCs w:val="44"/>
        </w:rPr>
        <w:t>國立成功大學工程科學</w:t>
      </w:r>
      <w:r w:rsidRPr="00543AF9">
        <w:rPr>
          <w:rFonts w:ascii="標楷體" w:eastAsia="標楷體" w:hAnsi="標楷體" w:hint="eastAsia"/>
          <w:sz w:val="48"/>
          <w:szCs w:val="44"/>
        </w:rPr>
        <w:t>系</w:t>
      </w:r>
    </w:p>
    <w:p w14:paraId="238E41DD" w14:textId="5A7E56E8" w:rsidR="006B39B0" w:rsidRPr="00543AF9" w:rsidRDefault="006B39B0" w:rsidP="006B39B0">
      <w:pPr>
        <w:jc w:val="center"/>
        <w:rPr>
          <w:rFonts w:ascii="標楷體" w:eastAsia="標楷體" w:hAnsi="標楷體"/>
          <w:sz w:val="48"/>
          <w:szCs w:val="44"/>
        </w:rPr>
      </w:pPr>
      <w:r w:rsidRPr="00543AF9">
        <w:rPr>
          <w:rFonts w:ascii="標楷體" w:eastAsia="標楷體" w:hAnsi="標楷體"/>
          <w:sz w:val="48"/>
          <w:szCs w:val="44"/>
        </w:rPr>
        <w:t>專題競賽計畫書</w:t>
      </w:r>
    </w:p>
    <w:p w14:paraId="61AC048E" w14:textId="5801D1C8" w:rsidR="006B39B0" w:rsidRDefault="006B39B0" w:rsidP="006B39B0">
      <w:pPr>
        <w:jc w:val="center"/>
        <w:rPr>
          <w:rFonts w:ascii="標楷體" w:eastAsia="標楷體" w:hAnsi="標楷體"/>
          <w:sz w:val="44"/>
          <w:szCs w:val="40"/>
        </w:rPr>
      </w:pPr>
    </w:p>
    <w:p w14:paraId="58D9DA65" w14:textId="389C2E62" w:rsidR="006B39B0" w:rsidRDefault="006B39B0" w:rsidP="006B39B0">
      <w:pPr>
        <w:jc w:val="center"/>
        <w:rPr>
          <w:rFonts w:ascii="標楷體" w:eastAsia="標楷體" w:hAnsi="標楷體"/>
          <w:sz w:val="44"/>
          <w:szCs w:val="40"/>
        </w:rPr>
      </w:pPr>
    </w:p>
    <w:p w14:paraId="5AAC2956" w14:textId="19BAA9E0" w:rsidR="006B39B0" w:rsidRDefault="006B39B0" w:rsidP="006B39B0">
      <w:pPr>
        <w:jc w:val="center"/>
        <w:rPr>
          <w:rFonts w:ascii="標楷體" w:eastAsia="標楷體" w:hAnsi="標楷體"/>
          <w:sz w:val="44"/>
          <w:szCs w:val="40"/>
        </w:rPr>
      </w:pPr>
    </w:p>
    <w:p w14:paraId="2913C3DA" w14:textId="764D54FD" w:rsidR="006B39B0" w:rsidRDefault="006B39B0" w:rsidP="006B39B0">
      <w:pPr>
        <w:jc w:val="center"/>
        <w:rPr>
          <w:rFonts w:ascii="標楷體" w:eastAsia="標楷體" w:hAnsi="標楷體"/>
          <w:sz w:val="44"/>
          <w:szCs w:val="40"/>
        </w:rPr>
      </w:pPr>
    </w:p>
    <w:p w14:paraId="0FC2631A" w14:textId="77777777" w:rsidR="006B39B0" w:rsidRPr="006B39B0" w:rsidRDefault="006B39B0" w:rsidP="006B39B0">
      <w:pPr>
        <w:jc w:val="center"/>
        <w:rPr>
          <w:rFonts w:ascii="標楷體" w:eastAsia="標楷體" w:hAnsi="標楷體"/>
          <w:sz w:val="44"/>
          <w:szCs w:val="40"/>
        </w:rPr>
      </w:pPr>
    </w:p>
    <w:p w14:paraId="3255494E" w14:textId="0974CD1C" w:rsidR="006B39B0" w:rsidRPr="00543AF9" w:rsidRDefault="006B39B0" w:rsidP="006B39B0">
      <w:pPr>
        <w:jc w:val="center"/>
        <w:rPr>
          <w:rFonts w:ascii="標楷體" w:eastAsia="標楷體" w:hAnsi="標楷體"/>
          <w:sz w:val="32"/>
          <w:szCs w:val="28"/>
        </w:rPr>
      </w:pPr>
      <w:r w:rsidRPr="00543AF9">
        <w:rPr>
          <w:rFonts w:ascii="標楷體" w:eastAsia="標楷體" w:hAnsi="標楷體" w:hint="eastAsia"/>
          <w:sz w:val="32"/>
          <w:szCs w:val="28"/>
        </w:rPr>
        <w:t>D84060019 王廣達</w:t>
      </w:r>
    </w:p>
    <w:p w14:paraId="6C892812" w14:textId="76C26F8F" w:rsidR="006B39B0" w:rsidRPr="00543AF9" w:rsidRDefault="006B39B0" w:rsidP="006B39B0">
      <w:pPr>
        <w:jc w:val="center"/>
        <w:rPr>
          <w:rFonts w:ascii="標楷體" w:eastAsia="標楷體" w:hAnsi="標楷體"/>
          <w:sz w:val="32"/>
          <w:szCs w:val="28"/>
        </w:rPr>
      </w:pPr>
      <w:r w:rsidRPr="00543AF9">
        <w:rPr>
          <w:rFonts w:ascii="標楷體" w:eastAsia="標楷體" w:hAnsi="標楷體"/>
          <w:sz w:val="32"/>
          <w:szCs w:val="28"/>
        </w:rPr>
        <w:t>E94</w:t>
      </w:r>
      <w:r w:rsidRPr="00543AF9">
        <w:rPr>
          <w:rFonts w:ascii="標楷體" w:eastAsia="標楷體" w:hAnsi="標楷體" w:hint="eastAsia"/>
          <w:sz w:val="32"/>
          <w:szCs w:val="28"/>
        </w:rPr>
        <w:t>061165</w:t>
      </w:r>
      <w:r w:rsidRPr="00543AF9">
        <w:rPr>
          <w:rFonts w:ascii="標楷體" w:eastAsia="標楷體" w:hAnsi="標楷體"/>
          <w:sz w:val="32"/>
          <w:szCs w:val="28"/>
        </w:rPr>
        <w:t xml:space="preserve"> </w:t>
      </w:r>
      <w:r w:rsidRPr="00543AF9">
        <w:rPr>
          <w:rFonts w:ascii="標楷體" w:eastAsia="標楷體" w:hAnsi="標楷體" w:hint="eastAsia"/>
          <w:sz w:val="32"/>
          <w:szCs w:val="28"/>
        </w:rPr>
        <w:t>李姵萱</w:t>
      </w:r>
    </w:p>
    <w:p w14:paraId="67A01AD1" w14:textId="26023423" w:rsidR="006B39B0" w:rsidRPr="00543AF9" w:rsidRDefault="006B39B0" w:rsidP="006B39B0">
      <w:pPr>
        <w:jc w:val="center"/>
        <w:rPr>
          <w:rFonts w:ascii="標楷體" w:eastAsia="標楷體" w:hAnsi="標楷體"/>
          <w:sz w:val="32"/>
          <w:szCs w:val="28"/>
        </w:rPr>
      </w:pPr>
    </w:p>
    <w:p w14:paraId="4AEBFEC0" w14:textId="2F609338" w:rsidR="00B03951" w:rsidRPr="00543AF9" w:rsidRDefault="006B39B0" w:rsidP="006B39B0">
      <w:pPr>
        <w:jc w:val="center"/>
        <w:rPr>
          <w:rFonts w:ascii="標楷體" w:eastAsia="標楷體" w:hAnsi="標楷體"/>
          <w:sz w:val="32"/>
          <w:szCs w:val="28"/>
        </w:rPr>
      </w:pPr>
      <w:r w:rsidRPr="00543AF9">
        <w:rPr>
          <w:rFonts w:ascii="標楷體" w:eastAsia="標楷體" w:hAnsi="標楷體"/>
          <w:sz w:val="32"/>
          <w:szCs w:val="28"/>
        </w:rPr>
        <w:t>指導老師</w:t>
      </w:r>
      <w:r w:rsidRPr="00543AF9">
        <w:rPr>
          <w:rFonts w:ascii="標楷體" w:eastAsia="標楷體" w:hAnsi="標楷體" w:hint="eastAsia"/>
          <w:sz w:val="32"/>
          <w:szCs w:val="28"/>
        </w:rPr>
        <w:t>:鄧維光</w:t>
      </w:r>
    </w:p>
    <w:p w14:paraId="26FC9CB8" w14:textId="6E02C7F0" w:rsidR="006B39B0" w:rsidRPr="00543AF9" w:rsidRDefault="006B39B0" w:rsidP="006B39B0">
      <w:pPr>
        <w:jc w:val="center"/>
        <w:rPr>
          <w:rFonts w:ascii="標楷體" w:eastAsia="標楷體" w:hAnsi="標楷體"/>
          <w:sz w:val="32"/>
          <w:szCs w:val="28"/>
        </w:rPr>
      </w:pPr>
      <w:r w:rsidRPr="00543AF9">
        <w:rPr>
          <w:rFonts w:ascii="標楷體" w:eastAsia="標楷體" w:hAnsi="標楷體" w:hint="eastAsia"/>
          <w:sz w:val="32"/>
          <w:szCs w:val="28"/>
        </w:rPr>
        <w:t>2020/09/</w:t>
      </w:r>
      <w:r w:rsidR="00F5693C">
        <w:rPr>
          <w:rFonts w:ascii="標楷體" w:eastAsia="標楷體" w:hAnsi="標楷體"/>
          <w:sz w:val="32"/>
          <w:szCs w:val="28"/>
        </w:rPr>
        <w:t>30</w:t>
      </w:r>
    </w:p>
    <w:p w14:paraId="02B39084" w14:textId="77777777" w:rsidR="006B39B0" w:rsidRDefault="006B39B0">
      <w:pPr>
        <w:widowControl/>
        <w:rPr>
          <w:rFonts w:ascii="標楷體" w:eastAsia="標楷體" w:hAnsi="標楷體"/>
          <w:sz w:val="40"/>
          <w:szCs w:val="36"/>
        </w:rPr>
      </w:pPr>
      <w:r>
        <w:rPr>
          <w:rFonts w:ascii="標楷體" w:eastAsia="標楷體" w:hAnsi="標楷體"/>
          <w:sz w:val="40"/>
          <w:szCs w:val="36"/>
        </w:rPr>
        <w:br w:type="page"/>
      </w:r>
    </w:p>
    <w:p w14:paraId="29EF7DC7" w14:textId="77777777" w:rsidR="007C70C4" w:rsidRDefault="007C70C4" w:rsidP="007C70C4">
      <w:pPr>
        <w:jc w:val="center"/>
        <w:rPr>
          <w:rFonts w:ascii="標楷體" w:eastAsia="標楷體" w:hAnsi="標楷體"/>
          <w:sz w:val="32"/>
          <w:szCs w:val="28"/>
        </w:rPr>
      </w:pPr>
      <w:r w:rsidRPr="007C70C4">
        <w:rPr>
          <w:rFonts w:ascii="標楷體" w:eastAsia="標楷體" w:hAnsi="標楷體" w:hint="eastAsia"/>
          <w:sz w:val="32"/>
          <w:szCs w:val="28"/>
        </w:rPr>
        <w:lastRenderedPageBreak/>
        <w:t>以長期投資策略評估自動化資產配置之風險與能效</w:t>
      </w:r>
    </w:p>
    <w:p w14:paraId="5EA8D2E4" w14:textId="2F870219" w:rsidR="00EA495B" w:rsidRDefault="00EA495B" w:rsidP="00EA495B">
      <w:pPr>
        <w:pStyle w:val="a7"/>
        <w:numPr>
          <w:ilvl w:val="0"/>
          <w:numId w:val="3"/>
        </w:numPr>
        <w:ind w:leftChars="0"/>
        <w:rPr>
          <w:rFonts w:ascii="標楷體" w:eastAsia="標楷體" w:hAnsi="標楷體"/>
          <w:sz w:val="28"/>
          <w:szCs w:val="24"/>
        </w:rPr>
      </w:pPr>
      <w:r w:rsidRPr="00EA495B">
        <w:rPr>
          <w:rFonts w:ascii="標楷體" w:eastAsia="標楷體" w:hAnsi="標楷體" w:hint="eastAsia"/>
          <w:sz w:val="28"/>
          <w:szCs w:val="24"/>
        </w:rPr>
        <w:t>緒論</w:t>
      </w:r>
    </w:p>
    <w:p w14:paraId="340F4F0B" w14:textId="77777777" w:rsidR="00D01B3A" w:rsidRDefault="00D01B3A" w:rsidP="00D01B3A">
      <w:pPr>
        <w:pStyle w:val="a7"/>
        <w:numPr>
          <w:ilvl w:val="1"/>
          <w:numId w:val="3"/>
        </w:numPr>
        <w:ind w:leftChars="0"/>
        <w:rPr>
          <w:rFonts w:ascii="標楷體" w:eastAsia="標楷體" w:hAnsi="標楷體"/>
          <w:sz w:val="28"/>
          <w:szCs w:val="24"/>
        </w:rPr>
      </w:pPr>
      <w:r>
        <w:rPr>
          <w:rFonts w:ascii="標楷體" w:eastAsia="標楷體" w:hAnsi="標楷體" w:hint="eastAsia"/>
          <w:sz w:val="28"/>
          <w:szCs w:val="24"/>
        </w:rPr>
        <w:t>前文研究動機及目標</w:t>
      </w:r>
    </w:p>
    <w:p w14:paraId="4A581B4F" w14:textId="77777777" w:rsidR="00D01B3A" w:rsidRPr="0044655C" w:rsidRDefault="00D01B3A" w:rsidP="00D01B3A">
      <w:pPr>
        <w:pStyle w:val="a7"/>
        <w:ind w:leftChars="0" w:left="720"/>
        <w:rPr>
          <w:rFonts w:ascii="標楷體" w:eastAsia="標楷體" w:hAnsi="標楷體"/>
          <w:szCs w:val="24"/>
        </w:rPr>
      </w:pPr>
      <w:r>
        <w:rPr>
          <w:rFonts w:ascii="標楷體" w:eastAsia="標楷體" w:hAnsi="標楷體" w:hint="eastAsia"/>
          <w:szCs w:val="24"/>
        </w:rPr>
        <w:t>世界經濟論壇(W</w:t>
      </w:r>
      <w:r>
        <w:rPr>
          <w:rFonts w:ascii="標楷體" w:eastAsia="標楷體" w:hAnsi="標楷體"/>
          <w:szCs w:val="24"/>
        </w:rPr>
        <w:t>orld Economic Forum 2015, WEF</w:t>
      </w:r>
      <w:r>
        <w:rPr>
          <w:rFonts w:ascii="標楷體" w:eastAsia="標楷體" w:hAnsi="標楷體" w:hint="eastAsia"/>
          <w:szCs w:val="24"/>
        </w:rPr>
        <w:t>)於2015年時提供了一個金融服務未來展望，將金融科技的主要功能分為六個區塊，分別為支付、保險、存貸、籌資、投資管理以及市場資訊供給[1]，而其中的投資管理中又以</w:t>
      </w:r>
      <w:r w:rsidRPr="0044655C">
        <w:rPr>
          <w:rFonts w:ascii="標楷體" w:eastAsia="標楷體" w:hAnsi="標楷體" w:hint="eastAsia"/>
          <w:szCs w:val="24"/>
        </w:rPr>
        <w:t>理財機器人（亦稱智能理財、Robo-advisor)</w:t>
      </w:r>
      <w:r>
        <w:rPr>
          <w:rFonts w:ascii="標楷體" w:eastAsia="標楷體" w:hAnsi="標楷體" w:hint="eastAsia"/>
          <w:szCs w:val="24"/>
        </w:rPr>
        <w:t>的討論度最高，預計在2022將有2萬億美金投入智能理財。理財機器人的本質便是透過自動化程序結合量化模型以及數據支持投資決策，</w:t>
      </w:r>
      <w:r w:rsidRPr="00EA495B">
        <w:rPr>
          <w:rFonts w:ascii="標楷體" w:eastAsia="標楷體" w:hAnsi="標楷體" w:hint="eastAsia"/>
          <w:szCs w:val="24"/>
        </w:rPr>
        <w:t xml:space="preserve"> </w:t>
      </w:r>
      <w:r>
        <w:rPr>
          <w:rFonts w:ascii="標楷體" w:eastAsia="標楷體" w:hAnsi="標楷體" w:hint="eastAsia"/>
          <w:szCs w:val="24"/>
        </w:rPr>
        <w:t>並著重風險控制以及長期投資，希望能獲得比大盤更好的風險溢酬[2]。本研究分析現今美國規模前一百的ETF以及美國市值前一百的公司股票進行資產配置的投資組合策略，以長期投資的觀點並結合自動化資產比例的調整，達成每單位風險下高之報酬。</w:t>
      </w:r>
    </w:p>
    <w:p w14:paraId="4A6131B5" w14:textId="77777777" w:rsidR="00351D4E" w:rsidRDefault="00351D4E" w:rsidP="00351D4E">
      <w:pPr>
        <w:pStyle w:val="a7"/>
        <w:numPr>
          <w:ilvl w:val="0"/>
          <w:numId w:val="3"/>
        </w:numPr>
        <w:ind w:leftChars="0"/>
        <w:rPr>
          <w:rFonts w:ascii="標楷體" w:eastAsia="標楷體" w:hAnsi="標楷體"/>
          <w:sz w:val="28"/>
          <w:szCs w:val="24"/>
        </w:rPr>
      </w:pPr>
      <w:r>
        <w:rPr>
          <w:rFonts w:ascii="標楷體" w:eastAsia="標楷體" w:hAnsi="標楷體" w:hint="eastAsia"/>
          <w:sz w:val="28"/>
          <w:szCs w:val="24"/>
        </w:rPr>
        <w:t>前文</w:t>
      </w:r>
    </w:p>
    <w:p w14:paraId="0DBCB8D9" w14:textId="77777777" w:rsidR="00351D4E" w:rsidRPr="00351D4E" w:rsidRDefault="00351D4E" w:rsidP="00351D4E">
      <w:pPr>
        <w:pStyle w:val="a7"/>
        <w:numPr>
          <w:ilvl w:val="1"/>
          <w:numId w:val="3"/>
        </w:numPr>
        <w:ind w:leftChars="0"/>
        <w:rPr>
          <w:rFonts w:ascii="標楷體" w:eastAsia="標楷體" w:hAnsi="標楷體"/>
          <w:szCs w:val="24"/>
        </w:rPr>
      </w:pPr>
      <w:r w:rsidRPr="00351D4E">
        <w:rPr>
          <w:rFonts w:ascii="標楷體" w:eastAsia="標楷體" w:hAnsi="標楷體" w:hint="eastAsia"/>
          <w:szCs w:val="24"/>
        </w:rPr>
        <w:t>資產配置</w:t>
      </w:r>
    </w:p>
    <w:p w14:paraId="1C0C0E96" w14:textId="77777777" w:rsidR="00351D4E" w:rsidRDefault="00351D4E" w:rsidP="00351D4E">
      <w:pPr>
        <w:pStyle w:val="a7"/>
        <w:ind w:leftChars="0" w:left="1440"/>
        <w:rPr>
          <w:rFonts w:ascii="標楷體" w:eastAsia="標楷體" w:hAnsi="標楷體"/>
          <w:szCs w:val="24"/>
        </w:rPr>
      </w:pPr>
      <w:r>
        <w:rPr>
          <w:rFonts w:ascii="標楷體" w:eastAsia="標楷體" w:hAnsi="標楷體" w:hint="eastAsia"/>
          <w:szCs w:val="24"/>
        </w:rPr>
        <w:t>資產配置是指投資人根據自身的狀況以及理財目標，將自身財富分配至不同類型的資產以及標的上[3]，如股票、期貨、債券、指數型基金(</w:t>
      </w:r>
      <w:r w:rsidRPr="00D027FB">
        <w:rPr>
          <w:rFonts w:ascii="標楷體" w:eastAsia="標楷體" w:hAnsi="標楷體"/>
          <w:szCs w:val="24"/>
        </w:rPr>
        <w:t>exchange traded fund</w:t>
      </w:r>
      <w:r>
        <w:rPr>
          <w:rFonts w:ascii="標楷體" w:eastAsia="標楷體" w:hAnsi="標楷體" w:hint="eastAsia"/>
          <w:szCs w:val="24"/>
        </w:rPr>
        <w:t>,</w:t>
      </w:r>
      <w:r>
        <w:rPr>
          <w:rFonts w:ascii="標楷體" w:eastAsia="標楷體" w:hAnsi="標楷體"/>
          <w:szCs w:val="24"/>
        </w:rPr>
        <w:t xml:space="preserve"> </w:t>
      </w:r>
      <w:r>
        <w:rPr>
          <w:rFonts w:ascii="標楷體" w:eastAsia="標楷體" w:hAnsi="標楷體" w:hint="eastAsia"/>
          <w:szCs w:val="24"/>
        </w:rPr>
        <w:t>ETF)、以及基金等金融產品上，希望藉由分散資產來降低風險，在達成自身理財目標之報酬之餘，尋找最低的風險。</w:t>
      </w:r>
    </w:p>
    <w:p w14:paraId="15985B59" w14:textId="77777777" w:rsidR="00351D4E" w:rsidRPr="00D01B3A" w:rsidRDefault="00351D4E" w:rsidP="00351D4E">
      <w:pPr>
        <w:pStyle w:val="a7"/>
        <w:ind w:leftChars="0" w:left="1440"/>
        <w:rPr>
          <w:rFonts w:ascii="標楷體" w:eastAsia="標楷體" w:hAnsi="標楷體"/>
          <w:szCs w:val="24"/>
        </w:rPr>
      </w:pPr>
      <w:r>
        <w:rPr>
          <w:rFonts w:ascii="標楷體" w:eastAsia="標楷體" w:hAnsi="標楷體" w:hint="eastAsia"/>
          <w:szCs w:val="24"/>
        </w:rPr>
        <w:t>在資產配置的領域中，許多人會利用股票以及債券此兩種不同的資產類型在市場中走勢的負相關性將資產利用一定的比例分配至此兩種資產上，以期達到降低資產波動度以及風險。除了不同資產類型的配置外，亦會藉由不同資產區域來做配置，例如美國市場、歐洲已開發市場、亞洲市場以及新興市場等等[4]。</w:t>
      </w:r>
    </w:p>
    <w:p w14:paraId="10F52A6B" w14:textId="77777777" w:rsidR="00351D4E" w:rsidRPr="00351D4E" w:rsidRDefault="00351D4E" w:rsidP="00351D4E">
      <w:pPr>
        <w:pStyle w:val="a7"/>
        <w:numPr>
          <w:ilvl w:val="1"/>
          <w:numId w:val="3"/>
        </w:numPr>
        <w:ind w:leftChars="0"/>
        <w:rPr>
          <w:rFonts w:ascii="標楷體" w:eastAsia="標楷體" w:hAnsi="標楷體"/>
          <w:szCs w:val="24"/>
        </w:rPr>
      </w:pPr>
      <w:r w:rsidRPr="00351D4E">
        <w:rPr>
          <w:rFonts w:ascii="標楷體" w:eastAsia="標楷體" w:hAnsi="標楷體" w:hint="eastAsia"/>
          <w:szCs w:val="24"/>
        </w:rPr>
        <w:t>再平衡於資產配置中的應用</w:t>
      </w:r>
    </w:p>
    <w:p w14:paraId="2869107B" w14:textId="77777777" w:rsidR="00351D4E" w:rsidRDefault="00351D4E" w:rsidP="00351D4E">
      <w:pPr>
        <w:pStyle w:val="a7"/>
        <w:ind w:leftChars="0" w:left="1440"/>
        <w:rPr>
          <w:rFonts w:ascii="標楷體" w:eastAsia="標楷體" w:hAnsi="標楷體"/>
          <w:szCs w:val="24"/>
        </w:rPr>
      </w:pPr>
      <w:r>
        <w:rPr>
          <w:rFonts w:ascii="標楷體" w:eastAsia="標楷體" w:hAnsi="標楷體" w:hint="eastAsia"/>
          <w:szCs w:val="24"/>
        </w:rPr>
        <w:t>再平衡是指透過合理的重新調整各資產比例，來讓自身投資組合的風險和自身規劃一致[5]，亦即原先的資產比例因為市場的變化而產生變化超過預期時，重新調整比例來進行控制風險。金融市場的風險莫過於市場大跌，如2008年的金融海嘯以及2020年3月的COVID-19危機造成的市場多次熔斷等多次金融危機中都可以發現，有進行再平衡的投資組合無論在虧損比例以及單位風險報酬上都會比沒有做再平衡的表現來的好[6]，這也驗證了做再平衡是一種正確的風險控管方法。</w:t>
      </w:r>
    </w:p>
    <w:p w14:paraId="61AA0EB5" w14:textId="77777777" w:rsidR="00351D4E" w:rsidRPr="00BD4B0C" w:rsidRDefault="00351D4E" w:rsidP="00351D4E">
      <w:pPr>
        <w:pStyle w:val="a7"/>
        <w:ind w:leftChars="0" w:left="1440"/>
        <w:rPr>
          <w:rFonts w:ascii="標楷體" w:eastAsia="標楷體" w:hAnsi="標楷體"/>
          <w:szCs w:val="24"/>
        </w:rPr>
      </w:pPr>
      <w:r>
        <w:rPr>
          <w:rFonts w:ascii="標楷體" w:eastAsia="標楷體" w:hAnsi="標楷體" w:hint="eastAsia"/>
          <w:szCs w:val="24"/>
        </w:rPr>
        <w:lastRenderedPageBreak/>
        <w:t>而再平衡又可以分為固定一段時間即做一次再平衡的時間再平衡，以及若資產組合之風險與自身規劃差異過大時再做再平衡的價值再平衡，本研究將針對此兩種再平衡方式做分析得出較優的再平衡方式。</w:t>
      </w:r>
    </w:p>
    <w:p w14:paraId="54030F4B" w14:textId="77777777" w:rsidR="00351D4E" w:rsidRPr="00351D4E" w:rsidRDefault="00351D4E" w:rsidP="00351D4E">
      <w:pPr>
        <w:pStyle w:val="a7"/>
        <w:numPr>
          <w:ilvl w:val="1"/>
          <w:numId w:val="3"/>
        </w:numPr>
        <w:ind w:leftChars="0"/>
        <w:rPr>
          <w:rFonts w:ascii="標楷體" w:eastAsia="標楷體" w:hAnsi="標楷體"/>
          <w:szCs w:val="24"/>
        </w:rPr>
      </w:pPr>
      <w:r w:rsidRPr="00351D4E">
        <w:rPr>
          <w:rFonts w:ascii="標楷體" w:eastAsia="標楷體" w:hAnsi="標楷體" w:hint="eastAsia"/>
          <w:szCs w:val="24"/>
        </w:rPr>
        <w:t>使用平台進行彈性化調整及模擬投資</w:t>
      </w:r>
    </w:p>
    <w:p w14:paraId="146E8C69" w14:textId="77777777" w:rsidR="00351D4E" w:rsidRPr="00BC1E4A" w:rsidRDefault="00351D4E" w:rsidP="00351D4E">
      <w:pPr>
        <w:pStyle w:val="a7"/>
        <w:ind w:leftChars="0" w:left="1440"/>
        <w:rPr>
          <w:rFonts w:ascii="標楷體" w:eastAsia="標楷體" w:hAnsi="標楷體"/>
          <w:szCs w:val="24"/>
        </w:rPr>
      </w:pPr>
      <w:r>
        <w:rPr>
          <w:rFonts w:ascii="標楷體" w:eastAsia="標楷體" w:hAnsi="標楷體" w:hint="eastAsia"/>
          <w:szCs w:val="24"/>
        </w:rPr>
        <w:t>使用資產配置當作理財方式的理財者需根據自身風險承受能力、自身理財目標以及投資時間等多個不同因素做彈性的調整，而平台的另一特色為其可呈現過去的投資成效以及可讓使用者針對不同的理財目標以及年限進行模擬投資以及回測，讓使用者可以查詢不同理財目標的差異以及驗證在金融危機時資產的損益狀況，此外，平台可更完善的呈現各項圖表，使資料達到視覺化，便於使用者了解及分析。</w:t>
      </w:r>
    </w:p>
    <w:p w14:paraId="59F6B988" w14:textId="18E1AF60" w:rsidR="00BC1E4A" w:rsidRDefault="00351D4E" w:rsidP="00D01B3A">
      <w:pPr>
        <w:pStyle w:val="a7"/>
        <w:numPr>
          <w:ilvl w:val="0"/>
          <w:numId w:val="3"/>
        </w:numPr>
        <w:ind w:leftChars="0"/>
        <w:rPr>
          <w:rFonts w:ascii="標楷體" w:eastAsia="標楷體" w:hAnsi="標楷體"/>
          <w:sz w:val="28"/>
          <w:szCs w:val="24"/>
        </w:rPr>
      </w:pPr>
      <w:r>
        <w:rPr>
          <w:rFonts w:ascii="標楷體" w:eastAsia="標楷體" w:hAnsi="標楷體" w:hint="eastAsia"/>
          <w:sz w:val="28"/>
          <w:szCs w:val="24"/>
        </w:rPr>
        <w:t>實驗方法</w:t>
      </w:r>
      <w:r w:rsidR="002B7EB9">
        <w:rPr>
          <w:rFonts w:ascii="標楷體" w:eastAsia="標楷體" w:hAnsi="標楷體" w:hint="eastAsia"/>
          <w:sz w:val="28"/>
          <w:szCs w:val="24"/>
        </w:rPr>
        <w:t>與結果討論</w:t>
      </w:r>
    </w:p>
    <w:p w14:paraId="31DD9C85" w14:textId="07DED44F" w:rsidR="00806BE0" w:rsidRPr="002B7EB9" w:rsidRDefault="00351D4E" w:rsidP="002B7EB9">
      <w:pPr>
        <w:pStyle w:val="a7"/>
        <w:numPr>
          <w:ilvl w:val="1"/>
          <w:numId w:val="3"/>
        </w:numPr>
        <w:ind w:leftChars="0"/>
        <w:rPr>
          <w:rFonts w:ascii="標楷體" w:eastAsia="標楷體" w:hAnsi="標楷體" w:hint="eastAsia"/>
          <w:szCs w:val="24"/>
        </w:rPr>
      </w:pPr>
      <w:r w:rsidRPr="00351D4E">
        <w:rPr>
          <w:rFonts w:ascii="標楷體" w:eastAsia="標楷體" w:hAnsi="標楷體" w:hint="eastAsia"/>
          <w:szCs w:val="24"/>
        </w:rPr>
        <w:t>選股演算法</w:t>
      </w:r>
    </w:p>
    <w:p w14:paraId="7DAFEE49" w14:textId="21DD7776" w:rsidR="00B40A8E" w:rsidRDefault="00806BE0" w:rsidP="00806BE0">
      <w:pPr>
        <w:pStyle w:val="a7"/>
        <w:numPr>
          <w:ilvl w:val="3"/>
          <w:numId w:val="3"/>
        </w:numPr>
        <w:ind w:leftChars="0"/>
        <w:rPr>
          <w:rFonts w:ascii="標楷體" w:eastAsia="標楷體" w:hAnsi="標楷體"/>
          <w:szCs w:val="24"/>
        </w:rPr>
      </w:pPr>
      <w:r>
        <w:rPr>
          <w:rFonts w:ascii="標楷體" w:eastAsia="標楷體" w:hAnsi="標楷體" w:hint="eastAsia"/>
          <w:szCs w:val="24"/>
        </w:rPr>
        <w:t>演算法:</w:t>
      </w:r>
    </w:p>
    <w:p w14:paraId="483CB0AD" w14:textId="15B427FF" w:rsidR="00806BE0" w:rsidRPr="00806BE0" w:rsidRDefault="00806BE0" w:rsidP="00806BE0">
      <w:pPr>
        <w:pStyle w:val="a7"/>
        <w:ind w:leftChars="0" w:left="1920"/>
        <w:rPr>
          <w:rFonts w:ascii="標楷體" w:eastAsia="標楷體" w:hAnsi="標楷體" w:hint="eastAsia"/>
          <w:szCs w:val="24"/>
        </w:rPr>
      </w:pPr>
      <w:r w:rsidRPr="00806BE0">
        <w:rPr>
          <w:rFonts w:ascii="標楷體" w:eastAsia="標楷體" w:hAnsi="標楷體"/>
          <w:szCs w:val="24"/>
        </w:rPr>
        <w:drawing>
          <wp:anchor distT="0" distB="0" distL="114300" distR="114300" simplePos="0" relativeHeight="251659264" behindDoc="0" locked="0" layoutInCell="1" allowOverlap="1" wp14:anchorId="2132BAE5" wp14:editId="5EBD72C0">
            <wp:simplePos x="0" y="0"/>
            <wp:positionH relativeFrom="margin">
              <wp:align>right</wp:align>
            </wp:positionH>
            <wp:positionV relativeFrom="paragraph">
              <wp:posOffset>754380</wp:posOffset>
            </wp:positionV>
            <wp:extent cx="5097145" cy="3213100"/>
            <wp:effectExtent l="0" t="0" r="8255" b="6350"/>
            <wp:wrapSquare wrapText="bothSides"/>
            <wp:docPr id="1036" name="圖片 1035">
              <a:extLst xmlns:a="http://schemas.openxmlformats.org/drawingml/2006/main">
                <a:ext uri="{FF2B5EF4-FFF2-40B4-BE49-F238E27FC236}">
                  <a16:creationId xmlns:a16="http://schemas.microsoft.com/office/drawing/2014/main" id="{C53D3771-A124-4EDC-B1F3-3A27D39C0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圖片 1035">
                      <a:extLst>
                        <a:ext uri="{FF2B5EF4-FFF2-40B4-BE49-F238E27FC236}">
                          <a16:creationId xmlns:a16="http://schemas.microsoft.com/office/drawing/2014/main" id="{C53D3771-A124-4EDC-B1F3-3A27D39C06B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97145" cy="3213100"/>
                    </a:xfrm>
                    <a:prstGeom prst="rect">
                      <a:avLst/>
                    </a:prstGeom>
                  </pic:spPr>
                </pic:pic>
              </a:graphicData>
            </a:graphic>
            <wp14:sizeRelH relativeFrom="page">
              <wp14:pctWidth>0</wp14:pctWidth>
            </wp14:sizeRelH>
            <wp14:sizeRelV relativeFrom="page">
              <wp14:pctHeight>0</wp14:pctHeight>
            </wp14:sizeRelV>
          </wp:anchor>
        </w:drawing>
      </w:r>
      <w:r w:rsidRPr="00806BE0">
        <w:rPr>
          <w:rFonts w:ascii="標楷體" w:eastAsia="標楷體" w:hAnsi="標楷體" w:hint="eastAsia"/>
          <w:szCs w:val="24"/>
        </w:rPr>
        <w:t>選擇上界區或下界區中可使組合達到最低風險的標的物若已選組合的報酬率比欲達報酬率高，則選擇下界區的標的物，反之亦然</w:t>
      </w:r>
      <w:r>
        <w:rPr>
          <w:rFonts w:ascii="標楷體" w:eastAsia="標楷體" w:hAnsi="標楷體" w:hint="eastAsia"/>
          <w:szCs w:val="24"/>
        </w:rPr>
        <w:t>。</w:t>
      </w:r>
    </w:p>
    <w:p w14:paraId="42D082E8" w14:textId="5F25C9D5" w:rsidR="00806BE0" w:rsidRPr="002B7EB9" w:rsidRDefault="00806BE0" w:rsidP="0084402D">
      <w:pPr>
        <w:pStyle w:val="a7"/>
        <w:numPr>
          <w:ilvl w:val="3"/>
          <w:numId w:val="3"/>
        </w:numPr>
        <w:ind w:leftChars="0"/>
        <w:rPr>
          <w:rFonts w:ascii="標楷體" w:eastAsia="標楷體" w:hAnsi="標楷體"/>
          <w:szCs w:val="24"/>
        </w:rPr>
      </w:pPr>
      <w:r w:rsidRPr="002B7EB9">
        <w:rPr>
          <w:rFonts w:ascii="標楷體" w:eastAsia="標楷體" w:hAnsi="標楷體" w:hint="eastAsia"/>
          <w:szCs w:val="24"/>
        </w:rPr>
        <w:t>驗證方式</w:t>
      </w:r>
      <w:r w:rsidR="002B7EB9" w:rsidRPr="002B7EB9">
        <w:rPr>
          <w:rFonts w:ascii="標楷體" w:eastAsia="標楷體" w:hAnsi="標楷體" w:hint="eastAsia"/>
          <w:szCs w:val="24"/>
        </w:rPr>
        <w:t>與結果</w:t>
      </w:r>
      <w:r w:rsidRPr="002B7EB9">
        <w:rPr>
          <w:rFonts w:ascii="標楷體" w:eastAsia="標楷體" w:hAnsi="標楷體" w:hint="eastAsia"/>
          <w:szCs w:val="24"/>
        </w:rPr>
        <w:t>:</w:t>
      </w:r>
    </w:p>
    <w:p w14:paraId="06DF27B5" w14:textId="0EC712C1" w:rsidR="00806BE0" w:rsidRDefault="00806BE0" w:rsidP="00806BE0">
      <w:pPr>
        <w:pStyle w:val="a7"/>
        <w:ind w:leftChars="0" w:left="1920"/>
        <w:rPr>
          <w:rFonts w:ascii="標楷體" w:eastAsia="標楷體" w:hAnsi="標楷體"/>
          <w:szCs w:val="24"/>
        </w:rPr>
      </w:pPr>
      <w:r w:rsidRPr="00806BE0">
        <w:rPr>
          <w:rFonts w:ascii="標楷體" w:eastAsia="標楷體" w:hAnsi="標楷體" w:hint="eastAsia"/>
          <w:szCs w:val="24"/>
        </w:rPr>
        <w:t>窮舉法與演算法之選股組合風險相近</w:t>
      </w:r>
      <w:r>
        <w:rPr>
          <w:rFonts w:ascii="標楷體" w:eastAsia="標楷體" w:hAnsi="標楷體" w:hint="eastAsia"/>
          <w:szCs w:val="24"/>
        </w:rPr>
        <w:t>，</w:t>
      </w:r>
      <w:r w:rsidRPr="00806BE0">
        <w:rPr>
          <w:rFonts w:ascii="標楷體" w:eastAsia="標楷體" w:hAnsi="標楷體" w:hint="eastAsia"/>
          <w:szCs w:val="24"/>
        </w:rPr>
        <w:t>證明可以</w:t>
      </w:r>
      <w:r w:rsidR="00EC46E3">
        <w:rPr>
          <w:rFonts w:ascii="標楷體" w:eastAsia="標楷體" w:hAnsi="標楷體" w:hint="eastAsia"/>
          <w:szCs w:val="24"/>
        </w:rPr>
        <w:t>相對窮舉法之</w:t>
      </w:r>
      <w:r w:rsidRPr="00806BE0">
        <w:rPr>
          <w:rFonts w:ascii="標楷體" w:eastAsia="標楷體" w:hAnsi="標楷體" w:hint="eastAsia"/>
          <w:szCs w:val="24"/>
        </w:rPr>
        <w:t>極短時間選出符合所需報酬率的低風險投資組合</w:t>
      </w:r>
      <w:r>
        <w:rPr>
          <w:rFonts w:ascii="標楷體" w:eastAsia="標楷體" w:hAnsi="標楷體" w:hint="eastAsia"/>
          <w:szCs w:val="24"/>
        </w:rPr>
        <w:t>。</w:t>
      </w:r>
    </w:p>
    <w:p w14:paraId="4D5F6AAA" w14:textId="0EE405C5" w:rsidR="00806BE0" w:rsidRPr="00806BE0" w:rsidRDefault="00806BE0" w:rsidP="00806BE0">
      <w:pPr>
        <w:pStyle w:val="a7"/>
        <w:ind w:leftChars="0" w:left="1920"/>
        <w:rPr>
          <w:rFonts w:ascii="標楷體" w:eastAsia="標楷體" w:hAnsi="標楷體" w:hint="eastAsia"/>
          <w:szCs w:val="24"/>
        </w:rPr>
      </w:pPr>
      <w:r w:rsidRPr="00806BE0">
        <w:rPr>
          <w:rFonts w:ascii="標楷體" w:eastAsia="標楷體" w:hAnsi="標楷體"/>
          <w:szCs w:val="24"/>
        </w:rPr>
        <w:lastRenderedPageBreak/>
        <w:drawing>
          <wp:anchor distT="0" distB="0" distL="114300" distR="114300" simplePos="0" relativeHeight="251658240" behindDoc="0" locked="0" layoutInCell="1" allowOverlap="1" wp14:anchorId="5CBE14C1" wp14:editId="7F655FC7">
            <wp:simplePos x="0" y="0"/>
            <wp:positionH relativeFrom="margin">
              <wp:align>left</wp:align>
            </wp:positionH>
            <wp:positionV relativeFrom="paragraph">
              <wp:posOffset>22860</wp:posOffset>
            </wp:positionV>
            <wp:extent cx="5274310" cy="3376295"/>
            <wp:effectExtent l="0" t="0" r="2540" b="14605"/>
            <wp:wrapSquare wrapText="bothSides"/>
            <wp:docPr id="2" name="圖表 2">
              <a:extLst xmlns:a="http://schemas.openxmlformats.org/drawingml/2006/main">
                <a:ext uri="{FF2B5EF4-FFF2-40B4-BE49-F238E27FC236}">
                  <a16:creationId xmlns:a16="http://schemas.microsoft.com/office/drawing/2014/main" id="{218AEF09-1DDD-4E76-A0F1-64C07657A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F9F5989" w14:textId="00C019DF" w:rsidR="00351D4E" w:rsidRPr="00351D4E" w:rsidRDefault="00351D4E" w:rsidP="00351D4E">
      <w:pPr>
        <w:pStyle w:val="a7"/>
        <w:numPr>
          <w:ilvl w:val="1"/>
          <w:numId w:val="3"/>
        </w:numPr>
        <w:ind w:leftChars="0"/>
        <w:rPr>
          <w:rFonts w:ascii="標楷體" w:eastAsia="標楷體" w:hAnsi="標楷體"/>
          <w:szCs w:val="24"/>
        </w:rPr>
      </w:pPr>
      <w:r w:rsidRPr="00351D4E">
        <w:rPr>
          <w:rFonts w:ascii="標楷體" w:eastAsia="標楷體" w:hAnsi="標楷體" w:hint="eastAsia"/>
          <w:szCs w:val="24"/>
        </w:rPr>
        <w:t>資產配置投資組合成效</w:t>
      </w:r>
    </w:p>
    <w:p w14:paraId="0412F758" w14:textId="3DBE72DC" w:rsidR="00351D4E" w:rsidRPr="00351D4E" w:rsidRDefault="00351D4E" w:rsidP="00351D4E">
      <w:pPr>
        <w:pStyle w:val="a7"/>
        <w:ind w:leftChars="0" w:left="1440"/>
        <w:rPr>
          <w:rFonts w:ascii="標楷體" w:eastAsia="標楷體" w:hAnsi="標楷體"/>
        </w:rPr>
      </w:pPr>
      <w:r>
        <w:rPr>
          <w:rFonts w:ascii="標楷體" w:eastAsia="標楷體" w:hAnsi="標楷體" w:hint="eastAsia"/>
        </w:rPr>
        <w:t>比較使用純粹股票、綜合股票和ETF以及純粹ETF</w:t>
      </w:r>
      <w:r w:rsidR="006927DD">
        <w:rPr>
          <w:rFonts w:ascii="標楷體" w:eastAsia="標楷體" w:hAnsi="標楷體" w:hint="eastAsia"/>
        </w:rPr>
        <w:t>三種不同的資產配置選擇方式</w:t>
      </w:r>
      <w:r>
        <w:rPr>
          <w:rFonts w:ascii="標楷體" w:eastAsia="標楷體" w:hAnsi="標楷體" w:hint="eastAsia"/>
        </w:rPr>
        <w:t>作為投資組合</w:t>
      </w:r>
      <w:r w:rsidR="006927DD">
        <w:rPr>
          <w:rFonts w:ascii="標楷體" w:eastAsia="標楷體" w:hAnsi="標楷體" w:hint="eastAsia"/>
        </w:rPr>
        <w:t>，</w:t>
      </w:r>
      <w:r>
        <w:rPr>
          <w:rFonts w:ascii="標楷體" w:eastAsia="標楷體" w:hAnsi="標楷體" w:hint="eastAsia"/>
        </w:rPr>
        <w:t>其在過去2年區間、5年區間以及10年區間</w:t>
      </w:r>
      <w:r w:rsidR="006927DD">
        <w:rPr>
          <w:rFonts w:ascii="標楷體" w:eastAsia="標楷體" w:hAnsi="標楷體" w:hint="eastAsia"/>
        </w:rPr>
        <w:t>三種不同區間，其在年化報酬率以及單位風險報酬率之表現</w:t>
      </w:r>
    </w:p>
    <w:p w14:paraId="63E22FD0" w14:textId="77777777" w:rsidR="007B5B57" w:rsidRDefault="007B5B57" w:rsidP="007B5B57">
      <w:pPr>
        <w:pStyle w:val="a7"/>
        <w:numPr>
          <w:ilvl w:val="3"/>
          <w:numId w:val="3"/>
        </w:numPr>
        <w:ind w:leftChars="0"/>
        <w:rPr>
          <w:rFonts w:ascii="標楷體" w:eastAsia="標楷體" w:hAnsi="標楷體"/>
          <w:szCs w:val="24"/>
        </w:rPr>
      </w:pPr>
      <w:r>
        <w:rPr>
          <w:rFonts w:ascii="標楷體" w:eastAsia="標楷體" w:hAnsi="標楷體" w:hint="eastAsia"/>
          <w:szCs w:val="24"/>
        </w:rPr>
        <w:t>單位風險報酬ETF最高</w:t>
      </w:r>
    </w:p>
    <w:p w14:paraId="32EB2027" w14:textId="7E632AB9" w:rsidR="007B5B57" w:rsidRPr="00161171" w:rsidRDefault="007B5B57" w:rsidP="00161171">
      <w:pPr>
        <w:pStyle w:val="a7"/>
        <w:ind w:leftChars="0" w:left="1920"/>
        <w:rPr>
          <w:rFonts w:ascii="標楷體" w:eastAsia="標楷體" w:hAnsi="標楷體"/>
          <w:szCs w:val="24"/>
        </w:rPr>
      </w:pPr>
      <w:r>
        <w:rPr>
          <w:rFonts w:ascii="標楷體" w:eastAsia="標楷體" w:hAnsi="標楷體" w:hint="eastAsia"/>
          <w:szCs w:val="24"/>
        </w:rPr>
        <w:t>由實驗結果得知</w:t>
      </w:r>
      <w:r w:rsidR="004F0842">
        <w:rPr>
          <w:rFonts w:ascii="標楷體" w:eastAsia="標楷體" w:hAnsi="標楷體" w:hint="eastAsia"/>
          <w:szCs w:val="24"/>
        </w:rPr>
        <w:t>(表一)</w:t>
      </w:r>
      <w:r>
        <w:rPr>
          <w:rFonts w:ascii="標楷體" w:eastAsia="標楷體" w:hAnsi="標楷體" w:hint="eastAsia"/>
          <w:szCs w:val="24"/>
        </w:rPr>
        <w:t>，在預期報酬4%以上</w:t>
      </w:r>
      <w:r w:rsidRPr="006C75B0">
        <w:rPr>
          <w:rFonts w:ascii="標楷體" w:eastAsia="標楷體" w:hAnsi="標楷體" w:hint="eastAsia"/>
          <w:szCs w:val="24"/>
        </w:rPr>
        <w:t>，ETF在2018-2020</w:t>
      </w:r>
      <w:r>
        <w:rPr>
          <w:rFonts w:ascii="標楷體" w:eastAsia="標楷體" w:hAnsi="標楷體" w:hint="eastAsia"/>
          <w:szCs w:val="24"/>
        </w:rPr>
        <w:t>年</w:t>
      </w:r>
      <w:r w:rsidRPr="006C75B0">
        <w:rPr>
          <w:rFonts w:ascii="標楷體" w:eastAsia="標楷體" w:hAnsi="標楷體" w:hint="eastAsia"/>
          <w:szCs w:val="24"/>
        </w:rPr>
        <w:t>區間的單位風險報酬最高</w:t>
      </w:r>
      <w:r>
        <w:rPr>
          <w:rFonts w:ascii="標楷體" w:eastAsia="標楷體" w:hAnsi="標楷體" w:hint="eastAsia"/>
          <w:szCs w:val="24"/>
        </w:rPr>
        <w:t>，而ETF結合股票則在2015~2020</w:t>
      </w:r>
      <w:r w:rsidRPr="00161171">
        <w:rPr>
          <w:rFonts w:ascii="標楷體" w:eastAsia="標楷體" w:hAnsi="標楷體" w:hint="eastAsia"/>
          <w:szCs w:val="24"/>
        </w:rPr>
        <w:t>年區間表現最為亮眼。以成長性而言，唯有ETF在越長的回測年間會有越高的單位風險報酬，並且出現越高年限單位風險報酬越高的趨勢。</w:t>
      </w:r>
    </w:p>
    <w:p w14:paraId="16065C17" w14:textId="67E7F1F9" w:rsidR="004F0842" w:rsidRDefault="007B5B57" w:rsidP="004F0842">
      <w:pPr>
        <w:spacing w:beforeLines="50" w:before="180"/>
        <w:ind w:left="482"/>
        <w:rPr>
          <w:rFonts w:ascii="標楷體" w:eastAsia="標楷體" w:hAnsi="標楷體"/>
          <w:szCs w:val="24"/>
        </w:rPr>
      </w:pPr>
      <w:r w:rsidRPr="006C75B0">
        <w:rPr>
          <w:rFonts w:hint="eastAsia"/>
          <w:noProof/>
        </w:rPr>
        <w:drawing>
          <wp:inline distT="0" distB="0" distL="0" distR="0" wp14:anchorId="2920E128" wp14:editId="6D6A9452">
            <wp:extent cx="5274310" cy="90106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01065"/>
                    </a:xfrm>
                    <a:prstGeom prst="rect">
                      <a:avLst/>
                    </a:prstGeom>
                    <a:noFill/>
                    <a:ln>
                      <a:noFill/>
                    </a:ln>
                  </pic:spPr>
                </pic:pic>
              </a:graphicData>
            </a:graphic>
          </wp:inline>
        </w:drawing>
      </w:r>
    </w:p>
    <w:p w14:paraId="483ABEF0" w14:textId="6844AAF3" w:rsidR="004F0842" w:rsidRPr="004F0842" w:rsidRDefault="004F0842" w:rsidP="004F0842">
      <w:pPr>
        <w:spacing w:afterLines="50" w:after="180"/>
        <w:ind w:left="482"/>
        <w:jc w:val="center"/>
        <w:rPr>
          <w:rFonts w:ascii="標楷體" w:eastAsia="標楷體" w:hAnsi="標楷體"/>
          <w:sz w:val="20"/>
          <w:szCs w:val="20"/>
        </w:rPr>
      </w:pPr>
      <w:r w:rsidRPr="004F0842">
        <w:rPr>
          <w:rFonts w:ascii="標楷體" w:eastAsia="標楷體" w:hAnsi="標楷體" w:hint="eastAsia"/>
          <w:sz w:val="20"/>
          <w:szCs w:val="20"/>
        </w:rPr>
        <w:t>表一.各投資組合預期報酬之單位風險報酬</w:t>
      </w:r>
    </w:p>
    <w:p w14:paraId="29460368" w14:textId="4FE67A14" w:rsidR="007B5B57" w:rsidRDefault="007B5B57" w:rsidP="007B5B57">
      <w:pPr>
        <w:pStyle w:val="a7"/>
        <w:numPr>
          <w:ilvl w:val="3"/>
          <w:numId w:val="3"/>
        </w:numPr>
        <w:ind w:leftChars="0"/>
        <w:rPr>
          <w:rFonts w:ascii="標楷體" w:eastAsia="標楷體" w:hAnsi="標楷體"/>
          <w:szCs w:val="24"/>
        </w:rPr>
      </w:pPr>
      <w:r>
        <w:rPr>
          <w:rFonts w:ascii="標楷體" w:eastAsia="標楷體" w:hAnsi="標楷體" w:hint="eastAsia"/>
          <w:szCs w:val="24"/>
        </w:rPr>
        <w:t>ETF的投資組合之穩定性最高</w:t>
      </w:r>
    </w:p>
    <w:p w14:paraId="68B164DE" w14:textId="3586ED43" w:rsidR="007B5B57" w:rsidRPr="00776DFD" w:rsidRDefault="007B5B57" w:rsidP="00776DFD">
      <w:pPr>
        <w:pStyle w:val="a7"/>
        <w:ind w:leftChars="0" w:left="1920"/>
        <w:rPr>
          <w:rFonts w:ascii="標楷體" w:eastAsia="標楷體" w:hAnsi="標楷體"/>
          <w:szCs w:val="24"/>
        </w:rPr>
      </w:pPr>
      <w:r>
        <w:rPr>
          <w:rFonts w:ascii="標楷體" w:eastAsia="標楷體" w:hAnsi="標楷體" w:hint="eastAsia"/>
          <w:szCs w:val="24"/>
        </w:rPr>
        <w:t>以4%預期報酬之單位風險報酬為例</w:t>
      </w:r>
      <w:r w:rsidR="00776DFD">
        <w:rPr>
          <w:rFonts w:ascii="標楷體" w:eastAsia="標楷體" w:hAnsi="標楷體" w:hint="eastAsia"/>
          <w:szCs w:val="24"/>
        </w:rPr>
        <w:t>，雖然ETF的投資組合並非任何時間區段都有最高的單位風險報酬，但是唯有ETF是逐年成長的，若以穩定性評估，計算三者標準差也可發現，ETF之標準差唯三者中最低的。</w:t>
      </w:r>
    </w:p>
    <w:p w14:paraId="26E20746" w14:textId="3D57475D" w:rsidR="007B5B57" w:rsidRDefault="007B5B57" w:rsidP="004F0842">
      <w:pPr>
        <w:spacing w:beforeLines="100" w:before="360"/>
        <w:ind w:left="480"/>
        <w:jc w:val="center"/>
        <w:rPr>
          <w:rFonts w:ascii="標楷體" w:eastAsia="標楷體" w:hAnsi="標楷體"/>
          <w:szCs w:val="24"/>
        </w:rPr>
      </w:pPr>
      <w:r>
        <w:rPr>
          <w:noProof/>
        </w:rPr>
        <w:lastRenderedPageBreak/>
        <w:drawing>
          <wp:inline distT="0" distB="0" distL="0" distR="0" wp14:anchorId="79EE753A" wp14:editId="4C14283B">
            <wp:extent cx="4572000" cy="2743200"/>
            <wp:effectExtent l="0" t="0" r="0" b="0"/>
            <wp:docPr id="4" name="圖表 4">
              <a:extLst xmlns:a="http://schemas.openxmlformats.org/drawingml/2006/main">
                <a:ext uri="{FF2B5EF4-FFF2-40B4-BE49-F238E27FC236}">
                  <a16:creationId xmlns:a16="http://schemas.microsoft.com/office/drawing/2014/main" id="{0BDBB833-392C-4195-B289-E9D90A75A4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597E4B" w14:textId="69C271A2" w:rsidR="004F0842" w:rsidRPr="004F0842" w:rsidRDefault="004F0842" w:rsidP="004F0842">
      <w:pPr>
        <w:spacing w:afterLines="100" w:after="360"/>
        <w:ind w:left="480"/>
        <w:jc w:val="center"/>
        <w:rPr>
          <w:rFonts w:ascii="標楷體" w:eastAsia="標楷體" w:hAnsi="標楷體"/>
          <w:sz w:val="20"/>
          <w:szCs w:val="20"/>
        </w:rPr>
      </w:pPr>
      <w:r w:rsidRPr="004F0842">
        <w:rPr>
          <w:rFonts w:ascii="標楷體" w:eastAsia="標楷體" w:hAnsi="標楷體" w:hint="eastAsia"/>
          <w:sz w:val="20"/>
          <w:szCs w:val="20"/>
        </w:rPr>
        <w:t>圖一.不同投資組合4%預期報酬之單位風險報酬</w:t>
      </w:r>
    </w:p>
    <w:p w14:paraId="13CA2AA3" w14:textId="47FC86B1" w:rsidR="00351D4E" w:rsidRDefault="00351D4E" w:rsidP="00351D4E">
      <w:pPr>
        <w:pStyle w:val="a7"/>
        <w:numPr>
          <w:ilvl w:val="1"/>
          <w:numId w:val="3"/>
        </w:numPr>
        <w:ind w:leftChars="0"/>
        <w:rPr>
          <w:rFonts w:ascii="標楷體" w:eastAsia="標楷體" w:hAnsi="標楷體"/>
          <w:szCs w:val="24"/>
        </w:rPr>
      </w:pPr>
      <w:r w:rsidRPr="00351D4E">
        <w:rPr>
          <w:rFonts w:ascii="標楷體" w:eastAsia="標楷體" w:hAnsi="標楷體" w:hint="eastAsia"/>
          <w:szCs w:val="24"/>
        </w:rPr>
        <w:t>不同再平衡之成效</w:t>
      </w:r>
    </w:p>
    <w:p w14:paraId="6EA3B4A6" w14:textId="2EC8EA08" w:rsidR="00C65297" w:rsidRPr="00DE63AE" w:rsidRDefault="009C3D3A" w:rsidP="00DE63AE">
      <w:pPr>
        <w:pStyle w:val="a7"/>
        <w:ind w:leftChars="0" w:left="960"/>
        <w:rPr>
          <w:rFonts w:ascii="標楷體" w:eastAsia="標楷體" w:hAnsi="標楷體"/>
          <w:szCs w:val="24"/>
        </w:rPr>
      </w:pPr>
      <w:r>
        <w:rPr>
          <w:rFonts w:ascii="標楷體" w:eastAsia="標楷體" w:hAnsi="標楷體" w:hint="eastAsia"/>
          <w:szCs w:val="24"/>
        </w:rPr>
        <w:t>回測</w:t>
      </w:r>
      <w:r w:rsidR="00CF0D18">
        <w:rPr>
          <w:rFonts w:ascii="標楷體" w:eastAsia="標楷體" w:hAnsi="標楷體" w:hint="eastAsia"/>
          <w:szCs w:val="24"/>
        </w:rPr>
        <w:t>時間再平衡(包含</w:t>
      </w:r>
      <w:r w:rsidR="00CA342B">
        <w:rPr>
          <w:rFonts w:ascii="標楷體" w:eastAsia="標楷體" w:hAnsi="標楷體" w:hint="eastAsia"/>
          <w:szCs w:val="24"/>
        </w:rPr>
        <w:t>每</w:t>
      </w:r>
      <w:r w:rsidR="00CF0D18">
        <w:rPr>
          <w:rFonts w:ascii="標楷體" w:eastAsia="標楷體" w:hAnsi="標楷體" w:hint="eastAsia"/>
          <w:szCs w:val="24"/>
        </w:rPr>
        <w:t>日再平衡、每月再平衡以及每年再平衡)、價值再平衡(即投資組合之風險超過使用者預期時進行之再平衡)以及不進行再平衡三種風險控管方式進行比較，以驗證何種再平衡方式為最佳之風險控管方式。</w:t>
      </w:r>
    </w:p>
    <w:p w14:paraId="1F14150B" w14:textId="061C7E58" w:rsidR="00BC17CC" w:rsidRDefault="00BC17CC" w:rsidP="00BC17CC">
      <w:pPr>
        <w:pStyle w:val="a7"/>
        <w:numPr>
          <w:ilvl w:val="3"/>
          <w:numId w:val="3"/>
        </w:numPr>
        <w:ind w:leftChars="0"/>
        <w:rPr>
          <w:rFonts w:ascii="標楷體" w:eastAsia="標楷體" w:hAnsi="標楷體"/>
          <w:szCs w:val="24"/>
        </w:rPr>
      </w:pPr>
      <w:r>
        <w:rPr>
          <w:rFonts w:ascii="標楷體" w:eastAsia="標楷體" w:hAnsi="標楷體" w:hint="eastAsia"/>
          <w:szCs w:val="24"/>
        </w:rPr>
        <w:t>價值再平衡</w:t>
      </w:r>
      <w:r w:rsidR="00161171">
        <w:rPr>
          <w:rFonts w:ascii="標楷體" w:eastAsia="標楷體" w:hAnsi="標楷體" w:hint="eastAsia"/>
          <w:szCs w:val="24"/>
        </w:rPr>
        <w:t>為資產最穩定的方式</w:t>
      </w:r>
    </w:p>
    <w:p w14:paraId="5D5C7072" w14:textId="34F1A553" w:rsidR="00EC04D8" w:rsidRDefault="00A72134" w:rsidP="00AC0113">
      <w:pPr>
        <w:pStyle w:val="a7"/>
        <w:ind w:leftChars="0" w:left="1920"/>
        <w:rPr>
          <w:rFonts w:ascii="標楷體" w:eastAsia="標楷體" w:hAnsi="標楷體" w:hint="eastAsia"/>
          <w:szCs w:val="24"/>
        </w:rPr>
      </w:pPr>
      <w:r>
        <w:rPr>
          <w:noProof/>
        </w:rPr>
        <w:drawing>
          <wp:anchor distT="0" distB="0" distL="114300" distR="114300" simplePos="0" relativeHeight="251660288" behindDoc="0" locked="0" layoutInCell="1" allowOverlap="1" wp14:anchorId="60154ECF" wp14:editId="52EEC565">
            <wp:simplePos x="0" y="0"/>
            <wp:positionH relativeFrom="margin">
              <wp:posOffset>662940</wp:posOffset>
            </wp:positionH>
            <wp:positionV relativeFrom="paragraph">
              <wp:posOffset>990600</wp:posOffset>
            </wp:positionV>
            <wp:extent cx="4062730" cy="2964180"/>
            <wp:effectExtent l="0" t="0" r="0" b="762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079" t="7614" r="6959" b="5442"/>
                    <a:stretch/>
                  </pic:blipFill>
                  <pic:spPr bwMode="auto">
                    <a:xfrm>
                      <a:off x="0" y="0"/>
                      <a:ext cx="4062730" cy="2964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04D8">
        <w:rPr>
          <w:rFonts w:ascii="標楷體" w:eastAsia="標楷體" w:hAnsi="標楷體" w:hint="eastAsia"/>
          <w:szCs w:val="24"/>
        </w:rPr>
        <w:t>比較三種在平衡方式可以發現，價值再平衡的波動度相較於其餘兩種較低，且其標準差也較其</w:t>
      </w:r>
      <w:r w:rsidR="00161171">
        <w:rPr>
          <w:rFonts w:ascii="標楷體" w:eastAsia="標楷體" w:hAnsi="標楷體" w:hint="eastAsia"/>
          <w:szCs w:val="24"/>
        </w:rPr>
        <w:t>餘</w:t>
      </w:r>
      <w:r w:rsidR="00EC04D8">
        <w:rPr>
          <w:rFonts w:ascii="標楷體" w:eastAsia="標楷體" w:hAnsi="標楷體" w:hint="eastAsia"/>
          <w:szCs w:val="24"/>
        </w:rPr>
        <w:t>兩者較低，</w:t>
      </w:r>
      <w:r w:rsidR="00161171">
        <w:rPr>
          <w:rFonts w:ascii="標楷體" w:eastAsia="標楷體" w:hAnsi="標楷體" w:hint="eastAsia"/>
          <w:szCs w:val="24"/>
        </w:rPr>
        <w:t>由以上兩點可得知，價值再平衡是所有再平衡方式中最為穩定的方式。</w:t>
      </w:r>
      <w:r w:rsidR="001D1037">
        <w:rPr>
          <w:rFonts w:ascii="標楷體" w:eastAsia="標楷體" w:hAnsi="標楷體" w:hint="eastAsia"/>
          <w:szCs w:val="24"/>
        </w:rPr>
        <w:t>(圖二)</w:t>
      </w:r>
    </w:p>
    <w:p w14:paraId="7ADC20E2" w14:textId="6D5FBE60" w:rsidR="001D1037" w:rsidRPr="001D1037" w:rsidRDefault="001D1037" w:rsidP="001D1037">
      <w:pPr>
        <w:jc w:val="center"/>
        <w:rPr>
          <w:rFonts w:ascii="標楷體" w:eastAsia="標楷體" w:hAnsi="標楷體"/>
          <w:sz w:val="20"/>
          <w:szCs w:val="20"/>
        </w:rPr>
      </w:pPr>
      <w:r w:rsidRPr="001D1037">
        <w:rPr>
          <w:rFonts w:ascii="標楷體" w:eastAsia="標楷體" w:hAnsi="標楷體" w:hint="eastAsia"/>
          <w:sz w:val="20"/>
          <w:szCs w:val="20"/>
        </w:rPr>
        <w:t>圖二.不同再平衡狀況之資產狀況</w:t>
      </w:r>
    </w:p>
    <w:p w14:paraId="2BE7B11F" w14:textId="349C6F3D" w:rsidR="001D1037" w:rsidRPr="001D1037" w:rsidRDefault="001D1037" w:rsidP="001D1037">
      <w:pPr>
        <w:pStyle w:val="a7"/>
        <w:numPr>
          <w:ilvl w:val="3"/>
          <w:numId w:val="3"/>
        </w:numPr>
        <w:ind w:leftChars="0"/>
        <w:rPr>
          <w:rFonts w:ascii="標楷體" w:eastAsia="標楷體" w:hAnsi="標楷體"/>
          <w:szCs w:val="24"/>
        </w:rPr>
      </w:pPr>
      <w:r>
        <w:rPr>
          <w:rFonts w:ascii="標楷體" w:eastAsia="標楷體" w:hAnsi="標楷體" w:hint="eastAsia"/>
          <w:szCs w:val="24"/>
        </w:rPr>
        <w:lastRenderedPageBreak/>
        <w:t>市場的總體情況決定何種再平衡方式有最高報酬</w:t>
      </w:r>
    </w:p>
    <w:p w14:paraId="62810499" w14:textId="558BB61E" w:rsidR="001D1037" w:rsidRDefault="001D1037" w:rsidP="001D1037">
      <w:pPr>
        <w:pStyle w:val="a7"/>
        <w:ind w:leftChars="0" w:left="1920"/>
        <w:rPr>
          <w:rFonts w:ascii="標楷體" w:eastAsia="標楷體" w:hAnsi="標楷體"/>
          <w:szCs w:val="24"/>
        </w:rPr>
      </w:pPr>
      <w:r>
        <w:rPr>
          <w:rFonts w:ascii="標楷體" w:eastAsia="標楷體" w:hAnsi="標楷體" w:hint="eastAsia"/>
          <w:szCs w:val="24"/>
        </w:rPr>
        <w:t>比較最終報酬可以發現每年再平衡會有最高之報酬，但若以2020年3月~5月來看，可以發現價值再平衡在這時間期間是有最高報酬的(圖二)，表示市場若遇到金融危機以及金融復甦期時，價值再平衡是有更好的報酬率表現的。</w:t>
      </w:r>
    </w:p>
    <w:p w14:paraId="6CEB07FB" w14:textId="4CD823E8" w:rsidR="00BC17CC" w:rsidRDefault="00BC17CC" w:rsidP="00CF0D18">
      <w:pPr>
        <w:pStyle w:val="a7"/>
        <w:numPr>
          <w:ilvl w:val="3"/>
          <w:numId w:val="3"/>
        </w:numPr>
        <w:ind w:leftChars="0"/>
        <w:rPr>
          <w:rFonts w:ascii="標楷體" w:eastAsia="標楷體" w:hAnsi="標楷體"/>
          <w:szCs w:val="24"/>
        </w:rPr>
      </w:pPr>
      <w:r>
        <w:rPr>
          <w:rFonts w:ascii="標楷體" w:eastAsia="標楷體" w:hAnsi="標楷體" w:hint="eastAsia"/>
          <w:szCs w:val="24"/>
        </w:rPr>
        <w:t>價值再平衡有最大的抵抗市場的系統性風險</w:t>
      </w:r>
    </w:p>
    <w:p w14:paraId="49B6065D" w14:textId="1528D989" w:rsidR="002B7EB9" w:rsidRPr="002B7EB9" w:rsidRDefault="00161171" w:rsidP="002B7EB9">
      <w:pPr>
        <w:pStyle w:val="a7"/>
        <w:ind w:leftChars="0" w:left="1920"/>
        <w:rPr>
          <w:rFonts w:ascii="標楷體" w:eastAsia="標楷體" w:hAnsi="標楷體" w:hint="eastAsia"/>
          <w:szCs w:val="24"/>
        </w:rPr>
      </w:pPr>
      <w:r>
        <w:rPr>
          <w:rFonts w:ascii="標楷體" w:eastAsia="標楷體" w:hAnsi="標楷體" w:hint="eastAsia"/>
          <w:szCs w:val="24"/>
        </w:rPr>
        <w:t>以2020年3月的全球金融危機而言，除了價值再平衡仍然有微幅的成長外，其餘再平衡方式單月仍然會有大約13%的虧損，可見價值再平衡可以有效的抵抗市場的系統性風險</w:t>
      </w:r>
      <w:r w:rsidR="001D1037">
        <w:rPr>
          <w:rFonts w:ascii="標楷體" w:eastAsia="標楷體" w:hAnsi="標楷體" w:hint="eastAsia"/>
          <w:szCs w:val="24"/>
        </w:rPr>
        <w:t>。(圖二)</w:t>
      </w:r>
    </w:p>
    <w:p w14:paraId="349627A9" w14:textId="68937114" w:rsidR="00351D4E" w:rsidRDefault="002B7EB9" w:rsidP="00D01B3A">
      <w:pPr>
        <w:pStyle w:val="a7"/>
        <w:numPr>
          <w:ilvl w:val="0"/>
          <w:numId w:val="3"/>
        </w:numPr>
        <w:ind w:leftChars="0"/>
        <w:rPr>
          <w:rFonts w:ascii="標楷體" w:eastAsia="標楷體" w:hAnsi="標楷體"/>
          <w:sz w:val="28"/>
          <w:szCs w:val="24"/>
        </w:rPr>
      </w:pPr>
      <w:r>
        <w:rPr>
          <w:rFonts w:ascii="標楷體" w:eastAsia="標楷體" w:hAnsi="標楷體" w:hint="eastAsia"/>
          <w:sz w:val="28"/>
          <w:szCs w:val="24"/>
        </w:rPr>
        <w:t>系統平台實作</w:t>
      </w:r>
    </w:p>
    <w:p w14:paraId="36D19B99" w14:textId="77777777" w:rsidR="002B7EB9" w:rsidRDefault="002B7EB9" w:rsidP="002B7EB9">
      <w:pPr>
        <w:pStyle w:val="a7"/>
        <w:numPr>
          <w:ilvl w:val="1"/>
          <w:numId w:val="3"/>
        </w:numPr>
        <w:ind w:leftChars="0"/>
        <w:rPr>
          <w:rFonts w:ascii="標楷體" w:eastAsia="標楷體" w:hAnsi="標楷體"/>
          <w:szCs w:val="24"/>
        </w:rPr>
      </w:pPr>
      <w:r w:rsidRPr="00351D4E">
        <w:rPr>
          <w:rFonts w:ascii="標楷體" w:eastAsia="標楷體" w:hAnsi="標楷體" w:hint="eastAsia"/>
          <w:szCs w:val="24"/>
        </w:rPr>
        <w:t>流程圖</w:t>
      </w:r>
    </w:p>
    <w:p w14:paraId="224B08F0" w14:textId="77777777" w:rsidR="002B7EB9" w:rsidRDefault="002B7EB9" w:rsidP="002B7EB9">
      <w:pPr>
        <w:pStyle w:val="a7"/>
        <w:ind w:leftChars="0" w:left="960"/>
        <w:rPr>
          <w:rFonts w:ascii="標楷體" w:eastAsia="標楷體" w:hAnsi="標楷體"/>
          <w:szCs w:val="24"/>
        </w:rPr>
      </w:pPr>
      <w:r w:rsidRPr="00177892">
        <w:rPr>
          <w:rFonts w:ascii="標楷體" w:eastAsia="標楷體" w:hAnsi="標楷體"/>
          <w:noProof/>
          <w:szCs w:val="24"/>
        </w:rPr>
        <w:drawing>
          <wp:inline distT="0" distB="0" distL="0" distR="0" wp14:anchorId="02D7FBD5" wp14:editId="32E4DCFE">
            <wp:extent cx="5274310" cy="296672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6720"/>
                    </a:xfrm>
                    <a:prstGeom prst="rect">
                      <a:avLst/>
                    </a:prstGeom>
                  </pic:spPr>
                </pic:pic>
              </a:graphicData>
            </a:graphic>
          </wp:inline>
        </w:drawing>
      </w:r>
    </w:p>
    <w:p w14:paraId="33A29630" w14:textId="77777777" w:rsidR="002B7EB9" w:rsidRDefault="002B7EB9" w:rsidP="002B7EB9">
      <w:pPr>
        <w:pStyle w:val="a7"/>
        <w:numPr>
          <w:ilvl w:val="3"/>
          <w:numId w:val="3"/>
        </w:numPr>
        <w:ind w:leftChars="0"/>
        <w:rPr>
          <w:rFonts w:ascii="標楷體" w:eastAsia="標楷體" w:hAnsi="標楷體"/>
          <w:szCs w:val="24"/>
        </w:rPr>
      </w:pPr>
      <w:r>
        <w:rPr>
          <w:rFonts w:ascii="標楷體" w:eastAsia="標楷體" w:hAnsi="標楷體" w:hint="eastAsia"/>
          <w:szCs w:val="24"/>
        </w:rPr>
        <w:t>使用者根據自身理財目標輸入參數</w:t>
      </w:r>
    </w:p>
    <w:p w14:paraId="7F686F59" w14:textId="77777777" w:rsidR="002B7EB9" w:rsidRDefault="002B7EB9" w:rsidP="002B7EB9">
      <w:pPr>
        <w:pStyle w:val="a7"/>
        <w:numPr>
          <w:ilvl w:val="3"/>
          <w:numId w:val="3"/>
        </w:numPr>
        <w:ind w:leftChars="0"/>
        <w:rPr>
          <w:rFonts w:ascii="標楷體" w:eastAsia="標楷體" w:hAnsi="標楷體"/>
          <w:szCs w:val="24"/>
        </w:rPr>
      </w:pPr>
      <w:r>
        <w:rPr>
          <w:rFonts w:ascii="標楷體" w:eastAsia="標楷體" w:hAnsi="標楷體" w:hint="eastAsia"/>
          <w:szCs w:val="24"/>
        </w:rPr>
        <w:t>計算其報酬率以及此報酬下最低風險之投資組合</w:t>
      </w:r>
    </w:p>
    <w:p w14:paraId="6484A736" w14:textId="77777777" w:rsidR="002B7EB9" w:rsidRDefault="002B7EB9" w:rsidP="002B7EB9">
      <w:pPr>
        <w:pStyle w:val="a7"/>
        <w:numPr>
          <w:ilvl w:val="3"/>
          <w:numId w:val="3"/>
        </w:numPr>
        <w:ind w:leftChars="0"/>
        <w:rPr>
          <w:rFonts w:ascii="標楷體" w:eastAsia="標楷體" w:hAnsi="標楷體"/>
          <w:szCs w:val="24"/>
        </w:rPr>
      </w:pPr>
      <w:r>
        <w:rPr>
          <w:rFonts w:ascii="標楷體" w:eastAsia="標楷體" w:hAnsi="標楷體" w:hint="eastAsia"/>
          <w:szCs w:val="24"/>
        </w:rPr>
        <w:t>加入再平衡演算法使其風險再降低</w:t>
      </w:r>
    </w:p>
    <w:p w14:paraId="500FA273" w14:textId="77777777" w:rsidR="002B7EB9" w:rsidRPr="00177892" w:rsidRDefault="002B7EB9" w:rsidP="002B7EB9">
      <w:pPr>
        <w:pStyle w:val="a7"/>
        <w:numPr>
          <w:ilvl w:val="3"/>
          <w:numId w:val="3"/>
        </w:numPr>
        <w:ind w:leftChars="0"/>
        <w:rPr>
          <w:rFonts w:ascii="標楷體" w:eastAsia="標楷體" w:hAnsi="標楷體"/>
          <w:szCs w:val="24"/>
        </w:rPr>
      </w:pPr>
      <w:r>
        <w:rPr>
          <w:rFonts w:ascii="標楷體" w:eastAsia="標楷體" w:hAnsi="標楷體" w:hint="eastAsia"/>
          <w:szCs w:val="24"/>
        </w:rPr>
        <w:t>使用者可以看到投資組合狀態以及預期資產成長並且</w:t>
      </w:r>
      <w:r w:rsidRPr="00177892">
        <w:rPr>
          <w:rFonts w:ascii="標楷體" w:eastAsia="標楷體" w:hAnsi="標楷體" w:hint="eastAsia"/>
          <w:szCs w:val="24"/>
        </w:rPr>
        <w:t>記錄使用者的理財目標</w:t>
      </w:r>
      <w:r>
        <w:rPr>
          <w:rFonts w:ascii="標楷體" w:eastAsia="標楷體" w:hAnsi="標楷體" w:hint="eastAsia"/>
          <w:szCs w:val="24"/>
        </w:rPr>
        <w:t>進行</w:t>
      </w:r>
      <w:r w:rsidRPr="00177892">
        <w:rPr>
          <w:rFonts w:ascii="標楷體" w:eastAsia="標楷體" w:hAnsi="標楷體" w:hint="eastAsia"/>
          <w:szCs w:val="24"/>
        </w:rPr>
        <w:t>自動化進行投資</w:t>
      </w:r>
    </w:p>
    <w:p w14:paraId="7B65ED4B" w14:textId="5655EF70" w:rsidR="002B7EB9" w:rsidRDefault="00AC0113" w:rsidP="00AC0113">
      <w:pPr>
        <w:pStyle w:val="a7"/>
        <w:numPr>
          <w:ilvl w:val="1"/>
          <w:numId w:val="3"/>
        </w:numPr>
        <w:ind w:leftChars="0"/>
        <w:rPr>
          <w:rFonts w:ascii="標楷體" w:eastAsia="標楷體" w:hAnsi="標楷體"/>
        </w:rPr>
      </w:pPr>
      <w:r>
        <w:rPr>
          <w:rFonts w:ascii="標楷體" w:eastAsia="標楷體" w:hAnsi="標楷體" w:hint="eastAsia"/>
        </w:rPr>
        <w:t>系統平台demo</w:t>
      </w:r>
    </w:p>
    <w:p w14:paraId="78CC729D" w14:textId="77777777" w:rsidR="00AC0113" w:rsidRPr="002B7EB9" w:rsidRDefault="00AC0113" w:rsidP="00A544A5">
      <w:pPr>
        <w:pStyle w:val="a7"/>
        <w:ind w:leftChars="0" w:left="960"/>
        <w:rPr>
          <w:rFonts w:ascii="標楷體" w:eastAsia="標楷體" w:hAnsi="標楷體" w:hint="eastAsia"/>
        </w:rPr>
      </w:pPr>
    </w:p>
    <w:p w14:paraId="32BF5A52" w14:textId="69451E3A" w:rsidR="002B7EB9" w:rsidRPr="002B7EB9" w:rsidRDefault="002B7EB9" w:rsidP="002B7EB9">
      <w:pPr>
        <w:pStyle w:val="a7"/>
        <w:numPr>
          <w:ilvl w:val="0"/>
          <w:numId w:val="3"/>
        </w:numPr>
        <w:ind w:leftChars="0"/>
        <w:rPr>
          <w:rFonts w:ascii="標楷體" w:eastAsia="標楷體" w:hAnsi="標楷體" w:hint="eastAsia"/>
          <w:sz w:val="28"/>
          <w:szCs w:val="24"/>
        </w:rPr>
      </w:pPr>
      <w:r>
        <w:rPr>
          <w:rFonts w:ascii="標楷體" w:eastAsia="標楷體" w:hAnsi="標楷體" w:hint="eastAsia"/>
          <w:sz w:val="28"/>
          <w:szCs w:val="24"/>
        </w:rPr>
        <w:t>結論與未來展望</w:t>
      </w:r>
    </w:p>
    <w:p w14:paraId="50BB1F0E" w14:textId="2D13903E" w:rsidR="00A7066C" w:rsidRPr="00B27BF8" w:rsidRDefault="00B27BF8" w:rsidP="00A7066C">
      <w:pPr>
        <w:pStyle w:val="a7"/>
        <w:ind w:leftChars="0" w:left="720"/>
        <w:rPr>
          <w:rFonts w:ascii="標楷體" w:eastAsia="標楷體" w:hAnsi="標楷體"/>
          <w:szCs w:val="24"/>
        </w:rPr>
      </w:pPr>
      <w:r>
        <w:rPr>
          <w:rFonts w:ascii="標楷體" w:eastAsia="標楷體" w:hAnsi="標楷體" w:hint="eastAsia"/>
          <w:szCs w:val="24"/>
        </w:rPr>
        <w:t>此研究中比較三種不同資產配置方式，並證明單純選取不同種類之ETF為最有</w:t>
      </w:r>
      <w:r w:rsidR="0090010E">
        <w:rPr>
          <w:rFonts w:ascii="標楷體" w:eastAsia="標楷體" w:hAnsi="標楷體" w:hint="eastAsia"/>
          <w:szCs w:val="24"/>
        </w:rPr>
        <w:t>投資效率</w:t>
      </w:r>
      <w:r>
        <w:rPr>
          <w:rFonts w:ascii="標楷體" w:eastAsia="標楷體" w:hAnsi="標楷體" w:hint="eastAsia"/>
          <w:szCs w:val="24"/>
        </w:rPr>
        <w:t>之資產配置方式</w:t>
      </w:r>
      <w:r w:rsidR="0090010E">
        <w:rPr>
          <w:rFonts w:ascii="標楷體" w:eastAsia="標楷體" w:hAnsi="標楷體" w:hint="eastAsia"/>
          <w:szCs w:val="24"/>
        </w:rPr>
        <w:t>，意即可以用最低的風險獲得相同的報酬，亦比較了三種不同的再平衡方式，方別為價值再平衡以及兩種時間</w:t>
      </w:r>
      <w:r w:rsidR="0090010E">
        <w:rPr>
          <w:rFonts w:ascii="標楷體" w:eastAsia="標楷體" w:hAnsi="標楷體" w:hint="eastAsia"/>
          <w:szCs w:val="24"/>
        </w:rPr>
        <w:lastRenderedPageBreak/>
        <w:t>再平衡的方式，可以發現價值再平衡將使資產的波動幅度最小，且能有效的對抗市場之系統性風險。未來我們將進一步針對不同的風險指標進行不同資產配置的風險評估，並將資產配置之成效與股市整體走向之關係做進一步的分析。</w:t>
      </w:r>
    </w:p>
    <w:p w14:paraId="231EEF7C" w14:textId="47BCE963" w:rsidR="00351D4E" w:rsidRDefault="00351D4E" w:rsidP="00D01B3A">
      <w:pPr>
        <w:pStyle w:val="a7"/>
        <w:numPr>
          <w:ilvl w:val="0"/>
          <w:numId w:val="3"/>
        </w:numPr>
        <w:ind w:leftChars="0"/>
        <w:rPr>
          <w:rFonts w:ascii="標楷體" w:eastAsia="標楷體" w:hAnsi="標楷體"/>
          <w:sz w:val="28"/>
          <w:szCs w:val="24"/>
        </w:rPr>
      </w:pPr>
      <w:r>
        <w:rPr>
          <w:rFonts w:ascii="標楷體" w:eastAsia="標楷體" w:hAnsi="標楷體" w:hint="eastAsia"/>
          <w:sz w:val="28"/>
          <w:szCs w:val="24"/>
        </w:rPr>
        <w:t>參考資料</w:t>
      </w:r>
    </w:p>
    <w:p w14:paraId="24D4C888" w14:textId="44BA220A" w:rsidR="00AC0113" w:rsidRPr="00EA495B" w:rsidRDefault="00AC0113" w:rsidP="00AC0113">
      <w:pPr>
        <w:pStyle w:val="a7"/>
        <w:numPr>
          <w:ilvl w:val="0"/>
          <w:numId w:val="4"/>
        </w:numPr>
        <w:ind w:leftChars="0"/>
        <w:rPr>
          <w:rFonts w:ascii="標楷體" w:eastAsia="標楷體" w:hAnsi="標楷體"/>
          <w:szCs w:val="24"/>
        </w:rPr>
      </w:pPr>
      <w:hyperlink r:id="rId14" w:history="1">
        <w:r w:rsidRPr="003B3BCA">
          <w:rPr>
            <w:rStyle w:val="a8"/>
            <w:rFonts w:ascii="標楷體" w:eastAsia="標楷體" w:hAnsi="標楷體"/>
            <w:szCs w:val="24"/>
          </w:rPr>
          <w:t>https://www.bnext.com.tw/article/38278/BN-2015-12-21-175827-178</w:t>
        </w:r>
      </w:hyperlink>
    </w:p>
    <w:p w14:paraId="121DC74D" w14:textId="77777777" w:rsidR="00AC0113" w:rsidRDefault="00AC0113" w:rsidP="00AC0113">
      <w:pPr>
        <w:pStyle w:val="a7"/>
        <w:numPr>
          <w:ilvl w:val="0"/>
          <w:numId w:val="4"/>
        </w:numPr>
        <w:ind w:leftChars="0"/>
        <w:rPr>
          <w:rFonts w:ascii="標楷體" w:eastAsia="標楷體" w:hAnsi="標楷體"/>
          <w:szCs w:val="24"/>
        </w:rPr>
      </w:pPr>
      <w:hyperlink r:id="rId15" w:history="1">
        <w:r w:rsidRPr="003B3BCA">
          <w:rPr>
            <w:rStyle w:val="a8"/>
            <w:rFonts w:ascii="標楷體" w:eastAsia="標楷體" w:hAnsi="標楷體"/>
            <w:szCs w:val="24"/>
          </w:rPr>
          <w:t>https://www.stockfeel.com.tw/%E7%90%86%E8%B2%A1%E6%A9%9F%E5%99%A8%E4%BA%BA%E6%98%AF%E4%BB%80%E9%BA%BC%EF%BC%9F%E4%B8%80%E6%96%87%E8%AE%93%E4%BD%A0%E4%BA%86%E8%A7%A3%E6%8A%95%E8%B3%87%E7%90%86%E8%B2%A1%E6%9C%AA%E4%BE%86%E8%B6%A8/</w:t>
        </w:r>
      </w:hyperlink>
    </w:p>
    <w:p w14:paraId="1B7389CD" w14:textId="77777777" w:rsidR="00AC0113" w:rsidRDefault="00AC0113" w:rsidP="00AC0113">
      <w:pPr>
        <w:pStyle w:val="a7"/>
        <w:numPr>
          <w:ilvl w:val="0"/>
          <w:numId w:val="4"/>
        </w:numPr>
        <w:ind w:leftChars="0"/>
        <w:rPr>
          <w:rFonts w:ascii="標楷體" w:eastAsia="標楷體" w:hAnsi="標楷體"/>
          <w:szCs w:val="24"/>
        </w:rPr>
      </w:pPr>
      <w:hyperlink r:id="rId16" w:history="1">
        <w:r w:rsidRPr="003B3BCA">
          <w:rPr>
            <w:rStyle w:val="a8"/>
            <w:rFonts w:ascii="標楷體" w:eastAsia="標楷體" w:hAnsi="標楷體"/>
            <w:szCs w:val="24"/>
          </w:rPr>
          <w:t>https://wiki.mbalib.com/zh-tw/%E8%B5%84%E4%BA%A7%E9%85%8D%E7%BD%AE</w:t>
        </w:r>
      </w:hyperlink>
    </w:p>
    <w:p w14:paraId="3A7A331F" w14:textId="77777777" w:rsidR="00AC0113" w:rsidRDefault="00AC0113" w:rsidP="00AC0113">
      <w:pPr>
        <w:pStyle w:val="a7"/>
        <w:numPr>
          <w:ilvl w:val="0"/>
          <w:numId w:val="4"/>
        </w:numPr>
        <w:ind w:leftChars="0"/>
        <w:rPr>
          <w:rFonts w:ascii="標楷體" w:eastAsia="標楷體" w:hAnsi="標楷體"/>
          <w:szCs w:val="24"/>
        </w:rPr>
      </w:pPr>
      <w:hyperlink r:id="rId17" w:history="1">
        <w:r w:rsidRPr="003B3BCA">
          <w:rPr>
            <w:rStyle w:val="a8"/>
            <w:rFonts w:ascii="標楷體" w:eastAsia="標楷體" w:hAnsi="標楷體"/>
            <w:szCs w:val="24"/>
          </w:rPr>
          <w:t>https://wealth.businessweekly.com.tw/m/GArticle.aspx?id=ARTL003000132</w:t>
        </w:r>
      </w:hyperlink>
    </w:p>
    <w:p w14:paraId="7D080832" w14:textId="77777777" w:rsidR="00AC0113" w:rsidRDefault="00AC0113" w:rsidP="00AC0113">
      <w:pPr>
        <w:pStyle w:val="a7"/>
        <w:numPr>
          <w:ilvl w:val="0"/>
          <w:numId w:val="4"/>
        </w:numPr>
        <w:ind w:leftChars="0"/>
        <w:rPr>
          <w:rFonts w:ascii="標楷體" w:eastAsia="標楷體" w:hAnsi="標楷體"/>
          <w:szCs w:val="24"/>
        </w:rPr>
      </w:pPr>
      <w:hyperlink r:id="rId18" w:history="1">
        <w:r w:rsidRPr="003B3BCA">
          <w:rPr>
            <w:rStyle w:val="a8"/>
            <w:rFonts w:ascii="標楷體" w:eastAsia="標楷體" w:hAnsi="標楷體"/>
            <w:szCs w:val="24"/>
          </w:rPr>
          <w:t>https://rich01.com/what-asset-rebalancing/</w:t>
        </w:r>
      </w:hyperlink>
    </w:p>
    <w:p w14:paraId="382F617F" w14:textId="77777777" w:rsidR="00AC0113" w:rsidRDefault="00AC0113" w:rsidP="00AC0113">
      <w:pPr>
        <w:pStyle w:val="a7"/>
        <w:numPr>
          <w:ilvl w:val="0"/>
          <w:numId w:val="4"/>
        </w:numPr>
        <w:ind w:leftChars="0"/>
        <w:rPr>
          <w:rFonts w:ascii="標楷體" w:eastAsia="標楷體" w:hAnsi="標楷體"/>
          <w:szCs w:val="24"/>
        </w:rPr>
      </w:pPr>
      <w:hyperlink r:id="rId19" w:history="1">
        <w:r w:rsidRPr="003B3BCA">
          <w:rPr>
            <w:rStyle w:val="a8"/>
            <w:rFonts w:ascii="標楷體" w:eastAsia="標楷體" w:hAnsi="標楷體"/>
            <w:szCs w:val="24"/>
          </w:rPr>
          <w:t>https://www.morningstar.com/articles/990564/why-rebalancing-almost-always-pays-off</w:t>
        </w:r>
      </w:hyperlink>
    </w:p>
    <w:p w14:paraId="02D29D8B" w14:textId="69C5DE3D" w:rsidR="002B7EB9" w:rsidRDefault="002B7EB9" w:rsidP="00AC0113">
      <w:pPr>
        <w:rPr>
          <w:rFonts w:ascii="標楷體" w:eastAsia="標楷體" w:hAnsi="標楷體"/>
          <w:sz w:val="28"/>
          <w:szCs w:val="24"/>
        </w:rPr>
      </w:pPr>
    </w:p>
    <w:p w14:paraId="66EBB335" w14:textId="7B46EB6A" w:rsidR="00B21016" w:rsidRDefault="00B21016" w:rsidP="00AC0113">
      <w:pPr>
        <w:rPr>
          <w:rFonts w:ascii="標楷體" w:eastAsia="標楷體" w:hAnsi="標楷體"/>
          <w:sz w:val="28"/>
          <w:szCs w:val="24"/>
        </w:rPr>
      </w:pPr>
    </w:p>
    <w:sectPr w:rsidR="00B210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9EB03" w14:textId="77777777" w:rsidR="002024A7" w:rsidRDefault="002024A7" w:rsidP="006B39B0">
      <w:r>
        <w:separator/>
      </w:r>
    </w:p>
  </w:endnote>
  <w:endnote w:type="continuationSeparator" w:id="0">
    <w:p w14:paraId="1116A8B3" w14:textId="77777777" w:rsidR="002024A7" w:rsidRDefault="002024A7" w:rsidP="006B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B74FE" w14:textId="77777777" w:rsidR="002024A7" w:rsidRDefault="002024A7" w:rsidP="006B39B0">
      <w:r>
        <w:separator/>
      </w:r>
    </w:p>
  </w:footnote>
  <w:footnote w:type="continuationSeparator" w:id="0">
    <w:p w14:paraId="619FEB41" w14:textId="77777777" w:rsidR="002024A7" w:rsidRDefault="002024A7" w:rsidP="006B3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C86"/>
    <w:multiLevelType w:val="hybridMultilevel"/>
    <w:tmpl w:val="0038B6F8"/>
    <w:lvl w:ilvl="0" w:tplc="BB10F11A">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1AF30DD1"/>
    <w:multiLevelType w:val="hybridMultilevel"/>
    <w:tmpl w:val="1AD0FF32"/>
    <w:lvl w:ilvl="0" w:tplc="CED43506">
      <w:start w:val="1"/>
      <w:numFmt w:val="ideographLegalTraditional"/>
      <w:lvlText w:val="%1、"/>
      <w:lvlJc w:val="left"/>
      <w:pPr>
        <w:ind w:left="720" w:hanging="720"/>
      </w:pPr>
      <w:rPr>
        <w:rFonts w:hint="default"/>
        <w:lang w:val="en-US"/>
      </w:rPr>
    </w:lvl>
    <w:lvl w:ilvl="1" w:tplc="04090015">
      <w:start w:val="1"/>
      <w:numFmt w:val="taiwaneseCountingThousand"/>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2A7213D1"/>
    <w:multiLevelType w:val="hybridMultilevel"/>
    <w:tmpl w:val="853E122A"/>
    <w:lvl w:ilvl="0" w:tplc="38742680">
      <w:start w:val="1"/>
      <w:numFmt w:val="low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5CBD0AEE"/>
    <w:multiLevelType w:val="hybridMultilevel"/>
    <w:tmpl w:val="754C522C"/>
    <w:lvl w:ilvl="0" w:tplc="ED882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B0"/>
    <w:rsid w:val="000739D2"/>
    <w:rsid w:val="000839B2"/>
    <w:rsid w:val="0014586E"/>
    <w:rsid w:val="00161171"/>
    <w:rsid w:val="00177892"/>
    <w:rsid w:val="001D1037"/>
    <w:rsid w:val="002024A7"/>
    <w:rsid w:val="002B0AB0"/>
    <w:rsid w:val="002B493C"/>
    <w:rsid w:val="002B7EB9"/>
    <w:rsid w:val="002E021E"/>
    <w:rsid w:val="002E5DD4"/>
    <w:rsid w:val="00351D4E"/>
    <w:rsid w:val="003E6093"/>
    <w:rsid w:val="004059C8"/>
    <w:rsid w:val="00430D07"/>
    <w:rsid w:val="0044655C"/>
    <w:rsid w:val="004C05ED"/>
    <w:rsid w:val="004F0842"/>
    <w:rsid w:val="005048D2"/>
    <w:rsid w:val="00543AF9"/>
    <w:rsid w:val="00565606"/>
    <w:rsid w:val="005942D2"/>
    <w:rsid w:val="0061796C"/>
    <w:rsid w:val="00690AE7"/>
    <w:rsid w:val="006927DD"/>
    <w:rsid w:val="006B39B0"/>
    <w:rsid w:val="006B5C54"/>
    <w:rsid w:val="006C75B0"/>
    <w:rsid w:val="00717DA5"/>
    <w:rsid w:val="00734EE2"/>
    <w:rsid w:val="007749A5"/>
    <w:rsid w:val="00776DFD"/>
    <w:rsid w:val="007B5B57"/>
    <w:rsid w:val="007C70C4"/>
    <w:rsid w:val="00806BE0"/>
    <w:rsid w:val="00841B8C"/>
    <w:rsid w:val="0090010E"/>
    <w:rsid w:val="00982229"/>
    <w:rsid w:val="009C1F11"/>
    <w:rsid w:val="009C3D3A"/>
    <w:rsid w:val="00A544A5"/>
    <w:rsid w:val="00A60AB9"/>
    <w:rsid w:val="00A65F2F"/>
    <w:rsid w:val="00A7066C"/>
    <w:rsid w:val="00A72134"/>
    <w:rsid w:val="00A77C7A"/>
    <w:rsid w:val="00AB67A7"/>
    <w:rsid w:val="00AC0113"/>
    <w:rsid w:val="00AC630E"/>
    <w:rsid w:val="00B03951"/>
    <w:rsid w:val="00B21016"/>
    <w:rsid w:val="00B27BF8"/>
    <w:rsid w:val="00B40A8E"/>
    <w:rsid w:val="00B54C2A"/>
    <w:rsid w:val="00BC17CC"/>
    <w:rsid w:val="00BC1E4A"/>
    <w:rsid w:val="00BD4B0C"/>
    <w:rsid w:val="00C65297"/>
    <w:rsid w:val="00C7443F"/>
    <w:rsid w:val="00C767AA"/>
    <w:rsid w:val="00CA342B"/>
    <w:rsid w:val="00CA546C"/>
    <w:rsid w:val="00CF0D18"/>
    <w:rsid w:val="00D01B3A"/>
    <w:rsid w:val="00D027FB"/>
    <w:rsid w:val="00D12E31"/>
    <w:rsid w:val="00D13471"/>
    <w:rsid w:val="00DC6A78"/>
    <w:rsid w:val="00DE63AE"/>
    <w:rsid w:val="00E60709"/>
    <w:rsid w:val="00E96200"/>
    <w:rsid w:val="00EA495B"/>
    <w:rsid w:val="00EB51FB"/>
    <w:rsid w:val="00EC04D8"/>
    <w:rsid w:val="00EC46E3"/>
    <w:rsid w:val="00F04E75"/>
    <w:rsid w:val="00F050E6"/>
    <w:rsid w:val="00F46AD4"/>
    <w:rsid w:val="00F5148D"/>
    <w:rsid w:val="00F5693C"/>
    <w:rsid w:val="00FC4FDD"/>
    <w:rsid w:val="00FC7A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B4959"/>
  <w15:chartTrackingRefBased/>
  <w15:docId w15:val="{A74019B5-9BC4-4682-BD1E-FAF4DB9A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9B0"/>
    <w:pPr>
      <w:tabs>
        <w:tab w:val="center" w:pos="4153"/>
        <w:tab w:val="right" w:pos="8306"/>
      </w:tabs>
      <w:snapToGrid w:val="0"/>
    </w:pPr>
    <w:rPr>
      <w:sz w:val="20"/>
      <w:szCs w:val="20"/>
    </w:rPr>
  </w:style>
  <w:style w:type="character" w:customStyle="1" w:styleId="a4">
    <w:name w:val="頁首 字元"/>
    <w:basedOn w:val="a0"/>
    <w:link w:val="a3"/>
    <w:uiPriority w:val="99"/>
    <w:rsid w:val="006B39B0"/>
    <w:rPr>
      <w:sz w:val="20"/>
      <w:szCs w:val="20"/>
    </w:rPr>
  </w:style>
  <w:style w:type="paragraph" w:styleId="a5">
    <w:name w:val="footer"/>
    <w:basedOn w:val="a"/>
    <w:link w:val="a6"/>
    <w:uiPriority w:val="99"/>
    <w:unhideWhenUsed/>
    <w:rsid w:val="006B39B0"/>
    <w:pPr>
      <w:tabs>
        <w:tab w:val="center" w:pos="4153"/>
        <w:tab w:val="right" w:pos="8306"/>
      </w:tabs>
      <w:snapToGrid w:val="0"/>
    </w:pPr>
    <w:rPr>
      <w:sz w:val="20"/>
      <w:szCs w:val="20"/>
    </w:rPr>
  </w:style>
  <w:style w:type="character" w:customStyle="1" w:styleId="a6">
    <w:name w:val="頁尾 字元"/>
    <w:basedOn w:val="a0"/>
    <w:link w:val="a5"/>
    <w:uiPriority w:val="99"/>
    <w:rsid w:val="006B39B0"/>
    <w:rPr>
      <w:sz w:val="20"/>
      <w:szCs w:val="20"/>
    </w:rPr>
  </w:style>
  <w:style w:type="paragraph" w:styleId="a7">
    <w:name w:val="List Paragraph"/>
    <w:basedOn w:val="a"/>
    <w:uiPriority w:val="34"/>
    <w:qFormat/>
    <w:rsid w:val="006B39B0"/>
    <w:pPr>
      <w:ind w:leftChars="200" w:left="480"/>
    </w:pPr>
  </w:style>
  <w:style w:type="character" w:styleId="a8">
    <w:name w:val="Hyperlink"/>
    <w:basedOn w:val="a0"/>
    <w:uiPriority w:val="99"/>
    <w:unhideWhenUsed/>
    <w:rsid w:val="0061796C"/>
    <w:rPr>
      <w:color w:val="0563C1" w:themeColor="hyperlink"/>
      <w:u w:val="single"/>
    </w:rPr>
  </w:style>
  <w:style w:type="character" w:styleId="a9">
    <w:name w:val="Unresolved Mention"/>
    <w:basedOn w:val="a0"/>
    <w:uiPriority w:val="99"/>
    <w:semiHidden/>
    <w:unhideWhenUsed/>
    <w:rsid w:val="00617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1698">
      <w:bodyDiv w:val="1"/>
      <w:marLeft w:val="0"/>
      <w:marRight w:val="0"/>
      <w:marTop w:val="0"/>
      <w:marBottom w:val="0"/>
      <w:divBdr>
        <w:top w:val="none" w:sz="0" w:space="0" w:color="auto"/>
        <w:left w:val="none" w:sz="0" w:space="0" w:color="auto"/>
        <w:bottom w:val="none" w:sz="0" w:space="0" w:color="auto"/>
        <w:right w:val="none" w:sz="0" w:space="0" w:color="auto"/>
      </w:divBdr>
    </w:div>
    <w:div w:id="419646380">
      <w:bodyDiv w:val="1"/>
      <w:marLeft w:val="0"/>
      <w:marRight w:val="0"/>
      <w:marTop w:val="0"/>
      <w:marBottom w:val="0"/>
      <w:divBdr>
        <w:top w:val="none" w:sz="0" w:space="0" w:color="auto"/>
        <w:left w:val="none" w:sz="0" w:space="0" w:color="auto"/>
        <w:bottom w:val="none" w:sz="0" w:space="0" w:color="auto"/>
        <w:right w:val="none" w:sz="0" w:space="0" w:color="auto"/>
      </w:divBdr>
    </w:div>
    <w:div w:id="520822950">
      <w:bodyDiv w:val="1"/>
      <w:marLeft w:val="0"/>
      <w:marRight w:val="0"/>
      <w:marTop w:val="0"/>
      <w:marBottom w:val="0"/>
      <w:divBdr>
        <w:top w:val="none" w:sz="0" w:space="0" w:color="auto"/>
        <w:left w:val="none" w:sz="0" w:space="0" w:color="auto"/>
        <w:bottom w:val="none" w:sz="0" w:space="0" w:color="auto"/>
        <w:right w:val="none" w:sz="0" w:space="0" w:color="auto"/>
      </w:divBdr>
    </w:div>
    <w:div w:id="767969840">
      <w:bodyDiv w:val="1"/>
      <w:marLeft w:val="0"/>
      <w:marRight w:val="0"/>
      <w:marTop w:val="0"/>
      <w:marBottom w:val="0"/>
      <w:divBdr>
        <w:top w:val="none" w:sz="0" w:space="0" w:color="auto"/>
        <w:left w:val="none" w:sz="0" w:space="0" w:color="auto"/>
        <w:bottom w:val="none" w:sz="0" w:space="0" w:color="auto"/>
        <w:right w:val="none" w:sz="0" w:space="0" w:color="auto"/>
      </w:divBdr>
      <w:divsChild>
        <w:div w:id="1773625115">
          <w:marLeft w:val="720"/>
          <w:marRight w:val="0"/>
          <w:marTop w:val="0"/>
          <w:marBottom w:val="0"/>
          <w:divBdr>
            <w:top w:val="none" w:sz="0" w:space="0" w:color="auto"/>
            <w:left w:val="none" w:sz="0" w:space="0" w:color="auto"/>
            <w:bottom w:val="none" w:sz="0" w:space="0" w:color="auto"/>
            <w:right w:val="none" w:sz="0" w:space="0" w:color="auto"/>
          </w:divBdr>
        </w:div>
      </w:divsChild>
    </w:div>
    <w:div w:id="10187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rich01.com/what-asset-rebalanc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ealth.businessweekly.com.tw/m/GArticle.aspx?id=ARTL003000132" TargetMode="External"/><Relationship Id="rId2" Type="http://schemas.openxmlformats.org/officeDocument/2006/relationships/numbering" Target="numbering.xml"/><Relationship Id="rId16" Type="http://schemas.openxmlformats.org/officeDocument/2006/relationships/hyperlink" Target="https://wiki.mbalib.com/zh-tw/%E8%B5%84%E4%BA%A7%E9%85%8D%E7%BD%A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stockfeel.com.tw/%E7%90%86%E8%B2%A1%E6%A9%9F%E5%99%A8%E4%BA%BA%E6%98%AF%E4%BB%80%E9%BA%BC%EF%BC%9F%E4%B8%80%E6%96%87%E8%AE%93%E4%BD%A0%E4%BA%86%E8%A7%A3%E6%8A%95%E8%B3%87%E7%90%86%E8%B2%A1%E6%9C%AA%E4%BE%86%E8%B6%A8/" TargetMode="External"/><Relationship Id="rId10" Type="http://schemas.openxmlformats.org/officeDocument/2006/relationships/image" Target="media/image2.emf"/><Relationship Id="rId19" Type="http://schemas.openxmlformats.org/officeDocument/2006/relationships/hyperlink" Target="https://www.morningstar.com/articles/990564/why-rebalancing-almost-always-pays-of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bnext.com.tw/article/38278/BN-2015-12-21-175827-17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lia\Downloads\108-2\project\&#36984;&#32929;&#28436;&#31639;&#27861;&#39511;&#35657;\&#36984;&#32929;&#28436;&#31639;&#27861;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yne\Downloads\&#19977;&#21312;&#38291;&#23526;&#39511;&#39511;&#31639;&#32080;&#26524;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選股演算法比較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選股演算法4!$U$6</c:f>
              <c:strCache>
                <c:ptCount val="1"/>
                <c:pt idx="0">
                  <c:v>窮舉法</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選股演算法4!$T$7:$T$24</c:f>
              <c:numCache>
                <c:formatCode>General</c:formatCode>
                <c:ptCount val="18"/>
                <c:pt idx="0">
                  <c:v>0.03</c:v>
                </c:pt>
                <c:pt idx="1">
                  <c:v>3.5000000000000003E-2</c:v>
                </c:pt>
                <c:pt idx="2">
                  <c:v>0.04</c:v>
                </c:pt>
                <c:pt idx="3">
                  <c:v>4.4999999999999998E-2</c:v>
                </c:pt>
                <c:pt idx="4">
                  <c:v>0.05</c:v>
                </c:pt>
                <c:pt idx="5">
                  <c:v>5.5E-2</c:v>
                </c:pt>
                <c:pt idx="6">
                  <c:v>0.06</c:v>
                </c:pt>
                <c:pt idx="7">
                  <c:v>6.5000000000000002E-2</c:v>
                </c:pt>
                <c:pt idx="8">
                  <c:v>7.0000000000000007E-2</c:v>
                </c:pt>
                <c:pt idx="9">
                  <c:v>7.4999999999999997E-2</c:v>
                </c:pt>
                <c:pt idx="10">
                  <c:v>0.08</c:v>
                </c:pt>
                <c:pt idx="11">
                  <c:v>8.5000000000000006E-2</c:v>
                </c:pt>
                <c:pt idx="12">
                  <c:v>0.09</c:v>
                </c:pt>
                <c:pt idx="13">
                  <c:v>9.5000000000000001E-2</c:v>
                </c:pt>
                <c:pt idx="14">
                  <c:v>0.1</c:v>
                </c:pt>
                <c:pt idx="15">
                  <c:v>0.105</c:v>
                </c:pt>
                <c:pt idx="16">
                  <c:v>0.11</c:v>
                </c:pt>
                <c:pt idx="17">
                  <c:v>0.115</c:v>
                </c:pt>
              </c:numCache>
            </c:numRef>
          </c:cat>
          <c:val>
            <c:numRef>
              <c:f>選股演算法4!$U$7:$U$24</c:f>
              <c:numCache>
                <c:formatCode>General</c:formatCode>
                <c:ptCount val="18"/>
                <c:pt idx="0">
                  <c:v>0.22633149499999999</c:v>
                </c:pt>
                <c:pt idx="1">
                  <c:v>0.20158947999999999</c:v>
                </c:pt>
                <c:pt idx="2">
                  <c:v>0.20158947999999999</c:v>
                </c:pt>
                <c:pt idx="3">
                  <c:v>0.22443200399999999</c:v>
                </c:pt>
                <c:pt idx="4">
                  <c:v>0.238211277</c:v>
                </c:pt>
                <c:pt idx="5">
                  <c:v>0.24217190799999999</c:v>
                </c:pt>
                <c:pt idx="6">
                  <c:v>0.26885475800000003</c:v>
                </c:pt>
                <c:pt idx="7">
                  <c:v>0.30438425200000002</c:v>
                </c:pt>
                <c:pt idx="8">
                  <c:v>0.33015682099999999</c:v>
                </c:pt>
                <c:pt idx="9">
                  <c:v>0.35999004099999998</c:v>
                </c:pt>
                <c:pt idx="10">
                  <c:v>0.39420211500000002</c:v>
                </c:pt>
                <c:pt idx="11">
                  <c:v>0.42469138699999998</c:v>
                </c:pt>
                <c:pt idx="12">
                  <c:v>0.46916376700000001</c:v>
                </c:pt>
                <c:pt idx="13">
                  <c:v>0.51797159500000001</c:v>
                </c:pt>
                <c:pt idx="14">
                  <c:v>0.56758663899999995</c:v>
                </c:pt>
                <c:pt idx="15">
                  <c:v>0.61306210999999999</c:v>
                </c:pt>
                <c:pt idx="16">
                  <c:v>0.64466318</c:v>
                </c:pt>
                <c:pt idx="17">
                  <c:v>0.75613384800000005</c:v>
                </c:pt>
              </c:numCache>
            </c:numRef>
          </c:val>
          <c:smooth val="0"/>
          <c:extLst>
            <c:ext xmlns:c16="http://schemas.microsoft.com/office/drawing/2014/chart" uri="{C3380CC4-5D6E-409C-BE32-E72D297353CC}">
              <c16:uniqueId val="{00000000-4E23-483F-938E-FB78FE80F503}"/>
            </c:ext>
          </c:extLst>
        </c:ser>
        <c:ser>
          <c:idx val="1"/>
          <c:order val="1"/>
          <c:tx>
            <c:strRef>
              <c:f>選股演算法4!$V$6</c:f>
              <c:strCache>
                <c:ptCount val="1"/>
                <c:pt idx="0">
                  <c:v>演算法</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選股演算法4!$T$7:$T$24</c:f>
              <c:numCache>
                <c:formatCode>General</c:formatCode>
                <c:ptCount val="18"/>
                <c:pt idx="0">
                  <c:v>0.03</c:v>
                </c:pt>
                <c:pt idx="1">
                  <c:v>3.5000000000000003E-2</c:v>
                </c:pt>
                <c:pt idx="2">
                  <c:v>0.04</c:v>
                </c:pt>
                <c:pt idx="3">
                  <c:v>4.4999999999999998E-2</c:v>
                </c:pt>
                <c:pt idx="4">
                  <c:v>0.05</c:v>
                </c:pt>
                <c:pt idx="5">
                  <c:v>5.5E-2</c:v>
                </c:pt>
                <c:pt idx="6">
                  <c:v>0.06</c:v>
                </c:pt>
                <c:pt idx="7">
                  <c:v>6.5000000000000002E-2</c:v>
                </c:pt>
                <c:pt idx="8">
                  <c:v>7.0000000000000007E-2</c:v>
                </c:pt>
                <c:pt idx="9">
                  <c:v>7.4999999999999997E-2</c:v>
                </c:pt>
                <c:pt idx="10">
                  <c:v>0.08</c:v>
                </c:pt>
                <c:pt idx="11">
                  <c:v>8.5000000000000006E-2</c:v>
                </c:pt>
                <c:pt idx="12">
                  <c:v>0.09</c:v>
                </c:pt>
                <c:pt idx="13">
                  <c:v>9.5000000000000001E-2</c:v>
                </c:pt>
                <c:pt idx="14">
                  <c:v>0.1</c:v>
                </c:pt>
                <c:pt idx="15">
                  <c:v>0.105</c:v>
                </c:pt>
                <c:pt idx="16">
                  <c:v>0.11</c:v>
                </c:pt>
                <c:pt idx="17">
                  <c:v>0.115</c:v>
                </c:pt>
              </c:numCache>
            </c:numRef>
          </c:cat>
          <c:val>
            <c:numRef>
              <c:f>選股演算法4!$V$7:$V$24</c:f>
              <c:numCache>
                <c:formatCode>General</c:formatCode>
                <c:ptCount val="18"/>
                <c:pt idx="0">
                  <c:v>0.219</c:v>
                </c:pt>
                <c:pt idx="1">
                  <c:v>0.219</c:v>
                </c:pt>
                <c:pt idx="2">
                  <c:v>0.219</c:v>
                </c:pt>
                <c:pt idx="3">
                  <c:v>0.246</c:v>
                </c:pt>
                <c:pt idx="4">
                  <c:v>0.27</c:v>
                </c:pt>
                <c:pt idx="5">
                  <c:v>0.28699999999999998</c:v>
                </c:pt>
                <c:pt idx="6">
                  <c:v>0.32100000000000001</c:v>
                </c:pt>
                <c:pt idx="7">
                  <c:v>0.32700000000000001</c:v>
                </c:pt>
                <c:pt idx="8">
                  <c:v>0.35499999999999998</c:v>
                </c:pt>
                <c:pt idx="9">
                  <c:v>0.41599999999999998</c:v>
                </c:pt>
                <c:pt idx="10">
                  <c:v>0.45200000000000001</c:v>
                </c:pt>
                <c:pt idx="11">
                  <c:v>0.50700000000000001</c:v>
                </c:pt>
                <c:pt idx="12">
                  <c:v>0.51500000000000001</c:v>
                </c:pt>
                <c:pt idx="13">
                  <c:v>0.56100000000000005</c:v>
                </c:pt>
                <c:pt idx="14">
                  <c:v>0.59599999999999997</c:v>
                </c:pt>
                <c:pt idx="15">
                  <c:v>0.61799999999999999</c:v>
                </c:pt>
                <c:pt idx="16">
                  <c:v>0.70299999999999996</c:v>
                </c:pt>
                <c:pt idx="17">
                  <c:v>0.75600000000000001</c:v>
                </c:pt>
              </c:numCache>
            </c:numRef>
          </c:val>
          <c:smooth val="0"/>
          <c:extLst>
            <c:ext xmlns:c16="http://schemas.microsoft.com/office/drawing/2014/chart" uri="{C3380CC4-5D6E-409C-BE32-E72D297353CC}">
              <c16:uniqueId val="{00000001-4E23-483F-938E-FB78FE80F503}"/>
            </c:ext>
          </c:extLst>
        </c:ser>
        <c:dLbls>
          <c:showLegendKey val="0"/>
          <c:showVal val="0"/>
          <c:showCatName val="0"/>
          <c:showSerName val="0"/>
          <c:showPercent val="0"/>
          <c:showBubbleSize val="0"/>
        </c:dLbls>
        <c:marker val="1"/>
        <c:smooth val="0"/>
        <c:axId val="1176561840"/>
        <c:axId val="1176557904"/>
      </c:lineChart>
      <c:catAx>
        <c:axId val="117656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76557904"/>
        <c:crosses val="autoZero"/>
        <c:auto val="1"/>
        <c:lblAlgn val="ctr"/>
        <c:lblOffset val="100"/>
        <c:noMultiLvlLbl val="0"/>
      </c:catAx>
      <c:valAx>
        <c:axId val="117655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7656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rgbClr val="0070C0"/>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4%</a:t>
            </a:r>
            <a:r>
              <a:rPr lang="zh-TW" altLang="en-US"/>
              <a:t>預期報酬下之單位風險報酬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綜合分析!$N$3</c:f>
              <c:strCache>
                <c:ptCount val="1"/>
                <c:pt idx="0">
                  <c:v>ETF</c:v>
                </c:pt>
              </c:strCache>
            </c:strRef>
          </c:tx>
          <c:spPr>
            <a:ln w="28575" cap="rnd">
              <a:solidFill>
                <a:schemeClr val="accent1"/>
              </a:solidFill>
              <a:round/>
            </a:ln>
            <a:effectLst/>
          </c:spPr>
          <c:marker>
            <c:symbol val="none"/>
          </c:marker>
          <c:cat>
            <c:strRef>
              <c:f>綜合分析!$O$2:$Q$2</c:f>
              <c:strCache>
                <c:ptCount val="3"/>
                <c:pt idx="0">
                  <c:v>2018-2020</c:v>
                </c:pt>
                <c:pt idx="1">
                  <c:v>2015-2020</c:v>
                </c:pt>
                <c:pt idx="2">
                  <c:v>2010-2020</c:v>
                </c:pt>
              </c:strCache>
            </c:strRef>
          </c:cat>
          <c:val>
            <c:numRef>
              <c:f>綜合分析!$O$3:$Q$3</c:f>
              <c:numCache>
                <c:formatCode>General</c:formatCode>
                <c:ptCount val="3"/>
                <c:pt idx="0">
                  <c:v>0.31647235322723721</c:v>
                </c:pt>
                <c:pt idx="1">
                  <c:v>0.54291308940476801</c:v>
                </c:pt>
                <c:pt idx="2">
                  <c:v>0.5581075625239833</c:v>
                </c:pt>
              </c:numCache>
            </c:numRef>
          </c:val>
          <c:smooth val="0"/>
          <c:extLst>
            <c:ext xmlns:c16="http://schemas.microsoft.com/office/drawing/2014/chart" uri="{C3380CC4-5D6E-409C-BE32-E72D297353CC}">
              <c16:uniqueId val="{00000000-8D10-4A1F-A321-EE2BA5689719}"/>
            </c:ext>
          </c:extLst>
        </c:ser>
        <c:ser>
          <c:idx val="1"/>
          <c:order val="1"/>
          <c:tx>
            <c:strRef>
              <c:f>綜合分析!$N$4</c:f>
              <c:strCache>
                <c:ptCount val="1"/>
                <c:pt idx="0">
                  <c:v>ETF&amp;stock</c:v>
                </c:pt>
              </c:strCache>
            </c:strRef>
          </c:tx>
          <c:spPr>
            <a:ln w="28575" cap="rnd">
              <a:solidFill>
                <a:schemeClr val="accent2"/>
              </a:solidFill>
              <a:round/>
            </a:ln>
            <a:effectLst/>
          </c:spPr>
          <c:marker>
            <c:symbol val="none"/>
          </c:marker>
          <c:cat>
            <c:strRef>
              <c:f>綜合分析!$O$2:$Q$2</c:f>
              <c:strCache>
                <c:ptCount val="3"/>
                <c:pt idx="0">
                  <c:v>2018-2020</c:v>
                </c:pt>
                <c:pt idx="1">
                  <c:v>2015-2020</c:v>
                </c:pt>
                <c:pt idx="2">
                  <c:v>2010-2020</c:v>
                </c:pt>
              </c:strCache>
            </c:strRef>
          </c:cat>
          <c:val>
            <c:numRef>
              <c:f>綜合分析!$O$4:$Q$4</c:f>
              <c:numCache>
                <c:formatCode>General</c:formatCode>
                <c:ptCount val="3"/>
                <c:pt idx="0">
                  <c:v>0.25434323890136112</c:v>
                </c:pt>
                <c:pt idx="1">
                  <c:v>0.79848943171141551</c:v>
                </c:pt>
                <c:pt idx="2">
                  <c:v>-1.9111826631778205E-2</c:v>
                </c:pt>
              </c:numCache>
            </c:numRef>
          </c:val>
          <c:smooth val="0"/>
          <c:extLst>
            <c:ext xmlns:c16="http://schemas.microsoft.com/office/drawing/2014/chart" uri="{C3380CC4-5D6E-409C-BE32-E72D297353CC}">
              <c16:uniqueId val="{00000001-8D10-4A1F-A321-EE2BA5689719}"/>
            </c:ext>
          </c:extLst>
        </c:ser>
        <c:ser>
          <c:idx val="2"/>
          <c:order val="2"/>
          <c:tx>
            <c:strRef>
              <c:f>綜合分析!$N$5</c:f>
              <c:strCache>
                <c:ptCount val="1"/>
                <c:pt idx="0">
                  <c:v>stock</c:v>
                </c:pt>
              </c:strCache>
            </c:strRef>
          </c:tx>
          <c:spPr>
            <a:ln w="28575" cap="rnd">
              <a:solidFill>
                <a:schemeClr val="accent3"/>
              </a:solidFill>
              <a:round/>
            </a:ln>
            <a:effectLst/>
          </c:spPr>
          <c:marker>
            <c:symbol val="none"/>
          </c:marker>
          <c:cat>
            <c:strRef>
              <c:f>綜合分析!$O$2:$Q$2</c:f>
              <c:strCache>
                <c:ptCount val="3"/>
                <c:pt idx="0">
                  <c:v>2018-2020</c:v>
                </c:pt>
                <c:pt idx="1">
                  <c:v>2015-2020</c:v>
                </c:pt>
                <c:pt idx="2">
                  <c:v>2010-2020</c:v>
                </c:pt>
              </c:strCache>
            </c:strRef>
          </c:cat>
          <c:val>
            <c:numRef>
              <c:f>綜合分析!$O$5:$Q$5</c:f>
              <c:numCache>
                <c:formatCode>General</c:formatCode>
                <c:ptCount val="3"/>
                <c:pt idx="0">
                  <c:v>-3.0451959632457611E-2</c:v>
                </c:pt>
                <c:pt idx="1">
                  <c:v>0.31558437558407682</c:v>
                </c:pt>
                <c:pt idx="2">
                  <c:v>0.20377741688959006</c:v>
                </c:pt>
              </c:numCache>
            </c:numRef>
          </c:val>
          <c:smooth val="0"/>
          <c:extLst>
            <c:ext xmlns:c16="http://schemas.microsoft.com/office/drawing/2014/chart" uri="{C3380CC4-5D6E-409C-BE32-E72D297353CC}">
              <c16:uniqueId val="{00000002-8D10-4A1F-A321-EE2BA5689719}"/>
            </c:ext>
          </c:extLst>
        </c:ser>
        <c:dLbls>
          <c:showLegendKey val="0"/>
          <c:showVal val="0"/>
          <c:showCatName val="0"/>
          <c:showSerName val="0"/>
          <c:showPercent val="0"/>
          <c:showBubbleSize val="0"/>
        </c:dLbls>
        <c:smooth val="0"/>
        <c:axId val="1531809167"/>
        <c:axId val="1746737551"/>
      </c:lineChart>
      <c:catAx>
        <c:axId val="153180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46737551"/>
        <c:crosses val="autoZero"/>
        <c:auto val="1"/>
        <c:lblAlgn val="ctr"/>
        <c:lblOffset val="100"/>
        <c:noMultiLvlLbl val="0"/>
      </c:catAx>
      <c:valAx>
        <c:axId val="1746737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3180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884E5-F6C7-431C-8E04-5FC46807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李姵萱</dc:creator>
  <cp:keywords/>
  <dc:description/>
  <cp:lastModifiedBy>李姵萱</cp:lastModifiedBy>
  <cp:revision>4</cp:revision>
  <dcterms:created xsi:type="dcterms:W3CDTF">2020-09-29T18:28:00Z</dcterms:created>
  <dcterms:modified xsi:type="dcterms:W3CDTF">2020-09-29T19:09:00Z</dcterms:modified>
</cp:coreProperties>
</file>