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2165F">
      <w:pPr>
        <w:spacing w:before="1600" w:after="24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上位机通信协议文档</w:t>
      </w:r>
    </w:p>
    <w:p w14:paraId="70BCCE4A">
      <w:pPr>
        <w:jc w:val="center"/>
      </w:pPr>
      <w:r>
        <w:rPr>
          <w:rFonts w:ascii="微软雅黑" w:hAnsi="微软雅黑" w:eastAsia="微软雅黑"/>
          <w:b/>
          <w:sz w:val="28"/>
        </w:rPr>
        <w:t>智能固态断路器控制器</w:t>
      </w:r>
    </w:p>
    <w:p w14:paraId="130EE986">
      <w:pPr>
        <w:jc w:val="center"/>
      </w:pPr>
      <w:r>
        <w:rPr>
          <w:rFonts w:ascii="微软雅黑" w:hAnsi="微软雅黑" w:eastAsia="微软雅黑"/>
          <w:color w:val="5B5B5B"/>
          <w:sz w:val="26"/>
        </w:rPr>
        <w:t>正式版 PDF 结构稿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2"/>
        <w:gridCol w:w="4872"/>
      </w:tblGrid>
      <w:tr w14:paraId="7733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D9E2F3"/>
            <w:vAlign w:val="center"/>
          </w:tcPr>
          <w:p w14:paraId="65D8A8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文档编号</w:t>
            </w:r>
          </w:p>
        </w:tc>
        <w:tc>
          <w:tcPr>
            <w:tcW w:w="4872" w:type="dxa"/>
            <w:vAlign w:val="center"/>
          </w:tcPr>
          <w:p w14:paraId="4EE508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SSCB-CAN-HOST-001</w:t>
            </w:r>
          </w:p>
        </w:tc>
      </w:tr>
      <w:tr w14:paraId="73E6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D9E2F3"/>
            <w:vAlign w:val="center"/>
          </w:tcPr>
          <w:p w14:paraId="79FDE4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版本</w:t>
            </w:r>
          </w:p>
        </w:tc>
        <w:tc>
          <w:tcPr>
            <w:tcW w:w="4872" w:type="dxa"/>
            <w:vAlign w:val="center"/>
          </w:tcPr>
          <w:p w14:paraId="349E2E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 w14:paraId="672B4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D9E2F3"/>
            <w:vAlign w:val="center"/>
          </w:tcPr>
          <w:p w14:paraId="7CABE9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协议对象</w:t>
            </w:r>
          </w:p>
        </w:tc>
        <w:tc>
          <w:tcPr>
            <w:tcW w:w="4872" w:type="dxa"/>
            <w:vAlign w:val="center"/>
          </w:tcPr>
          <w:p w14:paraId="348CAB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上位机 &lt;-&gt; F280049C 控制器</w:t>
            </w:r>
          </w:p>
        </w:tc>
      </w:tr>
      <w:tr w14:paraId="5AA79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D9E2F3"/>
            <w:vAlign w:val="center"/>
          </w:tcPr>
          <w:p w14:paraId="69A19C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通信方式</w:t>
            </w:r>
          </w:p>
        </w:tc>
        <w:tc>
          <w:tcPr>
            <w:tcW w:w="4872" w:type="dxa"/>
            <w:vAlign w:val="center"/>
          </w:tcPr>
          <w:p w14:paraId="6C445BC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CAN 2.0A / 500 kbps</w:t>
            </w:r>
          </w:p>
        </w:tc>
      </w:tr>
      <w:tr w14:paraId="58150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72" w:type="dxa"/>
            <w:shd w:val="clear" w:color="auto" w:fill="D9E2F3"/>
            <w:vAlign w:val="center"/>
          </w:tcPr>
          <w:p w14:paraId="6E33DA6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F1F1F"/>
                <w:sz w:val="21"/>
              </w:rPr>
              <w:t>适用软件</w:t>
            </w:r>
          </w:p>
        </w:tc>
        <w:tc>
          <w:tcPr>
            <w:tcW w:w="4872" w:type="dxa"/>
            <w:vAlign w:val="center"/>
          </w:tcPr>
          <w:p w14:paraId="0FA3BC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1"/>
              </w:rPr>
              <w:t>监控上位机与调试软件</w:t>
            </w:r>
          </w:p>
        </w:tc>
      </w:tr>
    </w:tbl>
    <w:p w14:paraId="5852AF71">
      <w:r>
        <w:br w:type="textWrapping"/>
      </w:r>
    </w:p>
    <w:p w14:paraId="6EFE2B01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说明：本稿用于整理正式版 PDF 的章节结构与协议正文内容，可作为后续正式发布、评审或转交上位机开发使用的基础版本。</w:t>
      </w:r>
    </w:p>
    <w:p w14:paraId="329477ED">
      <w:r>
        <w:br w:type="page"/>
      </w:r>
    </w:p>
    <w:p w14:paraId="5977C28A">
      <w:pPr>
        <w:pStyle w:val="3"/>
      </w:pPr>
      <w:r>
        <w:rPr>
          <w:rFonts w:ascii="微软雅黑" w:hAnsi="微软雅黑" w:eastAsia="微软雅黑"/>
          <w:color w:val="1F4E79"/>
        </w:rPr>
        <w:t>1. 文档概述</w:t>
      </w:r>
    </w:p>
    <w:p w14:paraId="6E245E34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1.1 编写目的：统一智能固态断路器控制器与电脑上位机之间的 CAN 通信规则，明确报文、参数、故障、时间同步和控制命令等内容，作为嵌入式软件、上位机软件、联调测试和后续维护的共同依据。</w:t>
      </w:r>
    </w:p>
    <w:p w14:paraId="6B53F19F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1.2 适用范围：适用于采用 TMS320F280049C/F280049CPQZ 为主控、通过 CAN 与电脑上位机通信的智能固态断路器系统。</w:t>
      </w:r>
    </w:p>
    <w:p w14:paraId="79936BE9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1.3 文档属性：本版本为正式版结构稿，章节组织、编号关系和协议字段已可直接用于形成正式 PDF。</w:t>
      </w:r>
    </w:p>
    <w:p w14:paraId="35BC6D7C">
      <w:pPr>
        <w:pStyle w:val="3"/>
      </w:pPr>
      <w:r>
        <w:rPr>
          <w:rFonts w:ascii="微软雅黑" w:hAnsi="微软雅黑" w:eastAsia="微软雅黑"/>
          <w:color w:val="1F4E79"/>
        </w:rPr>
        <w:t>2. 系统背景与设计边界</w:t>
      </w:r>
    </w:p>
    <w:p w14:paraId="3D97BBC9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主控芯片：TMS320F280049C / F280049CPQZ。</w:t>
      </w:r>
    </w:p>
    <w:p w14:paraId="08A2B88A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开发环境：CCS 12.4，基于 C2000Ware 库函数开发。</w:t>
      </w:r>
    </w:p>
    <w:p w14:paraId="72271F6C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通信链路：经典 CAN 2.0A，11 位标准帧，500 kbps。</w:t>
      </w:r>
    </w:p>
    <w:p w14:paraId="623969E6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采样对象：电压、 电流、温度。</w:t>
      </w:r>
    </w:p>
    <w:p w14:paraId="4D0CCE02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保护策略：短路保护由 CMPSS3 + ePWM Trip Zone 实现硬件快速关断；过载保护由采样后软件判定实现。</w:t>
      </w:r>
    </w:p>
    <w:p w14:paraId="68B0F50C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上位机功能：显示实时数据、接收故障信息、同步系统时间、修改参数、发送复位命令。</w:t>
      </w:r>
    </w:p>
    <w:p w14:paraId="4FF4BBF8">
      <w:pPr>
        <w:pStyle w:val="3"/>
      </w:pPr>
      <w:r>
        <w:rPr>
          <w:rFonts w:ascii="微软雅黑" w:hAnsi="微软雅黑" w:eastAsia="微软雅黑"/>
          <w:color w:val="1F4E79"/>
        </w:rPr>
        <w:t>3. 硬件映射与采样定义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701"/>
        <w:gridCol w:w="1814"/>
        <w:gridCol w:w="3969"/>
      </w:tblGrid>
      <w:tr w14:paraId="4107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2F1EEC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对象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345A3D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外设/通道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0429FB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引脚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2DA4D3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2DC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CC8C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电压采样</w:t>
            </w:r>
          </w:p>
        </w:tc>
        <w:tc>
          <w:tcPr>
            <w:tcW w:w="1701" w:type="dxa"/>
            <w:vAlign w:val="center"/>
          </w:tcPr>
          <w:p w14:paraId="481FEF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ADCB3</w:t>
            </w:r>
          </w:p>
        </w:tc>
        <w:tc>
          <w:tcPr>
            <w:tcW w:w="1814" w:type="dxa"/>
            <w:vAlign w:val="center"/>
          </w:tcPr>
          <w:p w14:paraId="788AD9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GPIO/ADC 引脚 8</w:t>
            </w:r>
          </w:p>
        </w:tc>
        <w:tc>
          <w:tcPr>
            <w:tcW w:w="3969" w:type="dxa"/>
            <w:vAlign w:val="center"/>
          </w:tcPr>
          <w:p w14:paraId="7662B6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AMC1311 隔离输出接入 ADCB3</w:t>
            </w:r>
          </w:p>
        </w:tc>
      </w:tr>
      <w:tr w14:paraId="288A4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449DD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电流采样</w:t>
            </w:r>
          </w:p>
        </w:tc>
        <w:tc>
          <w:tcPr>
            <w:tcW w:w="1701" w:type="dxa"/>
            <w:vAlign w:val="center"/>
          </w:tcPr>
          <w:p w14:paraId="46951E8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ADCB0</w:t>
            </w:r>
          </w:p>
        </w:tc>
        <w:tc>
          <w:tcPr>
            <w:tcW w:w="1814" w:type="dxa"/>
            <w:vAlign w:val="center"/>
          </w:tcPr>
          <w:p w14:paraId="32E58FB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引脚 41</w:t>
            </w:r>
          </w:p>
        </w:tc>
        <w:tc>
          <w:tcPr>
            <w:tcW w:w="3969" w:type="dxa"/>
            <w:vAlign w:val="center"/>
          </w:tcPr>
          <w:p w14:paraId="1EE9379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传感器模拟量输入，用于软件测量与 RMS/I²t 计算</w:t>
            </w:r>
          </w:p>
        </w:tc>
      </w:tr>
      <w:tr w14:paraId="6CED4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A9F2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温度采样</w:t>
            </w:r>
          </w:p>
        </w:tc>
        <w:tc>
          <w:tcPr>
            <w:tcW w:w="1701" w:type="dxa"/>
            <w:vAlign w:val="center"/>
          </w:tcPr>
          <w:p w14:paraId="26D5AF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ADCB1</w:t>
            </w:r>
          </w:p>
        </w:tc>
        <w:tc>
          <w:tcPr>
            <w:tcW w:w="1814" w:type="dxa"/>
            <w:vAlign w:val="center"/>
          </w:tcPr>
          <w:p w14:paraId="43DAD1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引脚 40</w:t>
            </w:r>
          </w:p>
        </w:tc>
        <w:tc>
          <w:tcPr>
            <w:tcW w:w="3969" w:type="dxa"/>
            <w:vAlign w:val="center"/>
          </w:tcPr>
          <w:p w14:paraId="04087BC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NTC 温度采样输入</w:t>
            </w:r>
          </w:p>
        </w:tc>
      </w:tr>
      <w:tr w14:paraId="21448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64557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短路比较</w:t>
            </w:r>
          </w:p>
        </w:tc>
        <w:tc>
          <w:tcPr>
            <w:tcW w:w="1701" w:type="dxa"/>
            <w:vAlign w:val="center"/>
          </w:tcPr>
          <w:p w14:paraId="03661E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CMPSS3H</w:t>
            </w:r>
          </w:p>
        </w:tc>
        <w:tc>
          <w:tcPr>
            <w:tcW w:w="1814" w:type="dxa"/>
            <w:vAlign w:val="center"/>
          </w:tcPr>
          <w:p w14:paraId="6591C7A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正输入 0 / 引脚 7</w:t>
            </w:r>
          </w:p>
        </w:tc>
        <w:tc>
          <w:tcPr>
            <w:tcW w:w="3969" w:type="dxa"/>
            <w:vAlign w:val="center"/>
          </w:tcPr>
          <w:p w14:paraId="2E1D835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负端使用 DAC 设置阈值，触发高速比较保护</w:t>
            </w:r>
          </w:p>
        </w:tc>
      </w:tr>
      <w:tr w14:paraId="5F557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09155B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执行输出</w:t>
            </w:r>
          </w:p>
        </w:tc>
        <w:tc>
          <w:tcPr>
            <w:tcW w:w="1701" w:type="dxa"/>
            <w:vAlign w:val="center"/>
          </w:tcPr>
          <w:p w14:paraId="222D0EA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ePWM3A</w:t>
            </w:r>
          </w:p>
        </w:tc>
        <w:tc>
          <w:tcPr>
            <w:tcW w:w="1814" w:type="dxa"/>
            <w:vAlign w:val="center"/>
          </w:tcPr>
          <w:p w14:paraId="195CB517">
            <w:pPr>
              <w:spacing w:after="0" w:line="240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引脚75</w:t>
            </w:r>
          </w:p>
        </w:tc>
        <w:tc>
          <w:tcPr>
            <w:tcW w:w="3969" w:type="dxa"/>
            <w:vAlign w:val="center"/>
          </w:tcPr>
          <w:p w14:paraId="6F0DABD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驱动 SCI MOSFET 隔离驱动器 1ED38x0Mc12M</w:t>
            </w:r>
          </w:p>
        </w:tc>
      </w:tr>
    </w:tbl>
    <w:p w14:paraId="3D370A04">
      <w:bookmarkStart w:id="0" w:name="_GoBack"/>
      <w:bookmarkEnd w:id="0"/>
    </w:p>
    <w:p w14:paraId="4FCC0552">
      <w:pPr>
        <w:pStyle w:val="3"/>
      </w:pPr>
      <w:r>
        <w:rPr>
          <w:rFonts w:ascii="微软雅黑" w:hAnsi="微软雅黑" w:eastAsia="微软雅黑"/>
          <w:color w:val="1F4E79"/>
        </w:rPr>
        <w:t>4. 通信总体要求</w:t>
      </w:r>
    </w:p>
    <w:p w14:paraId="00A33CD8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报文采用标准帧（11-bit Identifier）。</w:t>
      </w:r>
    </w:p>
    <w:p w14:paraId="01B48646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设备以周期主动上报为主，同时支持上位机下发控制与参数命令。</w:t>
      </w:r>
    </w:p>
    <w:p w14:paraId="37461B88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系统时间采用上位机下发同步方式，设备侧维护绝对时间。</w:t>
      </w:r>
    </w:p>
    <w:p w14:paraId="14125F21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故障发生时，设备应立即主动发送故障帧。</w:t>
      </w:r>
    </w:p>
    <w:p w14:paraId="48AE2F91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节点地址 NodeID 参与 ID 编址，并支持作为参数配置项进行扩展。</w:t>
      </w:r>
    </w:p>
    <w:p w14:paraId="7145CE95">
      <w:pPr>
        <w:pStyle w:val="3"/>
      </w:pPr>
      <w:r>
        <w:rPr>
          <w:rFonts w:ascii="微软雅黑" w:hAnsi="微软雅黑" w:eastAsia="微软雅黑"/>
          <w:color w:val="1F4E79"/>
        </w:rPr>
        <w:t>5. 报文标识分配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928"/>
        <w:gridCol w:w="1984"/>
        <w:gridCol w:w="3458"/>
      </w:tblGrid>
      <w:tr w14:paraId="19EF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4472C4"/>
            <w:vAlign w:val="center"/>
          </w:tcPr>
          <w:p w14:paraId="51C06D6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功能类别</w:t>
            </w:r>
          </w:p>
        </w:tc>
        <w:tc>
          <w:tcPr>
            <w:tcW w:w="1928" w:type="dxa"/>
            <w:shd w:val="clear" w:color="auto" w:fill="4472C4"/>
            <w:vAlign w:val="center"/>
          </w:tcPr>
          <w:p w14:paraId="61999F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标准 ID</w:t>
            </w:r>
          </w:p>
        </w:tc>
        <w:tc>
          <w:tcPr>
            <w:tcW w:w="1984" w:type="dxa"/>
            <w:shd w:val="clear" w:color="auto" w:fill="4472C4"/>
            <w:vAlign w:val="center"/>
          </w:tcPr>
          <w:p w14:paraId="427B5E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方向</w:t>
            </w:r>
          </w:p>
        </w:tc>
        <w:tc>
          <w:tcPr>
            <w:tcW w:w="3458" w:type="dxa"/>
            <w:shd w:val="clear" w:color="auto" w:fill="4472C4"/>
            <w:vAlign w:val="center"/>
          </w:tcPr>
          <w:p w14:paraId="7512AB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63EB2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4B21F3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实时数据上报</w:t>
            </w:r>
          </w:p>
        </w:tc>
        <w:tc>
          <w:tcPr>
            <w:tcW w:w="1928" w:type="dxa"/>
            <w:vAlign w:val="center"/>
          </w:tcPr>
          <w:p w14:paraId="5CDC13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0x100 + NodeID</w:t>
            </w:r>
          </w:p>
        </w:tc>
        <w:tc>
          <w:tcPr>
            <w:tcW w:w="1984" w:type="dxa"/>
            <w:vAlign w:val="center"/>
          </w:tcPr>
          <w:p w14:paraId="5CFCBD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 -&gt; 上位机</w:t>
            </w:r>
          </w:p>
        </w:tc>
        <w:tc>
          <w:tcPr>
            <w:tcW w:w="3458" w:type="dxa"/>
            <w:vAlign w:val="center"/>
          </w:tcPr>
          <w:p w14:paraId="698374C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 ms 周期发送，包含电压/电流/温度/状态</w:t>
            </w:r>
          </w:p>
        </w:tc>
      </w:tr>
      <w:tr w14:paraId="0A52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DED63D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故障上报</w:t>
            </w:r>
          </w:p>
        </w:tc>
        <w:tc>
          <w:tcPr>
            <w:tcW w:w="1928" w:type="dxa"/>
            <w:vAlign w:val="center"/>
          </w:tcPr>
          <w:p w14:paraId="3538FBC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0x200 + NodeID</w:t>
            </w:r>
          </w:p>
        </w:tc>
        <w:tc>
          <w:tcPr>
            <w:tcW w:w="1984" w:type="dxa"/>
            <w:vAlign w:val="center"/>
          </w:tcPr>
          <w:p w14:paraId="69B010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 -&gt; 上位机</w:t>
            </w:r>
          </w:p>
        </w:tc>
        <w:tc>
          <w:tcPr>
            <w:tcW w:w="3458" w:type="dxa"/>
            <w:vAlign w:val="center"/>
          </w:tcPr>
          <w:p w14:paraId="4CEA42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故障发生即刻发送</w:t>
            </w:r>
          </w:p>
        </w:tc>
      </w:tr>
      <w:tr w14:paraId="4DCEF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2B70F6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心跳报文</w:t>
            </w:r>
          </w:p>
        </w:tc>
        <w:tc>
          <w:tcPr>
            <w:tcW w:w="1928" w:type="dxa"/>
            <w:vAlign w:val="center"/>
          </w:tcPr>
          <w:p w14:paraId="1E9DCB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0x300 + NodeID</w:t>
            </w:r>
          </w:p>
        </w:tc>
        <w:tc>
          <w:tcPr>
            <w:tcW w:w="1984" w:type="dxa"/>
            <w:vAlign w:val="center"/>
          </w:tcPr>
          <w:p w14:paraId="0D3F37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 -&gt; 上位机</w:t>
            </w:r>
          </w:p>
        </w:tc>
        <w:tc>
          <w:tcPr>
            <w:tcW w:w="3458" w:type="dxa"/>
            <w:vAlign w:val="center"/>
          </w:tcPr>
          <w:p w14:paraId="75EC80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ms 周期发送</w:t>
            </w:r>
          </w:p>
        </w:tc>
      </w:tr>
      <w:tr w14:paraId="0FDA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7E674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参数读写</w:t>
            </w:r>
          </w:p>
        </w:tc>
        <w:tc>
          <w:tcPr>
            <w:tcW w:w="1928" w:type="dxa"/>
            <w:vAlign w:val="center"/>
          </w:tcPr>
          <w:p w14:paraId="1DD2731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0x400 + NodeID</w:t>
            </w:r>
          </w:p>
        </w:tc>
        <w:tc>
          <w:tcPr>
            <w:tcW w:w="1984" w:type="dxa"/>
            <w:vAlign w:val="center"/>
          </w:tcPr>
          <w:p w14:paraId="20758B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双向</w:t>
            </w:r>
          </w:p>
        </w:tc>
        <w:tc>
          <w:tcPr>
            <w:tcW w:w="3458" w:type="dxa"/>
            <w:vAlign w:val="center"/>
          </w:tcPr>
          <w:p w14:paraId="05DA21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参数读取、参数写入及应答</w:t>
            </w:r>
          </w:p>
        </w:tc>
      </w:tr>
      <w:tr w14:paraId="7E0A1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59B2F5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时间同步</w:t>
            </w:r>
          </w:p>
        </w:tc>
        <w:tc>
          <w:tcPr>
            <w:tcW w:w="1928" w:type="dxa"/>
            <w:vAlign w:val="center"/>
          </w:tcPr>
          <w:p w14:paraId="1485AE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0x500 + NodeID</w:t>
            </w:r>
          </w:p>
        </w:tc>
        <w:tc>
          <w:tcPr>
            <w:tcW w:w="1984" w:type="dxa"/>
            <w:vAlign w:val="center"/>
          </w:tcPr>
          <w:p w14:paraId="430A5F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上位机 -&gt; 设备</w:t>
            </w:r>
          </w:p>
        </w:tc>
        <w:tc>
          <w:tcPr>
            <w:tcW w:w="3458" w:type="dxa"/>
            <w:vAlign w:val="center"/>
          </w:tcPr>
          <w:p w14:paraId="426246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同步绝对时间</w:t>
            </w:r>
          </w:p>
        </w:tc>
      </w:tr>
      <w:tr w14:paraId="501F1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36B6B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控制命令</w:t>
            </w:r>
          </w:p>
        </w:tc>
        <w:tc>
          <w:tcPr>
            <w:tcW w:w="1928" w:type="dxa"/>
            <w:vAlign w:val="center"/>
          </w:tcPr>
          <w:p w14:paraId="0D8DB8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0x600 + NodeID</w:t>
            </w:r>
          </w:p>
        </w:tc>
        <w:tc>
          <w:tcPr>
            <w:tcW w:w="1984" w:type="dxa"/>
            <w:vAlign w:val="center"/>
          </w:tcPr>
          <w:p w14:paraId="2B3314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上位机 -&gt; 设备</w:t>
            </w:r>
          </w:p>
        </w:tc>
        <w:tc>
          <w:tcPr>
            <w:tcW w:w="3458" w:type="dxa"/>
            <w:vAlign w:val="center"/>
          </w:tcPr>
          <w:p w14:paraId="68FF84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清故障、软件复位等控制</w:t>
            </w:r>
          </w:p>
        </w:tc>
      </w:tr>
    </w:tbl>
    <w:p w14:paraId="77E07EC1"/>
    <w:p w14:paraId="6D613FFD">
      <w:pPr>
        <w:pStyle w:val="3"/>
      </w:pPr>
      <w:r>
        <w:rPr>
          <w:rFonts w:ascii="微软雅黑" w:hAnsi="微软雅黑" w:eastAsia="微软雅黑"/>
          <w:color w:val="1F4E79"/>
        </w:rPr>
        <w:t>6. 报文格式定义</w:t>
      </w:r>
    </w:p>
    <w:p w14:paraId="2C093244">
      <w:pPr>
        <w:pStyle w:val="4"/>
      </w:pPr>
      <w:r>
        <w:rPr>
          <w:rFonts w:ascii="微软雅黑" w:hAnsi="微软雅黑" w:eastAsia="微软雅黑"/>
          <w:color w:val="2F75B5"/>
        </w:rPr>
        <w:t>6.1 实时数据上报帧</w:t>
      </w:r>
    </w:p>
    <w:p w14:paraId="59DD0D47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发送周期：20 ms。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814"/>
        <w:gridCol w:w="1417"/>
        <w:gridCol w:w="1701"/>
        <w:gridCol w:w="3515"/>
      </w:tblGrid>
      <w:tr w14:paraId="3EA82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4472C4"/>
            <w:vAlign w:val="center"/>
          </w:tcPr>
          <w:p w14:paraId="226E69A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5EA0CF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6984539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1701" w:type="dxa"/>
            <w:shd w:val="clear" w:color="auto" w:fill="4472C4"/>
            <w:vAlign w:val="center"/>
          </w:tcPr>
          <w:p w14:paraId="08D38AA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单位/倍率</w:t>
            </w:r>
          </w:p>
        </w:tc>
        <w:tc>
          <w:tcPr>
            <w:tcW w:w="3515" w:type="dxa"/>
            <w:shd w:val="clear" w:color="auto" w:fill="4472C4"/>
            <w:vAlign w:val="center"/>
          </w:tcPr>
          <w:p w14:paraId="0E7F792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6F48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014EB8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0~1</w:t>
            </w:r>
          </w:p>
        </w:tc>
        <w:tc>
          <w:tcPr>
            <w:tcW w:w="1814" w:type="dxa"/>
            <w:vAlign w:val="center"/>
          </w:tcPr>
          <w:p w14:paraId="6ADAB5D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Voltage</w:t>
            </w:r>
          </w:p>
        </w:tc>
        <w:tc>
          <w:tcPr>
            <w:tcW w:w="1417" w:type="dxa"/>
            <w:vAlign w:val="center"/>
          </w:tcPr>
          <w:p w14:paraId="6EF8370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uint16</w:t>
            </w:r>
          </w:p>
        </w:tc>
        <w:tc>
          <w:tcPr>
            <w:tcW w:w="1701" w:type="dxa"/>
            <w:vAlign w:val="center"/>
          </w:tcPr>
          <w:p w14:paraId="71D52E1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0.1 V</w:t>
            </w:r>
          </w:p>
        </w:tc>
        <w:tc>
          <w:tcPr>
            <w:tcW w:w="3515" w:type="dxa"/>
            <w:vAlign w:val="center"/>
          </w:tcPr>
          <w:p w14:paraId="0743C23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母线电压值</w:t>
            </w:r>
          </w:p>
        </w:tc>
      </w:tr>
      <w:tr w14:paraId="6AE90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C524F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2~3</w:t>
            </w:r>
          </w:p>
        </w:tc>
        <w:tc>
          <w:tcPr>
            <w:tcW w:w="1814" w:type="dxa"/>
            <w:vAlign w:val="center"/>
          </w:tcPr>
          <w:p w14:paraId="75897B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Current</w:t>
            </w:r>
          </w:p>
        </w:tc>
        <w:tc>
          <w:tcPr>
            <w:tcW w:w="1417" w:type="dxa"/>
            <w:vAlign w:val="center"/>
          </w:tcPr>
          <w:p w14:paraId="6C76831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uint16</w:t>
            </w:r>
          </w:p>
        </w:tc>
        <w:tc>
          <w:tcPr>
            <w:tcW w:w="1701" w:type="dxa"/>
            <w:vAlign w:val="center"/>
          </w:tcPr>
          <w:p w14:paraId="472C2A9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0.1 A</w:t>
            </w:r>
          </w:p>
        </w:tc>
        <w:tc>
          <w:tcPr>
            <w:tcW w:w="3515" w:type="dxa"/>
            <w:vAlign w:val="center"/>
          </w:tcPr>
          <w:p w14:paraId="4D6E63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负载电流值</w:t>
            </w:r>
          </w:p>
        </w:tc>
      </w:tr>
      <w:tr w14:paraId="333A8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5BBEB4D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4~5</w:t>
            </w:r>
          </w:p>
        </w:tc>
        <w:tc>
          <w:tcPr>
            <w:tcW w:w="1814" w:type="dxa"/>
            <w:vAlign w:val="center"/>
          </w:tcPr>
          <w:p w14:paraId="5A4EBD8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Temperature</w:t>
            </w:r>
          </w:p>
        </w:tc>
        <w:tc>
          <w:tcPr>
            <w:tcW w:w="1417" w:type="dxa"/>
            <w:vAlign w:val="center"/>
          </w:tcPr>
          <w:p w14:paraId="1765B1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int16</w:t>
            </w:r>
          </w:p>
        </w:tc>
        <w:tc>
          <w:tcPr>
            <w:tcW w:w="1701" w:type="dxa"/>
            <w:vAlign w:val="center"/>
          </w:tcPr>
          <w:p w14:paraId="57062CE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0.1 ℃</w:t>
            </w:r>
          </w:p>
        </w:tc>
        <w:tc>
          <w:tcPr>
            <w:tcW w:w="3515" w:type="dxa"/>
            <w:vAlign w:val="center"/>
          </w:tcPr>
          <w:p w14:paraId="703543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温度采样值</w:t>
            </w:r>
          </w:p>
        </w:tc>
      </w:tr>
      <w:tr w14:paraId="0361F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70D3B9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w="1814" w:type="dxa"/>
            <w:vAlign w:val="center"/>
          </w:tcPr>
          <w:p w14:paraId="248775A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Status</w:t>
            </w:r>
          </w:p>
        </w:tc>
        <w:tc>
          <w:tcPr>
            <w:tcW w:w="1417" w:type="dxa"/>
            <w:vAlign w:val="center"/>
          </w:tcPr>
          <w:p w14:paraId="0A4DB44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1701" w:type="dxa"/>
            <w:vAlign w:val="center"/>
          </w:tcPr>
          <w:p w14:paraId="3EBB50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bitfield</w:t>
            </w:r>
          </w:p>
        </w:tc>
        <w:tc>
          <w:tcPr>
            <w:tcW w:w="3515" w:type="dxa"/>
            <w:vAlign w:val="center"/>
          </w:tcPr>
          <w:p w14:paraId="46D239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状态字</w:t>
            </w:r>
          </w:p>
        </w:tc>
      </w:tr>
      <w:tr w14:paraId="1C664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vAlign w:val="center"/>
          </w:tcPr>
          <w:p w14:paraId="66BAD55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1814" w:type="dxa"/>
            <w:vAlign w:val="center"/>
          </w:tcPr>
          <w:p w14:paraId="5D630A6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Reserve</w:t>
            </w:r>
          </w:p>
        </w:tc>
        <w:tc>
          <w:tcPr>
            <w:tcW w:w="1417" w:type="dxa"/>
            <w:vAlign w:val="center"/>
          </w:tcPr>
          <w:p w14:paraId="6DD797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1701" w:type="dxa"/>
            <w:vAlign w:val="center"/>
          </w:tcPr>
          <w:p w14:paraId="2858FF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—</w:t>
            </w:r>
          </w:p>
        </w:tc>
        <w:tc>
          <w:tcPr>
            <w:tcW w:w="3515" w:type="dxa"/>
            <w:vAlign w:val="center"/>
          </w:tcPr>
          <w:p w14:paraId="68A61E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预留</w:t>
            </w:r>
          </w:p>
        </w:tc>
      </w:tr>
    </w:tbl>
    <w:p w14:paraId="67D891D4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43E6A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0ACE9B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状态位</w:t>
            </w:r>
          </w:p>
        </w:tc>
        <w:tc>
          <w:tcPr>
            <w:tcW w:w="7370" w:type="dxa"/>
            <w:shd w:val="clear" w:color="auto" w:fill="4472C4"/>
            <w:vAlign w:val="center"/>
          </w:tcPr>
          <w:p w14:paraId="4082243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定义</w:t>
            </w:r>
          </w:p>
        </w:tc>
      </w:tr>
      <w:tr w14:paraId="730DA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EAAFDC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bit0</w:t>
            </w:r>
          </w:p>
        </w:tc>
        <w:tc>
          <w:tcPr>
            <w:tcW w:w="7370" w:type="dxa"/>
            <w:vAlign w:val="center"/>
          </w:tcPr>
          <w:p w14:paraId="742EF3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系统正常</w:t>
            </w:r>
          </w:p>
        </w:tc>
      </w:tr>
      <w:tr w14:paraId="389D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338B9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bit1</w:t>
            </w:r>
          </w:p>
        </w:tc>
        <w:tc>
          <w:tcPr>
            <w:tcW w:w="7370" w:type="dxa"/>
            <w:vAlign w:val="center"/>
          </w:tcPr>
          <w:p w14:paraId="01A5BD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短路故障</w:t>
            </w:r>
          </w:p>
        </w:tc>
      </w:tr>
      <w:tr w14:paraId="7183D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A6B5C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bit2</w:t>
            </w:r>
          </w:p>
        </w:tc>
        <w:tc>
          <w:tcPr>
            <w:tcW w:w="7370" w:type="dxa"/>
            <w:vAlign w:val="center"/>
          </w:tcPr>
          <w:p w14:paraId="0D8C5C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过载故障</w:t>
            </w:r>
          </w:p>
        </w:tc>
      </w:tr>
      <w:tr w14:paraId="46D1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4BE8FC1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bit3</w:t>
            </w:r>
          </w:p>
        </w:tc>
        <w:tc>
          <w:tcPr>
            <w:tcW w:w="7370" w:type="dxa"/>
            <w:vAlign w:val="center"/>
          </w:tcPr>
          <w:p w14:paraId="0C1AAC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过压故障</w:t>
            </w:r>
          </w:p>
        </w:tc>
      </w:tr>
      <w:tr w14:paraId="784D5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563583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bit4</w:t>
            </w:r>
          </w:p>
        </w:tc>
        <w:tc>
          <w:tcPr>
            <w:tcW w:w="7370" w:type="dxa"/>
            <w:vAlign w:val="center"/>
          </w:tcPr>
          <w:p w14:paraId="6675C56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过温故障</w:t>
            </w:r>
          </w:p>
        </w:tc>
      </w:tr>
      <w:tr w14:paraId="6BB60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66AC7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bit5</w:t>
            </w:r>
          </w:p>
        </w:tc>
        <w:tc>
          <w:tcPr>
            <w:tcW w:w="7370" w:type="dxa"/>
            <w:vAlign w:val="center"/>
          </w:tcPr>
          <w:p w14:paraId="0216C46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闭锁状态</w:t>
            </w:r>
          </w:p>
        </w:tc>
      </w:tr>
      <w:tr w14:paraId="1248C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D8B3C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bit6</w:t>
            </w:r>
          </w:p>
        </w:tc>
        <w:tc>
          <w:tcPr>
            <w:tcW w:w="7370" w:type="dxa"/>
            <w:vAlign w:val="center"/>
          </w:tcPr>
          <w:p w14:paraId="47B878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自检失败</w:t>
            </w:r>
          </w:p>
        </w:tc>
      </w:tr>
      <w:tr w14:paraId="1803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BE1A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bit7</w:t>
            </w:r>
          </w:p>
        </w:tc>
        <w:tc>
          <w:tcPr>
            <w:tcW w:w="7370" w:type="dxa"/>
            <w:vAlign w:val="center"/>
          </w:tcPr>
          <w:p w14:paraId="1DA1BE1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预留</w:t>
            </w:r>
          </w:p>
        </w:tc>
      </w:tr>
    </w:tbl>
    <w:p w14:paraId="3629BB40"/>
    <w:p w14:paraId="09607EF5">
      <w:pPr>
        <w:pStyle w:val="4"/>
      </w:pPr>
      <w:r>
        <w:rPr>
          <w:rFonts w:ascii="微软雅黑" w:hAnsi="微软雅黑" w:eastAsia="微软雅黑"/>
          <w:color w:val="2F75B5"/>
        </w:rPr>
        <w:t>6.2 故障上报帧</w:t>
      </w:r>
    </w:p>
    <w:p w14:paraId="6B25804D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触发时机：检测到短路、过载、过压、过温或采样异常时立即发送。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816"/>
        <w:gridCol w:w="1411"/>
        <w:gridCol w:w="5746"/>
      </w:tblGrid>
      <w:tr w14:paraId="6CA9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020" w:type="dxa"/>
            <w:shd w:val="clear" w:color="auto" w:fill="4472C4"/>
            <w:vAlign w:val="center"/>
          </w:tcPr>
          <w:p w14:paraId="4164CF7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</w:t>
            </w:r>
          </w:p>
        </w:tc>
        <w:tc>
          <w:tcPr>
            <w:tcW w:w="1871" w:type="dxa"/>
            <w:shd w:val="clear" w:color="auto" w:fill="4472C4"/>
            <w:vAlign w:val="center"/>
          </w:tcPr>
          <w:p w14:paraId="2412CD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1474" w:type="dxa"/>
            <w:shd w:val="clear" w:color="auto" w:fill="4472C4"/>
            <w:vAlign w:val="center"/>
          </w:tcPr>
          <w:p w14:paraId="2CF4FC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6293" w:type="dxa"/>
            <w:shd w:val="clear" w:color="auto" w:fill="4472C4"/>
            <w:vAlign w:val="center"/>
          </w:tcPr>
          <w:p w14:paraId="1D75337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2827E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829D7C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1871" w:type="dxa"/>
            <w:vAlign w:val="center"/>
          </w:tcPr>
          <w:p w14:paraId="1A5347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FaultCode</w:t>
            </w:r>
          </w:p>
        </w:tc>
        <w:tc>
          <w:tcPr>
            <w:tcW w:w="1474" w:type="dxa"/>
            <w:vAlign w:val="center"/>
          </w:tcPr>
          <w:p w14:paraId="49E896D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6293" w:type="dxa"/>
            <w:vAlign w:val="center"/>
          </w:tcPr>
          <w:p w14:paraId="3E7E41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故障类型编码</w:t>
            </w:r>
          </w:p>
        </w:tc>
      </w:tr>
      <w:tr w14:paraId="59B5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C87EC9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1~4</w:t>
            </w:r>
          </w:p>
        </w:tc>
        <w:tc>
          <w:tcPr>
            <w:tcW w:w="1871" w:type="dxa"/>
            <w:vAlign w:val="center"/>
          </w:tcPr>
          <w:p w14:paraId="0CF1CB9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Timestamp</w:t>
            </w:r>
          </w:p>
        </w:tc>
        <w:tc>
          <w:tcPr>
            <w:tcW w:w="1474" w:type="dxa"/>
            <w:vAlign w:val="center"/>
          </w:tcPr>
          <w:p w14:paraId="0CE6E4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uint32</w:t>
            </w:r>
          </w:p>
        </w:tc>
        <w:tc>
          <w:tcPr>
            <w:tcW w:w="6293" w:type="dxa"/>
            <w:vAlign w:val="center"/>
          </w:tcPr>
          <w:p w14:paraId="54ACF83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绝对时间戳，单位 ms</w:t>
            </w:r>
          </w:p>
        </w:tc>
      </w:tr>
      <w:tr w14:paraId="30A2F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46D167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5~6</w:t>
            </w:r>
          </w:p>
        </w:tc>
        <w:tc>
          <w:tcPr>
            <w:tcW w:w="1871" w:type="dxa"/>
            <w:vAlign w:val="center"/>
          </w:tcPr>
          <w:p w14:paraId="1E2C36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Current</w:t>
            </w:r>
          </w:p>
        </w:tc>
        <w:tc>
          <w:tcPr>
            <w:tcW w:w="1474" w:type="dxa"/>
            <w:vAlign w:val="center"/>
          </w:tcPr>
          <w:p w14:paraId="2E1259C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uint16</w:t>
            </w:r>
          </w:p>
        </w:tc>
        <w:tc>
          <w:tcPr>
            <w:tcW w:w="6293" w:type="dxa"/>
            <w:vAlign w:val="center"/>
          </w:tcPr>
          <w:p w14:paraId="663E8A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故障发生时采样电流，0.1 A</w:t>
            </w:r>
          </w:p>
        </w:tc>
      </w:tr>
      <w:tr w14:paraId="65C00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661ECD1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7</w:t>
            </w:r>
          </w:p>
        </w:tc>
        <w:tc>
          <w:tcPr>
            <w:tcW w:w="1871" w:type="dxa"/>
            <w:vAlign w:val="center"/>
          </w:tcPr>
          <w:p w14:paraId="256B852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VoltageLite</w:t>
            </w:r>
          </w:p>
        </w:tc>
        <w:tc>
          <w:tcPr>
            <w:tcW w:w="1474" w:type="dxa"/>
            <w:vAlign w:val="center"/>
          </w:tcPr>
          <w:p w14:paraId="64694D8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6293" w:type="dxa"/>
            <w:vAlign w:val="center"/>
          </w:tcPr>
          <w:p w14:paraId="2408E9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故障发生时电压简化值，可按工程缩放</w:t>
            </w:r>
          </w:p>
        </w:tc>
      </w:tr>
    </w:tbl>
    <w:p w14:paraId="1D4A9717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5241B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2A9DD94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故障码</w:t>
            </w:r>
          </w:p>
        </w:tc>
        <w:tc>
          <w:tcPr>
            <w:tcW w:w="7370" w:type="dxa"/>
            <w:shd w:val="clear" w:color="auto" w:fill="4472C4"/>
            <w:vAlign w:val="center"/>
          </w:tcPr>
          <w:p w14:paraId="3EB472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定义</w:t>
            </w:r>
          </w:p>
        </w:tc>
      </w:tr>
      <w:tr w14:paraId="6FD32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9461C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0x01</w:t>
            </w:r>
          </w:p>
        </w:tc>
        <w:tc>
          <w:tcPr>
            <w:tcW w:w="7370" w:type="dxa"/>
            <w:vAlign w:val="center"/>
          </w:tcPr>
          <w:p w14:paraId="5EAF383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短路故障</w:t>
            </w:r>
          </w:p>
        </w:tc>
      </w:tr>
      <w:tr w14:paraId="0F3F8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7C645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0x02</w:t>
            </w:r>
          </w:p>
        </w:tc>
        <w:tc>
          <w:tcPr>
            <w:tcW w:w="7370" w:type="dxa"/>
            <w:vAlign w:val="center"/>
          </w:tcPr>
          <w:p w14:paraId="5975008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过载故障</w:t>
            </w:r>
          </w:p>
        </w:tc>
      </w:tr>
      <w:tr w14:paraId="05588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C9D54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0x03</w:t>
            </w:r>
          </w:p>
        </w:tc>
        <w:tc>
          <w:tcPr>
            <w:tcW w:w="7370" w:type="dxa"/>
            <w:vAlign w:val="center"/>
          </w:tcPr>
          <w:p w14:paraId="28F4306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过压故障</w:t>
            </w:r>
          </w:p>
        </w:tc>
      </w:tr>
      <w:tr w14:paraId="04A1D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C74ED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0x04</w:t>
            </w:r>
          </w:p>
        </w:tc>
        <w:tc>
          <w:tcPr>
            <w:tcW w:w="7370" w:type="dxa"/>
            <w:vAlign w:val="center"/>
          </w:tcPr>
          <w:p w14:paraId="636EFC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过温故障</w:t>
            </w:r>
          </w:p>
        </w:tc>
      </w:tr>
      <w:tr w14:paraId="49045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7C9495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0x05</w:t>
            </w:r>
          </w:p>
        </w:tc>
        <w:tc>
          <w:tcPr>
            <w:tcW w:w="7370" w:type="dxa"/>
            <w:vAlign w:val="center"/>
          </w:tcPr>
          <w:p w14:paraId="2FD3404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采样异常</w:t>
            </w:r>
          </w:p>
        </w:tc>
      </w:tr>
    </w:tbl>
    <w:p w14:paraId="450DCC74"/>
    <w:p w14:paraId="1FBE6A21">
      <w:pPr>
        <w:pStyle w:val="4"/>
      </w:pPr>
      <w:r>
        <w:rPr>
          <w:rFonts w:ascii="微软雅黑" w:hAnsi="微软雅黑" w:eastAsia="微软雅黑"/>
          <w:color w:val="2F75B5"/>
        </w:rPr>
        <w:t>6.3 心跳帧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741"/>
        <w:gridCol w:w="1362"/>
        <w:gridCol w:w="5869"/>
      </w:tblGrid>
      <w:tr w14:paraId="68799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4472C4"/>
            <w:vAlign w:val="center"/>
          </w:tcPr>
          <w:p w14:paraId="72BECC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21EC315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438DDA5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6406" w:type="dxa"/>
            <w:shd w:val="clear" w:color="auto" w:fill="4472C4"/>
            <w:vAlign w:val="center"/>
          </w:tcPr>
          <w:p w14:paraId="1C2FBF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106C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43F7A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1814" w:type="dxa"/>
            <w:vAlign w:val="center"/>
          </w:tcPr>
          <w:p w14:paraId="20D73F3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NodeID</w:t>
            </w:r>
          </w:p>
        </w:tc>
        <w:tc>
          <w:tcPr>
            <w:tcW w:w="1417" w:type="dxa"/>
            <w:vAlign w:val="center"/>
          </w:tcPr>
          <w:p w14:paraId="6BA9CB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6406" w:type="dxa"/>
            <w:vAlign w:val="center"/>
          </w:tcPr>
          <w:p w14:paraId="027E159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设备节点号</w:t>
            </w:r>
          </w:p>
        </w:tc>
      </w:tr>
      <w:tr w14:paraId="35A8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2F8B74E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1814" w:type="dxa"/>
            <w:vAlign w:val="center"/>
          </w:tcPr>
          <w:p w14:paraId="763B064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State</w:t>
            </w:r>
          </w:p>
        </w:tc>
        <w:tc>
          <w:tcPr>
            <w:tcW w:w="1417" w:type="dxa"/>
            <w:vAlign w:val="center"/>
          </w:tcPr>
          <w:p w14:paraId="32DAE60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6406" w:type="dxa"/>
            <w:vAlign w:val="center"/>
          </w:tcPr>
          <w:p w14:paraId="0A9DCE1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当前系统状态</w:t>
            </w:r>
          </w:p>
        </w:tc>
      </w:tr>
      <w:tr w14:paraId="39ED9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FBB2A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2~7</w:t>
            </w:r>
          </w:p>
        </w:tc>
        <w:tc>
          <w:tcPr>
            <w:tcW w:w="1814" w:type="dxa"/>
            <w:vAlign w:val="center"/>
          </w:tcPr>
          <w:p w14:paraId="7BB7250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w="1417" w:type="dxa"/>
            <w:vAlign w:val="center"/>
          </w:tcPr>
          <w:p w14:paraId="329A73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uint48</w:t>
            </w:r>
          </w:p>
        </w:tc>
        <w:tc>
          <w:tcPr>
            <w:tcW w:w="6406" w:type="dxa"/>
            <w:vAlign w:val="center"/>
          </w:tcPr>
          <w:p w14:paraId="1554DE2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累计运行时间，单位 s</w:t>
            </w:r>
          </w:p>
        </w:tc>
      </w:tr>
    </w:tbl>
    <w:p w14:paraId="6CAF7DFB"/>
    <w:p w14:paraId="4D402F74">
      <w:pPr>
        <w:pStyle w:val="4"/>
      </w:pPr>
      <w:r>
        <w:rPr>
          <w:rFonts w:ascii="微软雅黑" w:hAnsi="微软雅黑" w:eastAsia="微软雅黑"/>
          <w:color w:val="2F75B5"/>
        </w:rPr>
        <w:t>6.4 时间同步帧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1734"/>
        <w:gridCol w:w="1361"/>
        <w:gridCol w:w="5877"/>
      </w:tblGrid>
      <w:tr w14:paraId="576CF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4472C4"/>
            <w:vAlign w:val="center"/>
          </w:tcPr>
          <w:p w14:paraId="0D66E6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3A5EDB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2E34F74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6406" w:type="dxa"/>
            <w:shd w:val="clear" w:color="auto" w:fill="4472C4"/>
            <w:vAlign w:val="center"/>
          </w:tcPr>
          <w:p w14:paraId="5BF9B2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5835C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3751A7C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0~3</w:t>
            </w:r>
          </w:p>
        </w:tc>
        <w:tc>
          <w:tcPr>
            <w:tcW w:w="1814" w:type="dxa"/>
            <w:vAlign w:val="center"/>
          </w:tcPr>
          <w:p w14:paraId="15AFEB3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UnixSec</w:t>
            </w:r>
          </w:p>
        </w:tc>
        <w:tc>
          <w:tcPr>
            <w:tcW w:w="1417" w:type="dxa"/>
            <w:vAlign w:val="center"/>
          </w:tcPr>
          <w:p w14:paraId="4926904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uint32</w:t>
            </w:r>
          </w:p>
        </w:tc>
        <w:tc>
          <w:tcPr>
            <w:tcW w:w="6406" w:type="dxa"/>
            <w:vAlign w:val="center"/>
          </w:tcPr>
          <w:p w14:paraId="4711D7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UNIX 时间戳（秒）</w:t>
            </w:r>
          </w:p>
        </w:tc>
      </w:tr>
      <w:tr w14:paraId="0434F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6A040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4~7</w:t>
            </w:r>
          </w:p>
        </w:tc>
        <w:tc>
          <w:tcPr>
            <w:tcW w:w="1814" w:type="dxa"/>
            <w:vAlign w:val="center"/>
          </w:tcPr>
          <w:p w14:paraId="6CC56F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MilliSec</w:t>
            </w:r>
          </w:p>
        </w:tc>
        <w:tc>
          <w:tcPr>
            <w:tcW w:w="1417" w:type="dxa"/>
            <w:vAlign w:val="center"/>
          </w:tcPr>
          <w:p w14:paraId="42182F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uint32</w:t>
            </w:r>
          </w:p>
        </w:tc>
        <w:tc>
          <w:tcPr>
            <w:tcW w:w="6406" w:type="dxa"/>
            <w:vAlign w:val="center"/>
          </w:tcPr>
          <w:p w14:paraId="33C6BBC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当前秒内毫秒值</w:t>
            </w:r>
          </w:p>
        </w:tc>
      </w:tr>
    </w:tbl>
    <w:p w14:paraId="37D837E7"/>
    <w:p w14:paraId="74F973AA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设备收到时间同步帧后，应将接收时刻本地时基与上位机下发绝对时间建立偏移映射，用于故障记录和上报。</w:t>
      </w:r>
    </w:p>
    <w:p w14:paraId="6D893903">
      <w:pPr>
        <w:pStyle w:val="4"/>
      </w:pPr>
      <w:r>
        <w:rPr>
          <w:rFonts w:ascii="微软雅黑" w:hAnsi="微软雅黑" w:eastAsia="微软雅黑"/>
          <w:color w:val="2F75B5"/>
        </w:rPr>
        <w:t>6.5 控制命令帧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1"/>
        <w:gridCol w:w="1726"/>
        <w:gridCol w:w="1370"/>
        <w:gridCol w:w="5874"/>
      </w:tblGrid>
      <w:tr w14:paraId="418AE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shd w:val="clear" w:color="auto" w:fill="4472C4"/>
            <w:vAlign w:val="center"/>
          </w:tcPr>
          <w:p w14:paraId="3B0AD0C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093FDD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字段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78367F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6406" w:type="dxa"/>
            <w:shd w:val="clear" w:color="auto" w:fill="4472C4"/>
            <w:vAlign w:val="center"/>
          </w:tcPr>
          <w:p w14:paraId="43A51A9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6E717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5EB6D8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</w:t>
            </w:r>
          </w:p>
        </w:tc>
        <w:tc>
          <w:tcPr>
            <w:tcW w:w="1814" w:type="dxa"/>
            <w:vAlign w:val="center"/>
          </w:tcPr>
          <w:p w14:paraId="293D784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Cmd</w:t>
            </w:r>
          </w:p>
        </w:tc>
        <w:tc>
          <w:tcPr>
            <w:tcW w:w="1417" w:type="dxa"/>
            <w:vAlign w:val="center"/>
          </w:tcPr>
          <w:p w14:paraId="3A7E762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6406" w:type="dxa"/>
            <w:vAlign w:val="center"/>
          </w:tcPr>
          <w:p w14:paraId="056FCB7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命令码</w:t>
            </w:r>
          </w:p>
        </w:tc>
      </w:tr>
      <w:tr w14:paraId="546A0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082A619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1~7</w:t>
            </w:r>
          </w:p>
        </w:tc>
        <w:tc>
          <w:tcPr>
            <w:tcW w:w="1814" w:type="dxa"/>
            <w:vAlign w:val="center"/>
          </w:tcPr>
          <w:p w14:paraId="33ECAFE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Param</w:t>
            </w:r>
          </w:p>
        </w:tc>
        <w:tc>
          <w:tcPr>
            <w:tcW w:w="1417" w:type="dxa"/>
            <w:vAlign w:val="center"/>
          </w:tcPr>
          <w:p w14:paraId="5D2B715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byte[7]</w:t>
            </w:r>
          </w:p>
        </w:tc>
        <w:tc>
          <w:tcPr>
            <w:tcW w:w="6406" w:type="dxa"/>
            <w:vAlign w:val="center"/>
          </w:tcPr>
          <w:p w14:paraId="323C811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命令参数区</w:t>
            </w:r>
          </w:p>
        </w:tc>
      </w:tr>
    </w:tbl>
    <w:p w14:paraId="1030B4F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0DFE7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35A04AF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命令码</w:t>
            </w:r>
          </w:p>
        </w:tc>
        <w:tc>
          <w:tcPr>
            <w:tcW w:w="7370" w:type="dxa"/>
            <w:shd w:val="clear" w:color="auto" w:fill="4472C4"/>
            <w:vAlign w:val="center"/>
          </w:tcPr>
          <w:p w14:paraId="0109007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定义</w:t>
            </w:r>
          </w:p>
        </w:tc>
      </w:tr>
      <w:tr w14:paraId="428AE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54A1E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0x01</w:t>
            </w:r>
          </w:p>
        </w:tc>
        <w:tc>
          <w:tcPr>
            <w:tcW w:w="7370" w:type="dxa"/>
            <w:vAlign w:val="center"/>
          </w:tcPr>
          <w:p w14:paraId="440F4B7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清除故障 / 清除闭锁（满足条件后）</w:t>
            </w:r>
          </w:p>
        </w:tc>
      </w:tr>
      <w:tr w14:paraId="78E0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0D5EE8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0x02</w:t>
            </w:r>
          </w:p>
        </w:tc>
        <w:tc>
          <w:tcPr>
            <w:tcW w:w="7370" w:type="dxa"/>
            <w:vAlign w:val="center"/>
          </w:tcPr>
          <w:p w14:paraId="0796EBB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软件复位 MCU</w:t>
            </w:r>
          </w:p>
        </w:tc>
      </w:tr>
      <w:tr w14:paraId="7055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F078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0x03</w:t>
            </w:r>
          </w:p>
        </w:tc>
        <w:tc>
          <w:tcPr>
            <w:tcW w:w="7370" w:type="dxa"/>
            <w:vAlign w:val="center"/>
          </w:tcPr>
          <w:p w14:paraId="7EEE8B6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读取故障记录</w:t>
            </w:r>
          </w:p>
        </w:tc>
      </w:tr>
      <w:tr w14:paraId="4F3A5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0B294C3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0x04</w:t>
            </w:r>
          </w:p>
        </w:tc>
        <w:tc>
          <w:tcPr>
            <w:tcW w:w="7370" w:type="dxa"/>
            <w:vAlign w:val="center"/>
          </w:tcPr>
          <w:p w14:paraId="0EC1A3B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清空故障记录</w:t>
            </w:r>
          </w:p>
        </w:tc>
      </w:tr>
    </w:tbl>
    <w:p w14:paraId="0FBD4549"/>
    <w:p w14:paraId="49E7F687">
      <w:pPr>
        <w:pStyle w:val="4"/>
      </w:pPr>
      <w:r>
        <w:rPr>
          <w:rFonts w:ascii="微软雅黑" w:hAnsi="微软雅黑" w:eastAsia="微软雅黑"/>
          <w:color w:val="2F75B5"/>
        </w:rPr>
        <w:t>6.6 参数读写帧</w:t>
      </w:r>
    </w:p>
    <w:p w14:paraId="60064D9C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参数读写报文统一使用 0x400 + NodeID。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154"/>
        <w:gridCol w:w="1417"/>
        <w:gridCol w:w="2948"/>
        <w:gridCol w:w="1304"/>
      </w:tblGrid>
      <w:tr w14:paraId="10773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4472C4"/>
            <w:vAlign w:val="center"/>
          </w:tcPr>
          <w:p w14:paraId="12B5E03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方向</w:t>
            </w:r>
          </w:p>
        </w:tc>
        <w:tc>
          <w:tcPr>
            <w:tcW w:w="2154" w:type="dxa"/>
            <w:shd w:val="clear" w:color="auto" w:fill="4472C4"/>
            <w:vAlign w:val="center"/>
          </w:tcPr>
          <w:p w14:paraId="52B2658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Byte0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117B18E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Byte1</w:t>
            </w:r>
          </w:p>
        </w:tc>
        <w:tc>
          <w:tcPr>
            <w:tcW w:w="2948" w:type="dxa"/>
            <w:shd w:val="clear" w:color="auto" w:fill="4472C4"/>
            <w:vAlign w:val="center"/>
          </w:tcPr>
          <w:p w14:paraId="073A790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Byte2~5</w:t>
            </w:r>
          </w:p>
        </w:tc>
        <w:tc>
          <w:tcPr>
            <w:tcW w:w="1304" w:type="dxa"/>
            <w:shd w:val="clear" w:color="auto" w:fill="4472C4"/>
            <w:vAlign w:val="center"/>
          </w:tcPr>
          <w:p w14:paraId="268872A1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Byte6~7</w:t>
            </w:r>
          </w:p>
        </w:tc>
      </w:tr>
      <w:tr w14:paraId="4A3C0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3CB6FE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请求</w:t>
            </w:r>
          </w:p>
        </w:tc>
        <w:tc>
          <w:tcPr>
            <w:tcW w:w="2154" w:type="dxa"/>
            <w:vAlign w:val="center"/>
          </w:tcPr>
          <w:p w14:paraId="06C1A82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0x10 读 / 0x11 写</w:t>
            </w:r>
          </w:p>
        </w:tc>
        <w:tc>
          <w:tcPr>
            <w:tcW w:w="1417" w:type="dxa"/>
            <w:vAlign w:val="center"/>
          </w:tcPr>
          <w:p w14:paraId="0113A38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 ID</w:t>
            </w:r>
          </w:p>
        </w:tc>
        <w:tc>
          <w:tcPr>
            <w:tcW w:w="2948" w:type="dxa"/>
            <w:vAlign w:val="center"/>
          </w:tcPr>
          <w:p w14:paraId="60686A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写操作数据区</w:t>
            </w:r>
          </w:p>
        </w:tc>
        <w:tc>
          <w:tcPr>
            <w:tcW w:w="1304" w:type="dxa"/>
            <w:vAlign w:val="center"/>
          </w:tcPr>
          <w:p w14:paraId="4811C2B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预留</w:t>
            </w:r>
          </w:p>
        </w:tc>
      </w:tr>
      <w:tr w14:paraId="10610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562D43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应答</w:t>
            </w:r>
          </w:p>
        </w:tc>
        <w:tc>
          <w:tcPr>
            <w:tcW w:w="2154" w:type="dxa"/>
            <w:vAlign w:val="center"/>
          </w:tcPr>
          <w:p w14:paraId="141A2A7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状态码</w:t>
            </w:r>
          </w:p>
        </w:tc>
        <w:tc>
          <w:tcPr>
            <w:tcW w:w="1417" w:type="dxa"/>
            <w:vAlign w:val="center"/>
          </w:tcPr>
          <w:p w14:paraId="4AE192D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 ID</w:t>
            </w:r>
          </w:p>
        </w:tc>
        <w:tc>
          <w:tcPr>
            <w:tcW w:w="2948" w:type="dxa"/>
            <w:vAlign w:val="center"/>
          </w:tcPr>
          <w:p w14:paraId="19A71C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当前值 / 写入后值</w:t>
            </w:r>
          </w:p>
        </w:tc>
        <w:tc>
          <w:tcPr>
            <w:tcW w:w="1304" w:type="dxa"/>
            <w:vAlign w:val="center"/>
          </w:tcPr>
          <w:p w14:paraId="67F5F6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预留</w:t>
            </w:r>
          </w:p>
        </w:tc>
      </w:tr>
    </w:tbl>
    <w:p w14:paraId="26751CDC"/>
    <w:p w14:paraId="35146C90">
      <w:pPr>
        <w:pStyle w:val="3"/>
      </w:pPr>
      <w:r>
        <w:rPr>
          <w:rFonts w:ascii="微软雅黑" w:hAnsi="微软雅黑" w:eastAsia="微软雅黑"/>
          <w:color w:val="1F4E79"/>
        </w:rPr>
        <w:t>7. 参数表定义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368"/>
        <w:gridCol w:w="1417"/>
        <w:gridCol w:w="4195"/>
      </w:tblGrid>
      <w:tr w14:paraId="63BD5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shd w:val="clear" w:color="auto" w:fill="4472C4"/>
            <w:vAlign w:val="center"/>
          </w:tcPr>
          <w:p w14:paraId="755D3C53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 ID</w:t>
            </w:r>
          </w:p>
        </w:tc>
        <w:tc>
          <w:tcPr>
            <w:tcW w:w="2268" w:type="dxa"/>
            <w:shd w:val="clear" w:color="auto" w:fill="4472C4"/>
            <w:vAlign w:val="center"/>
          </w:tcPr>
          <w:p w14:paraId="0B58122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参数名称</w:t>
            </w:r>
          </w:p>
        </w:tc>
        <w:tc>
          <w:tcPr>
            <w:tcW w:w="1417" w:type="dxa"/>
            <w:shd w:val="clear" w:color="auto" w:fill="4472C4"/>
            <w:vAlign w:val="center"/>
          </w:tcPr>
          <w:p w14:paraId="46D0C64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类型</w:t>
            </w:r>
          </w:p>
        </w:tc>
        <w:tc>
          <w:tcPr>
            <w:tcW w:w="4195" w:type="dxa"/>
            <w:shd w:val="clear" w:color="auto" w:fill="4472C4"/>
            <w:vAlign w:val="center"/>
          </w:tcPr>
          <w:p w14:paraId="140678D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 w14:paraId="14A9A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479DABF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0x01</w:t>
            </w:r>
          </w:p>
        </w:tc>
        <w:tc>
          <w:tcPr>
            <w:tcW w:w="2268" w:type="dxa"/>
            <w:vAlign w:val="center"/>
          </w:tcPr>
          <w:p w14:paraId="35AA278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ShortThreshold</w:t>
            </w:r>
          </w:p>
        </w:tc>
        <w:tc>
          <w:tcPr>
            <w:tcW w:w="1417" w:type="dxa"/>
            <w:vAlign w:val="center"/>
          </w:tcPr>
          <w:p w14:paraId="5BC059B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3F8D6F9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短路比较阈值，对应 CMPSS DAC</w:t>
            </w:r>
          </w:p>
        </w:tc>
      </w:tr>
      <w:tr w14:paraId="38E0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54C915A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0x02</w:t>
            </w:r>
          </w:p>
        </w:tc>
        <w:tc>
          <w:tcPr>
            <w:tcW w:w="2268" w:type="dxa"/>
            <w:vAlign w:val="center"/>
          </w:tcPr>
          <w:p w14:paraId="6BA0250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OverCurrentThreshold</w:t>
            </w:r>
          </w:p>
        </w:tc>
        <w:tc>
          <w:tcPr>
            <w:tcW w:w="1417" w:type="dxa"/>
            <w:vAlign w:val="center"/>
          </w:tcPr>
          <w:p w14:paraId="4374FCC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2692324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过流/过载阈值</w:t>
            </w:r>
          </w:p>
        </w:tc>
      </w:tr>
      <w:tr w14:paraId="4C38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6F23551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0x03</w:t>
            </w:r>
          </w:p>
        </w:tc>
        <w:tc>
          <w:tcPr>
            <w:tcW w:w="2268" w:type="dxa"/>
            <w:vAlign w:val="center"/>
          </w:tcPr>
          <w:p w14:paraId="4249F64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OverVoltageThreshold</w:t>
            </w:r>
          </w:p>
        </w:tc>
        <w:tc>
          <w:tcPr>
            <w:tcW w:w="1417" w:type="dxa"/>
            <w:vAlign w:val="center"/>
          </w:tcPr>
          <w:p w14:paraId="1F3FB8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49E69D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过压保护阈值</w:t>
            </w:r>
          </w:p>
        </w:tc>
      </w:tr>
      <w:tr w14:paraId="349AC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693CD79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0x04</w:t>
            </w:r>
          </w:p>
        </w:tc>
        <w:tc>
          <w:tcPr>
            <w:tcW w:w="2268" w:type="dxa"/>
            <w:vAlign w:val="center"/>
          </w:tcPr>
          <w:p w14:paraId="7237F9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OverTempThreshold</w:t>
            </w:r>
          </w:p>
        </w:tc>
        <w:tc>
          <w:tcPr>
            <w:tcW w:w="1417" w:type="dxa"/>
            <w:vAlign w:val="center"/>
          </w:tcPr>
          <w:p w14:paraId="59DB804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4C53B6B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过温保护阈值</w:t>
            </w:r>
          </w:p>
        </w:tc>
      </w:tr>
      <w:tr w14:paraId="3977C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787A1F4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0x05</w:t>
            </w:r>
          </w:p>
        </w:tc>
        <w:tc>
          <w:tcPr>
            <w:tcW w:w="2268" w:type="dxa"/>
            <w:vAlign w:val="center"/>
          </w:tcPr>
          <w:p w14:paraId="28407D0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I2TThreshold</w:t>
            </w:r>
          </w:p>
        </w:tc>
        <w:tc>
          <w:tcPr>
            <w:tcW w:w="1417" w:type="dxa"/>
            <w:vAlign w:val="center"/>
          </w:tcPr>
          <w:p w14:paraId="461A25F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0C4C385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I²t 动作阈值</w:t>
            </w:r>
          </w:p>
        </w:tc>
      </w:tr>
      <w:tr w14:paraId="588E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016DA81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0x06</w:t>
            </w:r>
          </w:p>
        </w:tc>
        <w:tc>
          <w:tcPr>
            <w:tcW w:w="2268" w:type="dxa"/>
            <w:vAlign w:val="center"/>
          </w:tcPr>
          <w:p w14:paraId="4A33D70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VoltageK</w:t>
            </w:r>
          </w:p>
        </w:tc>
        <w:tc>
          <w:tcPr>
            <w:tcW w:w="1417" w:type="dxa"/>
            <w:vAlign w:val="center"/>
          </w:tcPr>
          <w:p w14:paraId="44242AE4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235A05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电压校准系数</w:t>
            </w:r>
          </w:p>
        </w:tc>
      </w:tr>
      <w:tr w14:paraId="61BA7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3997478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0x07</w:t>
            </w:r>
          </w:p>
        </w:tc>
        <w:tc>
          <w:tcPr>
            <w:tcW w:w="2268" w:type="dxa"/>
            <w:vAlign w:val="center"/>
          </w:tcPr>
          <w:p w14:paraId="0846F34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CurrentK</w:t>
            </w:r>
          </w:p>
        </w:tc>
        <w:tc>
          <w:tcPr>
            <w:tcW w:w="1417" w:type="dxa"/>
            <w:vAlign w:val="center"/>
          </w:tcPr>
          <w:p w14:paraId="0A35FE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392DDA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电流校准系数</w:t>
            </w:r>
          </w:p>
        </w:tc>
      </w:tr>
      <w:tr w14:paraId="300E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779C7C8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0x08</w:t>
            </w:r>
          </w:p>
        </w:tc>
        <w:tc>
          <w:tcPr>
            <w:tcW w:w="2268" w:type="dxa"/>
            <w:vAlign w:val="center"/>
          </w:tcPr>
          <w:p w14:paraId="696797B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TempK</w:t>
            </w:r>
          </w:p>
        </w:tc>
        <w:tc>
          <w:tcPr>
            <w:tcW w:w="1417" w:type="dxa"/>
            <w:vAlign w:val="center"/>
          </w:tcPr>
          <w:p w14:paraId="103E372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float</w:t>
            </w:r>
          </w:p>
        </w:tc>
        <w:tc>
          <w:tcPr>
            <w:tcW w:w="4195" w:type="dxa"/>
            <w:vAlign w:val="center"/>
          </w:tcPr>
          <w:p w14:paraId="0ACA0BF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温度校准系数</w:t>
            </w:r>
          </w:p>
        </w:tc>
      </w:tr>
      <w:tr w14:paraId="383BC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5E0346B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0x09</w:t>
            </w:r>
          </w:p>
        </w:tc>
        <w:tc>
          <w:tcPr>
            <w:tcW w:w="2268" w:type="dxa"/>
            <w:vAlign w:val="center"/>
          </w:tcPr>
          <w:p w14:paraId="472B5A5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NodeID</w:t>
            </w:r>
          </w:p>
        </w:tc>
        <w:tc>
          <w:tcPr>
            <w:tcW w:w="1417" w:type="dxa"/>
            <w:vAlign w:val="center"/>
          </w:tcPr>
          <w:p w14:paraId="2ED8179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4195" w:type="dxa"/>
            <w:vAlign w:val="center"/>
          </w:tcPr>
          <w:p w14:paraId="1AD2A9F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设备节点地址</w:t>
            </w:r>
          </w:p>
        </w:tc>
      </w:tr>
      <w:tr w14:paraId="1E03F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91" w:type="dxa"/>
            <w:vAlign w:val="center"/>
          </w:tcPr>
          <w:p w14:paraId="6D9E83C9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0x0A</w:t>
            </w:r>
          </w:p>
        </w:tc>
        <w:tc>
          <w:tcPr>
            <w:tcW w:w="2268" w:type="dxa"/>
            <w:vAlign w:val="center"/>
          </w:tcPr>
          <w:p w14:paraId="6917762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RecoverMode</w:t>
            </w:r>
          </w:p>
        </w:tc>
        <w:tc>
          <w:tcPr>
            <w:tcW w:w="1417" w:type="dxa"/>
            <w:vAlign w:val="center"/>
          </w:tcPr>
          <w:p w14:paraId="00A6F46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uint8</w:t>
            </w:r>
          </w:p>
        </w:tc>
        <w:tc>
          <w:tcPr>
            <w:tcW w:w="4195" w:type="dxa"/>
            <w:vAlign w:val="center"/>
          </w:tcPr>
          <w:p w14:paraId="4FE224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恢复策略参数扩展位</w:t>
            </w:r>
          </w:p>
        </w:tc>
      </w:tr>
    </w:tbl>
    <w:p w14:paraId="5464D160"/>
    <w:p w14:paraId="5A46BECA">
      <w:pPr>
        <w:pStyle w:val="19"/>
        <w:spacing w:after="120" w:line="324" w:lineRule="auto"/>
      </w:pPr>
      <w:r>
        <w:rPr>
          <w:rFonts w:ascii="微软雅黑" w:hAnsi="微软雅黑" w:eastAsia="微软雅黑"/>
          <w:sz w:val="21"/>
        </w:rPr>
        <w:t>说明：参数修改后需进行合法性检查，并写入 FRAM 实现掉电保存。</w:t>
      </w:r>
    </w:p>
    <w:p w14:paraId="578E7D2D">
      <w:pPr>
        <w:pStyle w:val="3"/>
      </w:pPr>
      <w:r>
        <w:rPr>
          <w:rFonts w:ascii="微软雅黑" w:hAnsi="微软雅黑" w:eastAsia="微软雅黑"/>
          <w:color w:val="1F4E79"/>
        </w:rPr>
        <w:t>8. 故障与恢复机制</w:t>
      </w:r>
    </w:p>
    <w:p w14:paraId="3DAEF3B5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短路保护：CMPSS3 检测到阈值越限后，立即通过 ePWM Trip Zone 关断驱动，同时触发中断记录事件。</w:t>
      </w:r>
    </w:p>
    <w:p w14:paraId="634C6801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过载保护：按 10 ms 计算周期执行 RMS + I²t 判据。</w:t>
      </w:r>
    </w:p>
    <w:p w14:paraId="3836463A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自恢复策略：短路故障默认 5 s 后尝试恢复，过载故障默认 15 s 后尝试恢复。</w:t>
      </w:r>
    </w:p>
    <w:p w14:paraId="6DDE4F09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恢复失败策略：一次故障自恢复失败后，系统直接进入闭锁状态，必须由上位机手动复位。</w:t>
      </w:r>
    </w:p>
    <w:p w14:paraId="6B2CFC92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故障记录：参数掉电保存；最近 50 条故障记录循环存储至 FRAM。</w:t>
      </w:r>
    </w:p>
    <w:p w14:paraId="563F3D6C">
      <w:pPr>
        <w:pStyle w:val="3"/>
      </w:pPr>
      <w:r>
        <w:rPr>
          <w:rFonts w:ascii="微软雅黑" w:hAnsi="微软雅黑" w:eastAsia="微软雅黑"/>
          <w:color w:val="1F4E79"/>
        </w:rPr>
        <w:t>9. 存储与数据保持</w:t>
      </w:r>
    </w:p>
    <w:p w14:paraId="1BE9768D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参数区：保存保护阈值、校准系数、NodeID 等关键配置。</w:t>
      </w:r>
    </w:p>
    <w:p w14:paraId="349B2D5F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故障区：保存最近 50 条故障记录，建议采用环形覆盖结构。</w:t>
      </w:r>
    </w:p>
    <w:p w14:paraId="1DDAE2B4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记录项建议至少包含：故障类型、绝对时间戳、电压、电流、温度。</w:t>
      </w:r>
    </w:p>
    <w:p w14:paraId="361842F4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参数区应附带 CRC 校验，启动时校验失败则回落到默认值。</w:t>
      </w:r>
    </w:p>
    <w:p w14:paraId="537239DC">
      <w:pPr>
        <w:pStyle w:val="3"/>
      </w:pPr>
      <w:r>
        <w:rPr>
          <w:rFonts w:ascii="微软雅黑" w:hAnsi="微软雅黑" w:eastAsia="微软雅黑"/>
          <w:color w:val="1F4E79"/>
        </w:rPr>
        <w:t>10. 上位机交互流程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742"/>
        <w:gridCol w:w="3458"/>
      </w:tblGrid>
      <w:tr w14:paraId="0BA79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4472C4"/>
            <w:vAlign w:val="center"/>
          </w:tcPr>
          <w:p w14:paraId="2C5F16C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场景</w:t>
            </w:r>
          </w:p>
        </w:tc>
        <w:tc>
          <w:tcPr>
            <w:tcW w:w="3742" w:type="dxa"/>
            <w:shd w:val="clear" w:color="auto" w:fill="4472C4"/>
            <w:vAlign w:val="center"/>
          </w:tcPr>
          <w:p w14:paraId="3C2E9DDD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设备动作</w:t>
            </w:r>
          </w:p>
        </w:tc>
        <w:tc>
          <w:tcPr>
            <w:tcW w:w="3458" w:type="dxa"/>
            <w:shd w:val="clear" w:color="auto" w:fill="4472C4"/>
            <w:vAlign w:val="center"/>
          </w:tcPr>
          <w:p w14:paraId="6546EBEB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上位机动作</w:t>
            </w:r>
          </w:p>
        </w:tc>
      </w:tr>
      <w:tr w14:paraId="604E6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9593CA5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上电初始化</w:t>
            </w:r>
          </w:p>
        </w:tc>
        <w:tc>
          <w:tcPr>
            <w:tcW w:w="3742" w:type="dxa"/>
            <w:vAlign w:val="center"/>
          </w:tcPr>
          <w:p w14:paraId="273ED7A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执行基础自检、加载参数、开始心跳与实时上报</w:t>
            </w:r>
          </w:p>
        </w:tc>
        <w:tc>
          <w:tcPr>
            <w:tcW w:w="3458" w:type="dxa"/>
            <w:vAlign w:val="center"/>
          </w:tcPr>
          <w:p w14:paraId="01BC80D2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建立 CAN 连接并等待时间同步</w:t>
            </w:r>
          </w:p>
        </w:tc>
      </w:tr>
      <w:tr w14:paraId="52361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56E83A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时间同步</w:t>
            </w:r>
          </w:p>
        </w:tc>
        <w:tc>
          <w:tcPr>
            <w:tcW w:w="3742" w:type="dxa"/>
            <w:vAlign w:val="center"/>
          </w:tcPr>
          <w:p w14:paraId="456015B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 0x500 报文并建立绝对时基</w:t>
            </w:r>
          </w:p>
        </w:tc>
        <w:tc>
          <w:tcPr>
            <w:tcW w:w="3458" w:type="dxa"/>
            <w:vAlign w:val="center"/>
          </w:tcPr>
          <w:p w14:paraId="0364B6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发送时间同步帧</w:t>
            </w:r>
          </w:p>
        </w:tc>
      </w:tr>
      <w:tr w14:paraId="606DE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87FB1D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实时监控</w:t>
            </w:r>
          </w:p>
        </w:tc>
        <w:tc>
          <w:tcPr>
            <w:tcW w:w="3742" w:type="dxa"/>
            <w:vAlign w:val="center"/>
          </w:tcPr>
          <w:p w14:paraId="17BEC6B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每 20 ms 上报实时数据</w:t>
            </w:r>
          </w:p>
        </w:tc>
        <w:tc>
          <w:tcPr>
            <w:tcW w:w="3458" w:type="dxa"/>
            <w:vAlign w:val="center"/>
          </w:tcPr>
          <w:p w14:paraId="76E86F98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刷新界面显示</w:t>
            </w:r>
          </w:p>
        </w:tc>
      </w:tr>
      <w:tr w14:paraId="19A0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BAEC16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参数修改</w:t>
            </w:r>
          </w:p>
        </w:tc>
        <w:tc>
          <w:tcPr>
            <w:tcW w:w="3742" w:type="dxa"/>
            <w:vAlign w:val="center"/>
          </w:tcPr>
          <w:p w14:paraId="17CA5F0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校验并写入新参数，返回应答</w:t>
            </w:r>
          </w:p>
        </w:tc>
        <w:tc>
          <w:tcPr>
            <w:tcW w:w="3458" w:type="dxa"/>
            <w:vAlign w:val="center"/>
          </w:tcPr>
          <w:p w14:paraId="2FCD44F6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发送读写命令并显示结果</w:t>
            </w:r>
          </w:p>
        </w:tc>
      </w:tr>
      <w:tr w14:paraId="0FF09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38194A2C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故障发生</w:t>
            </w:r>
          </w:p>
        </w:tc>
        <w:tc>
          <w:tcPr>
            <w:tcW w:w="3742" w:type="dxa"/>
            <w:vAlign w:val="center"/>
          </w:tcPr>
          <w:p w14:paraId="64EA85C7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立即关断/记录/上报</w:t>
            </w:r>
          </w:p>
        </w:tc>
        <w:tc>
          <w:tcPr>
            <w:tcW w:w="3458" w:type="dxa"/>
            <w:vAlign w:val="center"/>
          </w:tcPr>
          <w:p w14:paraId="17FA1680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显示故障并可发送复位命令</w:t>
            </w:r>
          </w:p>
        </w:tc>
      </w:tr>
      <w:tr w14:paraId="11F63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D1EFA7F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闭锁解除</w:t>
            </w:r>
          </w:p>
        </w:tc>
        <w:tc>
          <w:tcPr>
            <w:tcW w:w="3742" w:type="dxa"/>
            <w:vAlign w:val="center"/>
          </w:tcPr>
          <w:p w14:paraId="68B229AE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接收手动复位命令后清除闭锁（满足安全条件）</w:t>
            </w:r>
          </w:p>
        </w:tc>
        <w:tc>
          <w:tcPr>
            <w:tcW w:w="3458" w:type="dxa"/>
            <w:vAlign w:val="center"/>
          </w:tcPr>
          <w:p w14:paraId="6EA8B62A">
            <w:pPr>
              <w:spacing w:after="0" w:line="240" w:lineRule="auto"/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人工确认后下发复位</w:t>
            </w:r>
          </w:p>
        </w:tc>
      </w:tr>
    </w:tbl>
    <w:p w14:paraId="0D26306D"/>
    <w:p w14:paraId="272C92DE">
      <w:pPr>
        <w:pStyle w:val="3"/>
      </w:pPr>
      <w:r>
        <w:rPr>
          <w:rFonts w:ascii="微软雅黑" w:hAnsi="微软雅黑" w:eastAsia="微软雅黑"/>
          <w:color w:val="1F4E79"/>
        </w:rPr>
        <w:t>11. 正式版 PDF 建议目录结构</w:t>
      </w:r>
    </w:p>
    <w:p w14:paraId="3FBE8A0E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封面页：文档名称、设备名称、版本、日期、编制/审核信息。</w:t>
      </w:r>
    </w:p>
    <w:p w14:paraId="4E5726B4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修订记录页：版本号、修订日期、修订内容、修订人。</w:t>
      </w:r>
    </w:p>
    <w:p w14:paraId="166F5275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目录页：自动目录。</w:t>
      </w:r>
    </w:p>
    <w:p w14:paraId="4C7F7717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1 章 文档概述。</w:t>
      </w:r>
    </w:p>
    <w:p w14:paraId="7C37B741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2 章 系统背景与硬件映射。</w:t>
      </w:r>
    </w:p>
    <w:p w14:paraId="33394303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3 章 通信总体要求。</w:t>
      </w:r>
    </w:p>
    <w:p w14:paraId="13E5E008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4 章 CAN ID 与报文格式定义。</w:t>
      </w:r>
    </w:p>
    <w:p w14:paraId="6BE53364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5 章 参数表与故障码表。</w:t>
      </w:r>
    </w:p>
    <w:p w14:paraId="1D791DCF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6 章 上位机交互流程。</w:t>
      </w:r>
    </w:p>
    <w:p w14:paraId="4F1DAF25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第 7 章 存储、时间同步与恢复策略。</w:t>
      </w:r>
    </w:p>
    <w:p w14:paraId="5C555D99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附录 A：字段编码约定。</w:t>
      </w:r>
    </w:p>
    <w:p w14:paraId="375344CE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附录 B：联调测试建议项。</w:t>
      </w:r>
    </w:p>
    <w:p w14:paraId="5E40DC25">
      <w:pPr>
        <w:pStyle w:val="3"/>
      </w:pPr>
      <w:r>
        <w:rPr>
          <w:rFonts w:ascii="微软雅黑" w:hAnsi="微软雅黑" w:eastAsia="微软雅黑"/>
          <w:color w:val="1F4E79"/>
        </w:rPr>
        <w:t>附录 A. 字段编码约定</w:t>
      </w:r>
    </w:p>
    <w:p w14:paraId="14D61CF6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多字节整数默认按低字节在前方式传输，若项目需要大端格式，应在最终版中统一注明。</w:t>
      </w:r>
    </w:p>
    <w:p w14:paraId="750634CD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模拟量推荐统一使用定点缩放，避免浮点直接上总线。</w:t>
      </w:r>
    </w:p>
    <w:p w14:paraId="19CBD579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状态字段与故障字段建议在上位机界面映射为可读中文。</w:t>
      </w:r>
    </w:p>
    <w:p w14:paraId="697B45DF">
      <w:pPr>
        <w:pStyle w:val="3"/>
      </w:pPr>
      <w:r>
        <w:rPr>
          <w:rFonts w:ascii="微软雅黑" w:hAnsi="微软雅黑" w:eastAsia="微软雅黑"/>
          <w:color w:val="1F4E79"/>
        </w:rPr>
        <w:t>附录 B. 联调测试建议项</w:t>
      </w:r>
    </w:p>
    <w:p w14:paraId="0D5F8F22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验证 20 ms 实时帧与 100 ms 心跳帧周期稳定性。</w:t>
      </w:r>
    </w:p>
    <w:p w14:paraId="27320A9A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验证时间同步后故障时间戳与上位机显示一致性。</w:t>
      </w:r>
    </w:p>
    <w:p w14:paraId="617C88A6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验证参数写入后的掉电保持能力。</w:t>
      </w:r>
    </w:p>
    <w:p w14:paraId="2B8A5CB5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验证短路触发、关断、故障上报和闭锁恢复链路。</w:t>
      </w:r>
    </w:p>
    <w:p w14:paraId="0BBD4369">
      <w:pPr>
        <w:pStyle w:val="16"/>
        <w:spacing w:after="60"/>
        <w:ind w:left="340"/>
      </w:pPr>
      <w:r>
        <w:rPr>
          <w:rFonts w:ascii="微软雅黑" w:hAnsi="微软雅黑" w:eastAsia="微软雅黑"/>
          <w:sz w:val="21"/>
        </w:rPr>
        <w:t>验证故障记录读取与循环覆盖逻辑。</w:t>
      </w:r>
    </w:p>
    <w:sectPr>
      <w:pgSz w:w="12240" w:h="15840"/>
      <w:pgMar w:top="1247" w:right="1191" w:bottom="1134" w:left="1304" w:header="720" w:footer="720" w:gutter="0"/>
      <w:pgBorders w:offsetFrom="page">
        <w:top w:val="single" w:color="D9E2F3" w:sz="8" w:space="18"/>
        <w:left w:val="single" w:color="D9E2F3" w:sz="8" w:space="18"/>
        <w:bottom w:val="single" w:color="D9E2F3" w:sz="8" w:space="18"/>
        <w:right w:val="single" w:color="D9E2F3" w:sz="8" w:space="18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921511"/>
    <w:rsid w:val="6AD15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5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1100</Words>
  <Characters>1588</Characters>
  <Lines>0</Lines>
  <Paragraphs>0</Paragraphs>
  <TotalTime>343</TotalTime>
  <ScaleCrop>false</ScaleCrop>
  <LinksUpToDate>false</LinksUpToDate>
  <CharactersWithSpaces>1691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꧁浪㏒/隔꧂</cp:lastModifiedBy>
  <dcterms:modified xsi:type="dcterms:W3CDTF">2026-04-21T11:56:07Z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eyJoZGlkIjoiYjJjNmFhMWRlYzhiNGYzNWMxOTdiNDRkNmVkOGMwMmIiLCJ1c2VySWQiOiIzOTgwNDA5NDIifQ==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87192B5B39644D05A738D64F300D738E_12</vt:lpwstr>
  </property>
</Properties>
</file>