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2E6BA0"/>
          <w:sz w:val="54"/>
        </w:rPr>
        <w:t>KuantorFlow</w:t>
      </w:r>
      <w:r>
        <w:rPr>
          <w:b w:val="0"/>
          <w:i w:val="0"/>
          <w:color w:val="22303C"/>
          <w:sz w:val="38"/>
        </w:rPr>
        <w:t xml:space="preserve">  Weekly Development Report</w:t>
      </w:r>
    </w:p>
    <w:p>
      <w:pPr>
        <w:spacing w:after="40"/>
      </w:pPr>
      <w:r>
        <w:rPr>
          <w:b/>
          <w:i w:val="0"/>
          <w:color w:val="5B6B7A"/>
          <w:sz w:val="20"/>
        </w:rPr>
        <w:t xml:space="preserve">Period: </w:t>
      </w:r>
      <w:r>
        <w:rPr>
          <w:b w:val="0"/>
          <w:i w:val="0"/>
          <w:color w:val="5B6B7A"/>
          <w:sz w:val="20"/>
        </w:rPr>
        <w:t>9–13 July 2026</w:t>
      </w:r>
      <w:r>
        <w:rPr>
          <w:b/>
          <w:i w:val="0"/>
          <w:color w:val="5B6B7A"/>
          <w:sz w:val="20"/>
        </w:rPr>
        <w:t xml:space="preserve">      Repositories: </w:t>
      </w:r>
      <w:r>
        <w:rPr>
          <w:b w:val="0"/>
          <w:i w:val="0"/>
          <w:color w:val="5B6B7A"/>
          <w:sz w:val="20"/>
        </w:rPr>
        <w:t>kuantorflow · ai_agent · kuantorflow_automation</w:t>
      </w:r>
    </w:p>
    <w:p>
      <w:pPr>
        <w:pBdr>
          <w:bottom w:val="single" w:sz="8" w:color="D9B13C"/>
        </w:pBdr>
      </w:pPr>
    </w:p>
    <w:p>
      <w:pPr>
        <w:pStyle w:val="Heading1"/>
      </w:pPr>
      <w:r>
        <w:t>Executive Summary</w:t>
      </w:r>
    </w:p>
    <w:p>
      <w:pPr>
        <w:spacing w:after="120"/>
      </w:pPr>
      <w:r>
        <w:rPr>
          <w:b w:val="0"/>
          <w:i w:val="0"/>
          <w:color w:val="22303C"/>
        </w:rPr>
        <w:t xml:space="preserve">In five days, KuantorFlow grew from an empty repository into a deployed, AI-powered language-learning platform: </w:t>
      </w:r>
      <w:r>
        <w:rPr>
          <w:b/>
          <w:i w:val="0"/>
          <w:color w:val="22303C"/>
        </w:rPr>
        <w:t>65 merged pull requests</w:t>
      </w:r>
      <w:r>
        <w:rPr>
          <w:b w:val="0"/>
          <w:i w:val="0"/>
          <w:color w:val="22303C"/>
        </w:rPr>
        <w:t xml:space="preserve"> across three repositories, live on PythonAnywhere.</w:t>
      </w:r>
    </w:p>
    <w:p>
      <w:pPr>
        <w:spacing w:after="120"/>
      </w:pPr>
      <w:r>
        <w:rPr>
          <w:b w:val="0"/>
          <w:i w:val="0"/>
          <w:color w:val="22303C"/>
        </w:rPr>
        <w:t xml:space="preserve">The product today: a Flask web application where Ukrainian- and Russian-speaking learners build bilingual flashcard collections from dictionary lookups and OneNote exports, drill them with quizzes — accompanied by </w:t>
      </w:r>
      <w:r>
        <w:rPr>
          <w:b/>
          <w:i w:val="0"/>
          <w:color w:val="22303C"/>
        </w:rPr>
        <w:t>Mykola</w:t>
      </w:r>
      <w:r>
        <w:rPr>
          <w:b w:val="0"/>
          <w:i w:val="0"/>
          <w:color w:val="22303C"/>
        </w:rPr>
        <w:t>, a persona-rich AI study companion (Claude-powered, RAG-grounded) who answers questions, adds flashcards to the database on request, remembers signed-in users between visits, and greets them with a recap of their previous conversations.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024"/>
            <w:shd w:val="clear" w:fill="2E6BA0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6192"/>
            <w:shd w:val="clear" w:fill="2E6BA0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864"/>
            <w:shd w:val="clear" w:fill="2E6BA0"/>
          </w:tcPr>
          <w:p>
            <w:r>
              <w:rPr>
                <w:b/>
                <w:color w:val="FFFFFF"/>
                <w:sz w:val="20"/>
              </w:rPr>
              <w:t>PRs</w:t>
            </w:r>
          </w:p>
        </w:tc>
      </w:tr>
      <w:tr>
        <w:tc>
          <w:tcPr>
            <w:tcW w:type="dxa" w:w="3024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6192"/>
          </w:tcPr>
          <w:p>
            <w:r>
              <w:rPr>
                <w:color w:val="22303C"/>
                <w:sz w:val="20"/>
              </w:rPr>
              <w:t>The website: flashcards, quizzes, auth, Mykola integration</w:t>
            </w:r>
          </w:p>
        </w:tc>
        <w:tc>
          <w:tcPr>
            <w:tcW w:type="dxa" w:w="864"/>
          </w:tcPr>
          <w:p>
            <w:r>
              <w:rPr>
                <w:color w:val="22303C"/>
                <w:sz w:val="20"/>
              </w:rPr>
              <w:t>35</w:t>
            </w:r>
          </w:p>
        </w:tc>
      </w:tr>
      <w:tr>
        <w:tc>
          <w:tcPr>
            <w:tcW w:type="dxa" w:w="3024"/>
          </w:tcPr>
          <w:p>
            <w:r>
              <w:rPr>
                <w:color w:val="22303C"/>
                <w:sz w:val="20"/>
              </w:rPr>
              <w:t>ai_agent</w:t>
            </w:r>
          </w:p>
        </w:tc>
        <w:tc>
          <w:tcPr>
            <w:tcW w:type="dxa" w:w="6192"/>
          </w:tcPr>
          <w:p>
            <w:r>
              <w:rPr>
                <w:color w:val="22303C"/>
                <w:sz w:val="20"/>
              </w:rPr>
              <w:t>The agent: RAG core, persona, tools, standalone demo app</w:t>
            </w:r>
          </w:p>
        </w:tc>
        <w:tc>
          <w:tcPr>
            <w:tcW w:type="dxa" w:w="864"/>
          </w:tcPr>
          <w:p>
            <w:r>
              <w:rPr>
                <w:color w:val="22303C"/>
                <w:sz w:val="20"/>
              </w:rPr>
              <w:t>28</w:t>
            </w:r>
          </w:p>
        </w:tc>
      </w:tr>
      <w:tr>
        <w:tc>
          <w:tcPr>
            <w:tcW w:type="dxa" w:w="3024"/>
          </w:tcPr>
          <w:p>
            <w:r>
              <w:rPr>
                <w:color w:val="22303C"/>
                <w:sz w:val="20"/>
              </w:rPr>
              <w:t>kuantorflow_automation</w:t>
            </w:r>
          </w:p>
        </w:tc>
        <w:tc>
          <w:tcPr>
            <w:tcW w:type="dxa" w:w="6192"/>
          </w:tcPr>
          <w:p>
            <w:r>
              <w:rPr>
                <w:color w:val="22303C"/>
                <w:sz w:val="20"/>
              </w:rPr>
              <w:t>Quality &amp; ops: regression tests, DB backups</w:t>
            </w:r>
          </w:p>
        </w:tc>
        <w:tc>
          <w:tcPr>
            <w:tcW w:type="dxa" w:w="864"/>
          </w:tcPr>
          <w:p>
            <w:r>
              <w:rPr>
                <w:color w:val="22303C"/>
                <w:sz w:val="20"/>
              </w:rPr>
              <w:t>2</w:t>
            </w:r>
          </w:p>
        </w:tc>
      </w:tr>
      <w:tr>
        <w:tc>
          <w:tcPr>
            <w:tcW w:type="dxa" w:w="3024"/>
          </w:tcPr>
          <w:p>
            <w:r>
              <w:rPr>
                <w:color w:val="22303C"/>
                <w:sz w:val="20"/>
              </w:rPr>
              <w:t>Total</w:t>
            </w:r>
          </w:p>
        </w:tc>
        <w:tc>
          <w:tcPr>
            <w:tcW w:type="dxa" w:w="6192"/>
          </w:tcPr>
          <w:p>
            <w:r>
              <w:rPr>
                <w:color w:val="22303C"/>
                <w:sz w:val="20"/>
              </w:rPr>
            </w:r>
          </w:p>
        </w:tc>
        <w:tc>
          <w:tcPr>
            <w:tcW w:type="dxa" w:w="864"/>
          </w:tcPr>
          <w:p>
            <w:r>
              <w:rPr>
                <w:color w:val="22303C"/>
                <w:sz w:val="20"/>
              </w:rPr>
              <w:t>65</w:t>
            </w:r>
          </w:p>
        </w:tc>
      </w:tr>
    </w:tbl>
    <w:p>
      <w:pPr>
        <w:spacing w:after="40"/>
      </w:pPr>
    </w:p>
    <w:p>
      <w:pPr>
        <w:pStyle w:val="Heading1"/>
      </w:pPr>
      <w:r>
        <w:t>Completed Work by Theme</w:t>
      </w:r>
    </w:p>
    <w:p>
      <w:pPr>
        <w:pStyle w:val="Heading2"/>
      </w:pPr>
      <w:r>
        <w:t>1. Product foundation (kuantorflow #1–#12)</w:t>
      </w:r>
    </w:p>
    <w:p>
      <w:pPr>
        <w:spacing w:after="120"/>
      </w:pPr>
      <w:r>
        <w:rPr>
          <w:b w:val="0"/>
          <w:i w:val="0"/>
          <w:color w:val="22303C"/>
        </w:rPr>
        <w:t>The core learning product was built in the first two days: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Flashcards end-to-end (#1): </w:t>
      </w:r>
      <w:r>
        <w:rPr>
          <w:b w:val="0"/>
          <w:i w:val="0"/>
          <w:color w:val="22303C"/>
        </w:rPr>
        <w:t>parsing word lookups and OneNote .mht exports into cards, saving to MySQL, browsing by topic, and a bilingual (UA/RU) quiz mode.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Smarter lookups (#2, #7): </w:t>
      </w:r>
      <w:r>
        <w:rPr>
          <w:b w:val="0"/>
          <w:i w:val="0"/>
          <w:color w:val="22303C"/>
        </w:rPr>
        <w:t>one card per part of speech, English definitions, translation gap-filling between Ukrainian and Russian; the lookup backend moved from Reverso scraping to Google Translate dictionary data for reliability.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Review before save (#12): </w:t>
      </w:r>
      <w:r>
        <w:rPr>
          <w:b w:val="0"/>
          <w:i w:val="0"/>
          <w:color w:val="22303C"/>
        </w:rPr>
        <w:t>looked-up cards go through an edit/delete review popup instead of saving blind — a pattern later reused for file imports.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Polish and access control: </w:t>
      </w:r>
      <w:r>
        <w:rPr>
          <w:b w:val="0"/>
          <w:i w:val="0"/>
          <w:color w:val="22303C"/>
        </w:rPr>
        <w:t>blue/yellow theme with topic chips (#3), card deletion with confirmation (#9), Open Graph link previews (#8), favicon (#10), environment-based DB credentials (#5), and a keyword access gate for the whole site (#11).</w:t>
      </w:r>
    </w:p>
    <w:p>
      <w:pPr>
        <w:pStyle w:val="Heading2"/>
      </w:pPr>
      <w:r>
        <w:t>2. Birth of the agent (ai_agent #1–#9)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RAG core (#1): </w:t>
      </w:r>
      <w:r>
        <w:rPr>
          <w:b w:val="0"/>
          <w:i w:val="0"/>
          <w:color w:val="22303C"/>
        </w:rPr>
        <w:t>a retrieval-augmented agent answering English-learning questions from a markdown knowledge base (TF-IDF retrieval over heading-split chunks) with source citations.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Standalone web app (#2): </w:t>
      </w:r>
      <w:r>
        <w:rPr>
          <w:b w:val="0"/>
          <w:i w:val="0"/>
          <w:color w:val="22303C"/>
        </w:rPr>
        <w:t>Flask chat UI with gallery/About pages.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The keystone architecture decision (#9): </w:t>
      </w:r>
      <w:r>
        <w:rPr>
          <w:b w:val="0"/>
          <w:i w:val="0"/>
          <w:color w:val="22303C"/>
        </w:rPr>
        <w:t>the chatbot was extracted into an importable agent class so the main site could import the agent rather than duplicate it — the single-source, two-repo composition every later feature builds on.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Early capabilities: </w:t>
      </w:r>
      <w:r>
        <w:rPr>
          <w:b w:val="0"/>
          <w:i w:val="0"/>
          <w:color w:val="22303C"/>
        </w:rPr>
        <w:t>flashcards-database access and study lists (#15, #16), friendly API-error messaging (#5), chat-output markdown fixes (#6, #18), a music player for the standalone app (#13, #14).</w:t>
      </w:r>
    </w:p>
    <w:p>
      <w:pPr>
        <w:pStyle w:val="Heading2"/>
      </w:pPr>
      <w:r>
        <w:t>3. Integration era (kuantorflow #26–#39)</w:t>
      </w:r>
    </w:p>
    <w:p>
      <w:pPr>
        <w:spacing w:after="120"/>
      </w:pPr>
      <w:r>
        <w:rPr>
          <w:b w:val="0"/>
          <w:i w:val="0"/>
          <w:color w:val="22303C"/>
        </w:rPr>
        <w:t>The agent moved into the main site as a floating chat widget: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Widget integration (#26) </w:t>
      </w:r>
      <w:r>
        <w:rPr>
          <w:b w:val="0"/>
          <w:i w:val="0"/>
          <w:color w:val="22303C"/>
        </w:rPr>
        <w:t>with minimize/maximize, avatar animation, and an About page — served by a cross-repo Jinja loader that renders the shared About partial and media straight from the ai_agent checkout (no copies).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Two-step welcome popup </w:t>
      </w:r>
      <w:r>
        <w:rPr>
          <w:b w:val="0"/>
          <w:i w:val="0"/>
          <w:color w:val="22303C"/>
        </w:rPr>
        <w:t>introducing the companion (#33, #37), wave-animation launcher (#39), full-page chat opened from the widget (#35), and chat logging (#32; ai_agent #24).</w:t>
      </w:r>
    </w:p>
    <w:p>
      <w:pPr>
        <w:pStyle w:val="Heading2"/>
      </w:pPr>
      <w:r>
        <w:t>4. Platform hardening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The dependency saga (kuantorflow #28; ai_agent #21, #22): </w:t>
      </w:r>
      <w:r>
        <w:rPr>
          <w:b w:val="0"/>
          <w:i w:val="0"/>
          <w:color w:val="22303C"/>
        </w:rPr>
        <w:t>an lxml build failure on Python 3.14 (no cp314 wheel for the pinned version) was diagnosed and fixed; all dependencies pinned, a fully-resolved requirements.lock introduced, both repos aligned to production versions, and production migrated to Python 3.13 on PythonAnywhere.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Request-size caps (kuantorflow #29; ai_agent #22): </w:t>
      </w:r>
      <w:r>
        <w:rPr>
          <w:b w:val="0"/>
          <w:i w:val="0"/>
          <w:color w:val="22303C"/>
        </w:rPr>
        <w:t>1 MB guards on chat endpoints against memory abuse and runaway API costs — scoped per-endpoint so legitimate large .mht uploads still work.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Log privacy (kuantorflow #57; ai_agent #42): </w:t>
      </w:r>
      <w:r>
        <w:rPr>
          <w:b w:val="0"/>
          <w:i w:val="0"/>
          <w:color w:val="22303C"/>
        </w:rPr>
        <w:t>gitignore hardening so per-user chat logs can never be accidentally committed.</w:t>
      </w:r>
    </w:p>
    <w:p>
      <w:pPr>
        <w:pStyle w:val="Heading2"/>
      </w:pPr>
      <w:r>
        <w:t>5. Identity &amp; personalization (kuantorflow #41, #43; ai_agent #29)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Optional “Sign in with Google” </w:t>
      </w:r>
      <w:r>
        <w:rPr>
          <w:b w:val="0"/>
          <w:i w:val="0"/>
          <w:color w:val="22303C"/>
        </w:rPr>
        <w:t>(OAuth 2.0 / OpenID Connect via Authlib) with an accept-or-decline consent popup — anonymous use remains fully supported, and the identity lives only in the session cookie, never in the database.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Persistent, personal sessions: </w:t>
      </w:r>
      <w:r>
        <w:rPr>
          <w:b w:val="0"/>
          <w:i w:val="0"/>
          <w:color w:val="22303C"/>
        </w:rPr>
        <w:t>sign-in persists 30 days across browser restarts; Mykola greets by full name and addresses the user by first name in conversation (with prompt-injection hardening on the name).</w:t>
      </w:r>
    </w:p>
    <w:p>
      <w:pPr>
        <w:pStyle w:val="Heading2"/>
      </w:pPr>
      <w:r>
        <w:t>6. The Mykola transformation (ai_agent #27, #32, #34, #36, #41; kuantorflow #47)</w:t>
      </w:r>
    </w:p>
    <w:p>
      <w:pPr>
        <w:spacing w:after="120"/>
      </w:pPr>
      <w:r>
        <w:rPr>
          <w:b w:val="0"/>
          <w:i w:val="0"/>
          <w:color w:val="22303C"/>
        </w:rPr>
        <w:t xml:space="preserve">The agent's persona evolved from Tynna to </w:t>
      </w:r>
      <w:r>
        <w:rPr>
          <w:b/>
          <w:i w:val="0"/>
          <w:color w:val="22303C"/>
        </w:rPr>
        <w:t>Mykola</w:t>
      </w:r>
      <w:r>
        <w:rPr>
          <w:b w:val="0"/>
          <w:i w:val="0"/>
          <w:color w:val="22303C"/>
        </w:rPr>
        <w:t xml:space="preserve"> — a distinguished gentleman named in honour of composer Mykola Leontovych (“Shchedryk” / “Carol of the Bells”):</w:t>
      </w:r>
    </w:p>
    <w:p>
      <w:pPr>
        <w:pStyle w:val="ListBullet"/>
        <w:spacing w:after="80"/>
      </w:pPr>
      <w:r>
        <w:rPr>
          <w:b w:val="0"/>
          <w:i w:val="0"/>
          <w:color w:val="22303C"/>
        </w:rPr>
        <w:t>Full cross-repo rename: code, routes, templates, CSS, assets, log directories.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A voice guide, not just a bio (#36): </w:t>
      </w:r>
      <w:r>
        <w:rPr>
          <w:b w:val="0"/>
          <w:i w:val="0"/>
          <w:color w:val="22303C"/>
        </w:rPr>
        <w:t>British lexicon and courtesy patterns, few-shot example exchanges, moderation rules (one flourish per reply, clarity first), plus three new knowledge-base documents (French–English connections, British English, music-based learning) so the persona's signature moves are retrieved and cited, not improvised.</w:t>
      </w:r>
    </w:p>
    <w:p>
      <w:pPr>
        <w:pStyle w:val="ListBullet"/>
        <w:spacing w:after="80"/>
      </w:pPr>
      <w:r>
        <w:rPr>
          <w:b w:val="0"/>
          <w:i w:val="0"/>
          <w:color w:val="22303C"/>
        </w:rPr>
        <w:t>Symbolic birthday with dynamic age (#41); copyright-aware musical style (titles, themes, short fragments — never full lyrics).</w:t>
      </w:r>
    </w:p>
    <w:p>
      <w:pPr>
        <w:pStyle w:val="Heading2"/>
      </w:pPr>
      <w:r>
        <w:t>7. Agent capabilities: acting, remembering, staying current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Tool use (ai_agent #37; kuantorflow #48): </w:t>
      </w:r>
      <w:r>
        <w:rPr>
          <w:b w:val="0"/>
          <w:i w:val="0"/>
          <w:color w:val="22303C"/>
        </w:rPr>
        <w:t>a real add_flashcard tool — when asked, Mykola fills all nine card fields himself (POS, definition, UA + RU translations and examples, topic) and saves through the same save_flashcard mechanism as the site's own flows, injected by kuantorflow.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Per-user memory (kuantorflow #52; ai_agent #38): </w:t>
      </w:r>
      <w:r>
        <w:rPr>
          <w:b w:val="0"/>
          <w:i w:val="0"/>
          <w:color w:val="22303C"/>
        </w:rPr>
        <w:t>signed-in users' chats are logged per account; on return, Mykola opens with a recap of previous conversations plus suggested follow-ups.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Focused context (kuantorflow #59; ai_agent #44): </w:t>
      </w:r>
      <w:r>
        <w:rPr>
          <w:b w:val="0"/>
          <w:i w:val="0"/>
          <w:color w:val="22303C"/>
        </w:rPr>
        <w:t>recaps read only the 3 newest logs (12k-char secondary budget) and lead with the most recent topic — and if the learner already said goodbye today, Mykola deterministically wishes them a good rest instead of restarting the dialogue.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Readable logs (kuantorflow #58; ai_agent #43): </w:t>
      </w:r>
      <w:r>
        <w:rPr>
          <w:b w:val="0"/>
          <w:i w:val="0"/>
          <w:color w:val="22303C"/>
        </w:rPr>
        <w:t>log files named by chat start time (chat_2026-07-13_11-43-03_e6f3.txt).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Live UI updates (kuantorflow #60): </w:t>
      </w:r>
      <w:r>
        <w:rPr>
          <w:b w:val="0"/>
          <w:i w:val="0"/>
          <w:color w:val="22303C"/>
        </w:rPr>
        <w:t>when Mykola saves a card mid-chat, the “Browse flashcards” topic chips refresh in place — no reload.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Widget-state persistence (kuantorflow #64; ai_agent #45, #46): </w:t>
      </w:r>
      <w:r>
        <w:rPr>
          <w:b w:val="0"/>
          <w:i w:val="0"/>
          <w:color w:val="22303C"/>
        </w:rPr>
        <w:t>the chat survives internal page navigation, keeping its history and open/maximized state.</w:t>
      </w:r>
    </w:p>
    <w:p>
      <w:pPr>
        <w:pStyle w:val="Heading2"/>
      </w:pPr>
      <w:r>
        <w:t>8. Content workflow &amp; visual identity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MHT two-column review (kuantorflow #44): </w:t>
      </w:r>
      <w:r>
        <w:rPr>
          <w:b w:val="0"/>
          <w:i w:val="0"/>
          <w:color w:val="22303C"/>
        </w:rPr>
        <w:t>file uploads no longer auto-save — a popup shows the source text beside editable parsed cards with per-card delete and an “Add All” button.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Imagery refresh (kuantorflow #50, #51): </w:t>
      </w:r>
      <w:r>
        <w:rPr>
          <w:b w:val="0"/>
          <w:i w:val="0"/>
          <w:color w:val="22303C"/>
        </w:rPr>
        <w:t>new icon, main artwork, and backgrounds for the Mykola era.</w:t>
      </w:r>
    </w:p>
    <w:p>
      <w:pPr>
        <w:pStyle w:val="Heading2"/>
      </w:pPr>
      <w:r>
        <w:t>9. Quality &amp; operations (kuantorflow_automation #1, #3)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pytest suite (#1): </w:t>
      </w:r>
      <w:r>
        <w:rPr>
          <w:b w:val="0"/>
          <w:i w:val="0"/>
          <w:color w:val="22303C"/>
        </w:rPr>
        <w:t>app regression tests plus live-site smoke tests.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Daily database backups (#3): </w:t>
      </w:r>
      <w:r>
        <w:rPr>
          <w:b w:val="0"/>
          <w:i w:val="0"/>
          <w:color w:val="22303C"/>
        </w:rPr>
        <w:t>scheduled dump script for the production MySQL.</w:t>
      </w:r>
    </w:p>
    <w:p>
      <w:pPr>
        <w:pStyle w:val="Heading1"/>
      </w:pPr>
      <w:r>
        <w:t>Technical Highlights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Two-repo composition without duplication. </w:t>
      </w:r>
      <w:r>
        <w:rPr>
          <w:b w:val="0"/>
          <w:i w:val="0"/>
          <w:color w:val="22303C"/>
        </w:rPr>
        <w:t>The site imports the agent class, renders the agent repo's templates through a ChoiceLoader, and serves its media through dedicated routes — one source of truth for code, prose, and assets.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Feature-detected rollouts. </w:t>
      </w:r>
      <w:r>
        <w:rPr>
          <w:b w:val="0"/>
          <w:i w:val="0"/>
          <w:color w:val="22303C"/>
        </w:rPr>
        <w:t>Cross-repo integrations probe capabilities at runtime (inspect.signature, hasattr) so the two repositories can merge and deploy in any order without breaking each other.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Dependency injection at the seam. </w:t>
      </w:r>
      <w:r>
        <w:rPr>
          <w:b w:val="0"/>
          <w:i w:val="0"/>
          <w:color w:val="22303C"/>
        </w:rPr>
        <w:t>kuantorflow injects its own save_flashcard into the agent's tool executor — the agent stays storage-agnostic; the site keeps one write path for all card sources.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LLM engineering in production: </w:t>
      </w:r>
      <w:r>
        <w:rPr>
          <w:b w:val="0"/>
          <w:i w:val="0"/>
          <w:color w:val="22303C"/>
        </w:rPr>
        <w:t>TF-IDF RAG with citations, a streaming tool-use loop, persona/voice prompt engineering with few-shot examples, and defense-in-depth against prompt injection (names reduced to a single token, tool inputs sanitized to a whitelist).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Deterministic where determinism wins. </w:t>
      </w:r>
      <w:r>
        <w:rPr>
          <w:b w:val="0"/>
          <w:i w:val="0"/>
          <w:color w:val="22303C"/>
        </w:rPr>
        <w:t>Farewell detection, date checks, and the goodnight reply are plain string/date logic — no model call, fully testable.</w:t>
      </w:r>
    </w:p>
    <w:p>
      <w:pPr>
        <w:pStyle w:val="ListBullet"/>
        <w:spacing w:after="80"/>
      </w:pPr>
      <w:r>
        <w:rPr>
          <w:b/>
          <w:i w:val="0"/>
          <w:color w:val="22303C"/>
        </w:rPr>
        <w:t xml:space="preserve">Security throughout: </w:t>
      </w:r>
      <w:r>
        <w:rPr>
          <w:b w:val="0"/>
          <w:i w:val="0"/>
          <w:color w:val="22303C"/>
        </w:rPr>
        <w:t>parameterized SQL everywhere, XSS-safe DOM building for user-controlled strings, OAuth CSRF handled by Authlib, per-endpoint request caps, secrets in .env only, and consent copy kept honest as storage semantics changed.</w:t>
      </w:r>
    </w:p>
    <w:p>
      <w:pPr>
        <w:pStyle w:val="Heading1"/>
      </w:pPr>
      <w:r>
        <w:t>Lessons Learned</w:t>
      </w:r>
    </w:p>
    <w:p>
      <w:pPr>
        <w:pStyle w:val="ListNumber"/>
        <w:spacing w:after="100"/>
      </w:pPr>
      <w:r>
        <w:rPr>
          <w:b/>
          <w:i w:val="0"/>
          <w:color w:val="22303C"/>
        </w:rPr>
        <w:t xml:space="preserve">Wheel availability is the real Python-version constraint. </w:t>
      </w:r>
      <w:r>
        <w:rPr>
          <w:b w:val="0"/>
          <w:i w:val="0"/>
          <w:color w:val="22303C"/>
        </w:rPr>
        <w:t>A “Visual C++ required” error almost always means a pinned package predates your interpreter (cpXYZ in the wheel name tells the story) — bump the pin, don't install a compiler. The same lesson set production's Python 3.13 floor via numpy/scipy.</w:t>
      </w:r>
    </w:p>
    <w:p>
      <w:pPr>
        <w:pStyle w:val="ListNumber"/>
        <w:spacing w:after="100"/>
      </w:pPr>
      <w:r>
        <w:rPr>
          <w:b/>
          <w:i w:val="0"/>
          <w:color w:val="22303C"/>
        </w:rPr>
        <w:t xml:space="preserve">Same-name asset swaps fight browser caches. </w:t>
      </w:r>
      <w:r>
        <w:rPr>
          <w:b w:val="0"/>
          <w:i w:val="0"/>
          <w:color w:val="22303C"/>
        </w:rPr>
        <w:t>Refreshing background.jpg and the favicon in place required hard refreshes; version query-strings are the durable fix.</w:t>
      </w:r>
    </w:p>
    <w:p>
      <w:pPr>
        <w:pStyle w:val="ListNumber"/>
        <w:spacing w:after="100"/>
      </w:pPr>
      <w:r>
        <w:rPr>
          <w:b/>
          <w:i w:val="0"/>
          <w:color w:val="22303C"/>
        </w:rPr>
        <w:t xml:space="preserve">Keep disclosure in sync with behavior. </w:t>
      </w:r>
      <w:r>
        <w:rPr>
          <w:b w:val="0"/>
          <w:i w:val="0"/>
          <w:color w:val="22303C"/>
        </w:rPr>
        <w:t>When per-user chat storage arrived, the consent popup's “nothing is stored on our server” had to change the same day — honesty is a feature requirement, not an afterthought.</w:t>
      </w:r>
    </w:p>
    <w:p>
      <w:pPr>
        <w:pStyle w:val="ListNumber"/>
        <w:spacing w:after="100"/>
      </w:pPr>
      <w:r>
        <w:rPr>
          <w:b/>
          <w:i w:val="0"/>
          <w:color w:val="22303C"/>
        </w:rPr>
        <w:t xml:space="preserve">Verify with stubs, prove with one live call. </w:t>
      </w:r>
      <w:r>
        <w:rPr>
          <w:b w:val="0"/>
          <w:i w:val="0"/>
          <w:color w:val="22303C"/>
        </w:rPr>
        <w:t>Exhaustive deterministic matrices with stubbed agents (free, fast), then a single real end-to-end call as the final proof — including cleanup of any real rows it created.</w:t>
      </w:r>
    </w:p>
    <w:p>
      <w:pPr>
        <w:pStyle w:val="ListNumber"/>
        <w:spacing w:after="100"/>
      </w:pPr>
      <w:r>
        <w:rPr>
          <w:b/>
          <w:i w:val="0"/>
          <w:color w:val="22303C"/>
        </w:rPr>
        <w:t xml:space="preserve">Squash merges hide branch ancestry. </w:t>
      </w:r>
      <w:r>
        <w:rPr>
          <w:b w:val="0"/>
          <w:i w:val="0"/>
          <w:color w:val="22303C"/>
        </w:rPr>
        <w:t>Post-merge cleanup needs git branch -D plus PR-state verification rather than trusting -d's merged check.</w:t>
      </w:r>
    </w:p>
    <w:p>
      <w:pPr>
        <w:pStyle w:val="ListNumber"/>
        <w:spacing w:after="100"/>
      </w:pPr>
      <w:r>
        <w:rPr>
          <w:b/>
          <w:i w:val="0"/>
          <w:color w:val="22303C"/>
        </w:rPr>
        <w:t xml:space="preserve">gitignore patterns don't recurse the way you hope. </w:t>
      </w:r>
      <w:r>
        <w:rPr>
          <w:b w:val="0"/>
          <w:i w:val="0"/>
          <w:color w:val="22303C"/>
        </w:rPr>
        <w:t>dir/chat_*.txt does not cover dir/sub/chat_*.txt — user-identified logs nearly became committable the day subdirectories appeared.</w:t>
      </w:r>
    </w:p>
    <w:p>
      <w:pPr>
        <w:pStyle w:val="Heading1"/>
      </w:pPr>
      <w:r>
        <w:t>Plans for Next Week</w:t>
      </w:r>
    </w:p>
    <w:p>
      <w:pPr>
        <w:spacing w:after="120"/>
      </w:pPr>
      <w:r>
        <w:rPr>
          <w:b w:val="0"/>
          <w:i/>
          <w:color w:val="5B6B7A"/>
          <w:sz w:val="20"/>
        </w:rPr>
        <w:t>Statuses taken directly from the “KuantorFlow Improvements” GitHub Projects board (excluding this report's own ticket, kuantorflow#63, which the board lists as In Progress). The board also tracks 31 items as Done, matching the completed work summarized above.</w:t>
      </w:r>
    </w:p>
    <w:p>
      <w:pPr>
        <w:pStyle w:val="Heading2"/>
      </w:pPr>
      <w:r>
        <w:t>In Progress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2160"/>
            <w:shd w:val="clear" w:fill="2E6BA0"/>
          </w:tcPr>
          <w:p>
            <w:r>
              <w:rPr>
                <w:b/>
                <w:color w:val="FFFFFF"/>
                <w:sz w:val="20"/>
              </w:rPr>
              <w:t>Repo</w:t>
            </w:r>
          </w:p>
        </w:tc>
        <w:tc>
          <w:tcPr>
            <w:tcW w:type="dxa" w:w="1296"/>
            <w:shd w:val="clear" w:fill="2E6BA0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6624"/>
            <w:shd w:val="clear" w:fill="2E6BA0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#62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Create DOCX tutorial documenting KuantorFlow development from scratch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#54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Investigation: Android app clone of the KuantorFlow website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#55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Make config.json unique for each Gmail user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#46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Settings: add language visibility switches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#45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UI: enhance behaviour of MHT-processing results window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#30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Create logs for various actions in the app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#21 / #20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Dictionary selection feature in Settings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#13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Settings menu with auto-add cards option</w:t>
            </w:r>
          </w:p>
        </w:tc>
      </w:tr>
    </w:tbl>
    <w:p>
      <w:pPr>
        <w:spacing w:after="40"/>
      </w:pPr>
    </w:p>
    <w:p>
      <w:pPr>
        <w:pStyle w:val="Heading2"/>
      </w:pPr>
      <w:r>
        <w:t>Todo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2160"/>
            <w:shd w:val="clear" w:fill="2E6BA0"/>
          </w:tcPr>
          <w:p>
            <w:r>
              <w:rPr>
                <w:b/>
                <w:color w:val="FFFFFF"/>
                <w:sz w:val="20"/>
              </w:rPr>
              <w:t>Repo</w:t>
            </w:r>
          </w:p>
        </w:tc>
        <w:tc>
          <w:tcPr>
            <w:tcW w:type="dxa" w:w="1296"/>
            <w:shd w:val="clear" w:fill="2E6BA0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6624"/>
            <w:shd w:val="clear" w:fill="2E6BA0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#22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Redesign website for a modern look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#56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Discussion: privacy disclosure &amp; history bootstrap for per-user chat memory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#25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Export/import cards (local ↔ remote database)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#19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Tutorial tip above “Look Up &amp; Save” button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#15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Parallel PRs for features and tests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#66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Create a separate board for done items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ai_agent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#19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Teach Mykola to complement and extend the meanings of cards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ai_agent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#47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Audit issue-61 changes: remove/refactor code not needed by the embedded widget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ai_agent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#28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UI: sync Mykola's description on both screens</w:t>
            </w:r>
          </w:p>
        </w:tc>
      </w:tr>
      <w:tr>
        <w:tc>
          <w:tcPr>
            <w:tcW w:type="dxa" w:w="2160"/>
          </w:tcPr>
          <w:p>
            <w:r>
              <w:rPr>
                <w:color w:val="22303C"/>
                <w:sz w:val="20"/>
              </w:rPr>
              <w:t>kuantorflow_automation</w:t>
            </w:r>
          </w:p>
        </w:tc>
        <w:tc>
          <w:tcPr>
            <w:tcW w:type="dxa" w:w="1296"/>
          </w:tcPr>
          <w:p>
            <w:r>
              <w:rPr>
                <w:color w:val="22303C"/>
                <w:sz w:val="20"/>
              </w:rPr>
              <w:t>#4</w:t>
            </w:r>
          </w:p>
        </w:tc>
        <w:tc>
          <w:tcPr>
            <w:tcW w:type="dxa" w:w="6624"/>
          </w:tcPr>
          <w:p>
            <w:r>
              <w:rPr>
                <w:color w:val="22303C"/>
                <w:sz w:val="20"/>
              </w:rPr>
              <w:t>Basic automated tests for the AI agent</w:t>
            </w:r>
          </w:p>
        </w:tc>
      </w:tr>
    </w:tbl>
    <w:p>
      <w:pPr>
        <w:spacing w:after="40"/>
      </w:pPr>
    </w:p>
    <w:p>
      <w:pPr>
        <w:pBdr>
          <w:bottom w:val="single" w:sz="8" w:color="D9B13C"/>
        </w:pBdr>
      </w:pPr>
    </w:p>
    <w:p>
      <w:pPr>
        <w:spacing w:after="120"/>
      </w:pPr>
      <w:r>
        <w:rPr>
          <w:b w:val="0"/>
          <w:i/>
          <w:color w:val="5B6B7A"/>
          <w:sz w:val="18"/>
        </w:rPr>
        <w:t>Report generated 13 July 2026 from GitHub PR and issue data across the three repositories, covering every merged PR from the first (kuantorflow#1, 9 July 2026) to the most recent (kuantorflow#64, 13 July 2026).</w:t>
      </w:r>
    </w:p>
    <w:sectPr w:rsidR="00FC693F" w:rsidRPr="0006063C" w:rsidSect="00034616">
      <w:pgSz w:w="12240" w:h="15840"/>
      <w:pgMar w:top="1080" w:right="1195" w:bottom="1080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0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6B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30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