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E6BA0"/>
          <w:sz w:val="48"/>
        </w:rPr>
        <w:t>KuantorFlow — Weekly Development Report</w:t>
      </w:r>
    </w:p>
    <w:p>
      <w:pPr>
        <w:spacing w:after="120"/>
      </w:pPr>
      <w:r>
        <w:rPr>
          <w:b/>
          <w:i w:val="0"/>
          <w:color w:val="22303C"/>
          <w:sz w:val="22"/>
        </w:rPr>
        <w:t>Period:</w:t>
      </w:r>
      <w:r>
        <w:rPr>
          <w:b w:val="0"/>
          <w:i w:val="0"/>
          <w:color w:val="22303C"/>
          <w:sz w:val="22"/>
        </w:rPr>
        <w:t xml:space="preserve"> 14–17 July 2026 · </w:t>
      </w:r>
      <w:r>
        <w:rPr>
          <w:b/>
          <w:i w:val="0"/>
          <w:color w:val="22303C"/>
          <w:sz w:val="22"/>
        </w:rPr>
        <w:t>Repositories:</w:t>
      </w:r>
      <w:r>
        <w:rPr>
          <w:b w:val="0"/>
          <w:i w:val="0"/>
          <w:color w:val="22303C"/>
          <w:sz w:val="22"/>
        </w:rPr>
        <w:t xml:space="preserve"> </w:t>
      </w:r>
      <w:r>
        <w:rPr>
          <w:b w:val="0"/>
          <w:i w:val="0"/>
          <w:color w:val="2E6BA0"/>
          <w:sz w:val="22"/>
        </w:rPr>
        <w:t>kuantorflow</w:t>
      </w:r>
      <w:r>
        <w:rPr>
          <w:b w:val="0"/>
          <w:i w:val="0"/>
          <w:color w:val="22303C"/>
          <w:sz w:val="22"/>
        </w:rPr>
        <w:t xml:space="preserve">, </w:t>
      </w:r>
      <w:r>
        <w:rPr>
          <w:b w:val="0"/>
          <w:i w:val="0"/>
          <w:color w:val="2E6BA0"/>
          <w:sz w:val="22"/>
        </w:rPr>
        <w:t>ai_agent</w:t>
      </w:r>
      <w:r>
        <w:rPr>
          <w:b w:val="0"/>
          <w:i w:val="0"/>
          <w:color w:val="22303C"/>
          <w:sz w:val="22"/>
        </w:rPr>
        <w:t xml:space="preserve">, </w:t>
      </w:r>
      <w:r>
        <w:rPr>
          <w:b w:val="0"/>
          <w:i w:val="0"/>
          <w:color w:val="2E6BA0"/>
          <w:sz w:val="22"/>
        </w:rPr>
        <w:t>kuantorflow_automation</w:t>
      </w:r>
    </w:p>
    <w:p>
      <w:pPr>
        <w:pBdr>
          <w:bottom w:val="single" w:sz="8" w:color="D9B13C"/>
        </w:pBdr>
      </w:pPr>
    </w:p>
    <w:p>
      <w:pPr>
        <w:pStyle w:val="Heading1"/>
      </w:pPr>
      <w:r>
        <w:rPr>
          <w:b w:val="0"/>
          <w:i w:val="0"/>
          <w:color w:val="2E6BA0"/>
          <w:sz w:val="30"/>
        </w:rPr>
        <w:t>Executive Summary</w:t>
      </w:r>
    </w:p>
    <w:p>
      <w:pPr>
        <w:spacing w:after="120"/>
      </w:pPr>
      <w:r>
        <w:rPr>
          <w:b w:val="0"/>
          <w:i w:val="0"/>
          <w:color w:val="22303C"/>
          <w:sz w:val="22"/>
        </w:rPr>
        <w:t xml:space="preserve">This week was the </w:t>
      </w:r>
      <w:r>
        <w:rPr>
          <w:b/>
          <w:i w:val="0"/>
          <w:color w:val="22303C"/>
          <w:sz w:val="22"/>
        </w:rPr>
        <w:t>Settings week</w:t>
      </w:r>
      <w:r>
        <w:rPr>
          <w:b w:val="0"/>
          <w:i w:val="0"/>
          <w:color w:val="22303C"/>
          <w:sz w:val="22"/>
        </w:rPr>
        <w:t xml:space="preserve">: the long-planned per-user settings platform went from an open ticket to a fully shipped feature chain — storage layer, Settings popup, applied behaviour, and real alternative providers — plus a long-standing duplicate-cards bug fixed at the root. </w:t>
      </w:r>
      <w:r>
        <w:rPr>
          <w:b/>
          <w:i w:val="0"/>
          <w:color w:val="22303C"/>
          <w:sz w:val="22"/>
        </w:rPr>
        <w:t>10 pull requests merged</w:t>
      </w:r>
      <w:r>
        <w:rPr>
          <w:b w:val="0"/>
          <w:i w:val="0"/>
          <w:color w:val="22303C"/>
          <w:sz w:val="22"/>
        </w:rPr>
        <w:t xml:space="preserve"> across two repositories, and the regression suite grew from 42 to </w:t>
      </w:r>
      <w:r>
        <w:rPr>
          <w:b/>
          <w:i w:val="0"/>
          <w:color w:val="22303C"/>
          <w:sz w:val="22"/>
        </w:rPr>
        <w:t>72 passing tests</w:t>
      </w:r>
      <w:r>
        <w:rPr>
          <w:b w:val="0"/>
          <w:i w:val="0"/>
          <w:color w:val="22303C"/>
          <w:sz w:val="22"/>
        </w:rPr>
        <w:t xml:space="preserve"> (after first being repaired from a broken state).</w:t>
      </w:r>
    </w:p>
    <w:p>
      <w:pPr>
        <w:spacing w:after="120"/>
      </w:pPr>
      <w:r>
        <w:rPr>
          <w:b w:val="0"/>
          <w:i w:val="0"/>
          <w:color w:val="22303C"/>
          <w:sz w:val="22"/>
        </w:rPr>
        <w:t xml:space="preserve">What a user sees today that they didn't on Monday: a </w:t>
      </w:r>
      <w:r>
        <w:rPr>
          <w:b/>
          <w:i w:val="0"/>
          <w:color w:val="22303C"/>
          <w:sz w:val="22"/>
        </w:rPr>
        <w:t>Settings</w:t>
      </w:r>
      <w:r>
        <w:rPr>
          <w:b w:val="0"/>
          <w:i w:val="0"/>
          <w:color w:val="22303C"/>
          <w:sz w:val="22"/>
        </w:rPr>
        <w:t xml:space="preserve"> item in the header opens a popup where they can turn on </w:t>
      </w:r>
      <w:r>
        <w:rPr>
          <w:b w:val="0"/>
          <w:i/>
          <w:color w:val="22303C"/>
          <w:sz w:val="22"/>
        </w:rPr>
        <w:t>Add cards automatically</w:t>
      </w:r>
      <w:r>
        <w:rPr>
          <w:b w:val="0"/>
          <w:i w:val="0"/>
          <w:color w:val="22303C"/>
          <w:sz w:val="22"/>
        </w:rPr>
        <w:t xml:space="preserve">, choose </w:t>
      </w:r>
      <w:r>
        <w:rPr>
          <w:b/>
          <w:i w:val="0"/>
          <w:color w:val="22303C"/>
          <w:sz w:val="22"/>
        </w:rPr>
        <w:t>Google or Bing</w:t>
      </w:r>
      <w:r>
        <w:rPr>
          <w:b w:val="0"/>
          <w:i w:val="0"/>
          <w:color w:val="22303C"/>
          <w:sz w:val="22"/>
        </w:rPr>
        <w:t xml:space="preserve"> as the translator, and </w:t>
      </w:r>
      <w:r>
        <w:rPr>
          <w:b/>
          <w:i w:val="0"/>
          <w:color w:val="22303C"/>
          <w:sz w:val="22"/>
        </w:rPr>
        <w:t>Oxford Learner's or Merriam-Webster</w:t>
      </w:r>
      <w:r>
        <w:rPr>
          <w:b w:val="0"/>
          <w:i w:val="0"/>
          <w:color w:val="22303C"/>
          <w:sz w:val="22"/>
        </w:rPr>
        <w:t xml:space="preserve"> as the explanatory dictionary — each signed-in Google user with their own persistent config file, anonymous visitors sharing a default one. And looking up the same word twice no longer piles up duplicate cards: the app says "Already in DB" instead.</w:t>
      </w:r>
    </w:p>
    <w:tbl>
      <w:tblPr>
        <w:tblStyle w:val="TableGrid"/>
        <w:tblW w:type="auto" w:w="0"/>
        <w:jc w:val="left"/>
        <w:tblLayout w:type="fixed"/>
        <w:tblLook w:firstColumn="1" w:firstRow="1" w:lastColumn="0" w:lastRow="0" w:noHBand="0" w:noVBand="1" w:val="04A0"/>
      </w:tblPr>
      <w:tblGrid>
        <w:gridCol w:w="3283"/>
        <w:gridCol w:w="3283"/>
        <w:gridCol w:w="3283"/>
      </w:tblGrid>
      <w:tr>
        <w:tc>
          <w:tcPr>
            <w:tcW w:type="dxa" w:w="2176"/>
            <w:shd w:val="clear" w:fill="2E6BA0"/>
          </w:tcPr>
          <w:p>
            <w:r>
              <w:rPr>
                <w:b/>
                <w:i w:val="0"/>
                <w:color w:val="FFFFFF"/>
                <w:sz w:val="20"/>
              </w:rPr>
              <w:t>Repository</w:t>
            </w:r>
          </w:p>
        </w:tc>
        <w:tc>
          <w:tcPr>
            <w:tcW w:type="dxa" w:w="6627"/>
            <w:shd w:val="clear" w:fill="2E6BA0"/>
          </w:tcPr>
          <w:p>
            <w:r>
              <w:rPr>
                <w:b/>
                <w:i w:val="0"/>
                <w:color w:val="FFFFFF"/>
                <w:sz w:val="20"/>
              </w:rPr>
              <w:t>Role this week</w:t>
            </w:r>
          </w:p>
        </w:tc>
        <w:tc>
          <w:tcPr>
            <w:tcW w:type="dxa" w:w="989"/>
            <w:shd w:val="clear" w:fill="2E6BA0"/>
          </w:tcPr>
          <w:p>
            <w:r>
              <w:rPr>
                <w:b/>
                <w:i w:val="0"/>
                <w:color w:val="FFFFFF"/>
                <w:sz w:val="20"/>
              </w:rPr>
              <w:t>Merged PRs</w:t>
            </w:r>
          </w:p>
        </w:tc>
      </w:tr>
      <w:tr>
        <w:tc>
          <w:tcPr>
            <w:tcW w:type="dxa" w:w="2176"/>
          </w:tcPr>
          <w:p>
            <w:r>
              <w:rPr>
                <w:b/>
                <w:i w:val="0"/>
                <w:color w:val="22303C"/>
                <w:sz w:val="20"/>
              </w:rPr>
              <w:t>kuantorflow</w:t>
            </w:r>
          </w:p>
        </w:tc>
        <w:tc>
          <w:tcPr>
            <w:tcW w:type="dxa" w:w="6627"/>
          </w:tcPr>
          <w:p>
            <w:r>
              <w:rPr>
                <w:b w:val="0"/>
                <w:i w:val="0"/>
                <w:color w:val="22303C"/>
                <w:sz w:val="20"/>
              </w:rPr>
              <w:t>Settings platform, providers, duplicate fix, SM-2 write-up</w:t>
            </w:r>
          </w:p>
        </w:tc>
        <w:tc>
          <w:tcPr>
            <w:tcW w:type="dxa" w:w="989"/>
          </w:tcPr>
          <w:p>
            <w:r>
              <w:rPr>
                <w:b w:val="0"/>
                <w:i w:val="0"/>
                <w:color w:val="22303C"/>
                <w:sz w:val="20"/>
              </w:rPr>
              <w:t>5</w:t>
            </w:r>
          </w:p>
        </w:tc>
      </w:tr>
      <w:tr>
        <w:tc>
          <w:tcPr>
            <w:tcW w:type="dxa" w:w="2176"/>
          </w:tcPr>
          <w:p>
            <w:r>
              <w:rPr>
                <w:b/>
                <w:i w:val="0"/>
                <w:color w:val="22303C"/>
                <w:sz w:val="20"/>
              </w:rPr>
              <w:t>kuantorflow_automation</w:t>
            </w:r>
          </w:p>
        </w:tc>
        <w:tc>
          <w:tcPr>
            <w:tcW w:type="dxa" w:w="6627"/>
          </w:tcPr>
          <w:p>
            <w:r>
              <w:rPr>
                <w:b w:val="0"/>
                <w:i w:val="0"/>
                <w:color w:val="22303C"/>
                <w:sz w:val="20"/>
              </w:rPr>
              <w:t>Suite repair, 30 new tests, gate helper, dedup script, deck tooling</w:t>
            </w:r>
          </w:p>
        </w:tc>
        <w:tc>
          <w:tcPr>
            <w:tcW w:type="dxa" w:w="989"/>
          </w:tcPr>
          <w:p>
            <w:r>
              <w:rPr>
                <w:b w:val="0"/>
                <w:i w:val="0"/>
                <w:color w:val="22303C"/>
                <w:sz w:val="20"/>
              </w:rPr>
              <w:t>5</w:t>
            </w:r>
          </w:p>
        </w:tc>
      </w:tr>
      <w:tr>
        <w:tc>
          <w:tcPr>
            <w:tcW w:type="dxa" w:w="2176"/>
          </w:tcPr>
          <w:p>
            <w:r>
              <w:rPr>
                <w:b/>
                <w:i w:val="0"/>
                <w:color w:val="22303C"/>
                <w:sz w:val="20"/>
              </w:rPr>
              <w:t>ai_agent</w:t>
            </w:r>
          </w:p>
        </w:tc>
        <w:tc>
          <w:tcPr>
            <w:tcW w:type="dxa" w:w="6627"/>
          </w:tcPr>
          <w:p>
            <w:r>
              <w:rPr>
                <w:b w:val="0"/>
                <w:i w:val="0"/>
                <w:color w:val="22303C"/>
                <w:sz w:val="20"/>
              </w:rPr>
              <w:t>No changes this week</w:t>
            </w:r>
          </w:p>
        </w:tc>
        <w:tc>
          <w:tcPr>
            <w:tcW w:type="dxa" w:w="989"/>
          </w:tcPr>
          <w:p>
            <w:r>
              <w:rPr>
                <w:b w:val="0"/>
                <w:i w:val="0"/>
                <w:color w:val="22303C"/>
                <w:sz w:val="20"/>
              </w:rPr>
              <w:t>0</w:t>
            </w:r>
          </w:p>
        </w:tc>
      </w:tr>
      <w:tr>
        <w:tc>
          <w:tcPr>
            <w:tcW w:type="dxa" w:w="2176"/>
          </w:tcPr>
          <w:p>
            <w:r>
              <w:rPr>
                <w:b/>
                <w:i w:val="0"/>
                <w:color w:val="22303C"/>
                <w:sz w:val="20"/>
              </w:rPr>
              <w:t>Total</w:t>
            </w:r>
          </w:p>
        </w:tc>
        <w:tc>
          <w:tcPr>
            <w:tcW w:type="dxa" w:w="6627"/>
          </w:tcPr>
          <w:p/>
        </w:tc>
        <w:tc>
          <w:tcPr>
            <w:tcW w:type="dxa" w:w="989"/>
          </w:tcPr>
          <w:p>
            <w:r>
              <w:rPr>
                <w:b/>
                <w:i w:val="0"/>
                <w:color w:val="22303C"/>
                <w:sz w:val="20"/>
              </w:rPr>
              <w:t>10</w:t>
            </w:r>
          </w:p>
        </w:tc>
      </w:tr>
    </w:tbl>
    <w:p>
      <w:pPr>
        <w:spacing w:after="40"/>
      </w:pPr>
    </w:p>
    <w:p>
      <w:pPr>
        <w:spacing w:after="120"/>
      </w:pPr>
      <w:r>
        <w:rPr>
          <w:b w:val="0"/>
          <w:i/>
          <w:color w:val="22303C"/>
          <w:sz w:val="22"/>
        </w:rPr>
        <w:t xml:space="preserve">Per the report request, commit authorship was checked across all repositories for the period: every commit was authored by Kuantor (with Claude as co-author); </w:t>
      </w:r>
      <w:r>
        <w:rPr>
          <w:b w:val="0"/>
          <w:i/>
          <w:color w:val="22303C"/>
          <w:sz w:val="22"/>
        </w:rPr>
        <w:t>no GitHub Copilot commits</w:t>
      </w:r>
      <w:r>
        <w:rPr>
          <w:b w:val="0"/>
          <w:i/>
          <w:color w:val="22303C"/>
          <w:sz w:val="22"/>
        </w:rPr>
        <w:t xml:space="preserve"> were found in this time range.</w:t>
      </w:r>
    </w:p>
    <w:p>
      <w:pPr>
        <w:pBdr>
          <w:bottom w:val="single" w:sz="8" w:color="D9B13C"/>
        </w:pBdr>
      </w:pPr>
    </w:p>
    <w:p>
      <w:pPr>
        <w:pStyle w:val="Heading1"/>
      </w:pPr>
      <w:r>
        <w:rPr>
          <w:b w:val="0"/>
          <w:i w:val="0"/>
          <w:color w:val="2E6BA0"/>
          <w:sz w:val="30"/>
        </w:rPr>
        <w:t>Completed Work by Theme</w:t>
      </w:r>
    </w:p>
    <w:p>
      <w:pPr>
        <w:pStyle w:val="Heading2"/>
      </w:pPr>
      <w:r>
        <w:rPr>
          <w:b w:val="0"/>
          <w:i w:val="0"/>
          <w:color w:val="22303C"/>
          <w:sz w:val="25"/>
        </w:rPr>
        <w:t>1. The settings storage layer (kuantorflow #97 → issue #86)</w:t>
      </w:r>
    </w:p>
    <w:p>
      <w:pPr>
        <w:spacing w:after="120"/>
      </w:pPr>
      <w:r>
        <w:rPr>
          <w:b w:val="0"/>
          <w:i w:val="0"/>
          <w:color w:val="22303C"/>
          <w:sz w:val="22"/>
        </w:rPr>
        <w:t xml:space="preserve">The foundation everything else stands on: per-identity JSON config files in </w:t>
      </w:r>
      <w:r>
        <w:rPr>
          <w:rFonts w:ascii="Consolas" w:hAnsi="Consolas"/>
          <w:b w:val="0"/>
          <w:i w:val="0"/>
          <w:color w:val="22303C"/>
          <w:sz w:val="22"/>
        </w:rPr>
        <w:t>settings/</w:t>
      </w:r>
      <w:r>
        <w:rPr>
          <w:b w:val="0"/>
          <w:i w:val="0"/>
          <w:color w:val="22303C"/>
          <w:sz w:val="22"/>
        </w:rPr>
        <w:t xml:space="preserve"> — </w:t>
      </w:r>
      <w:r>
        <w:rPr>
          <w:rFonts w:ascii="Consolas" w:hAnsi="Consolas"/>
          <w:b w:val="0"/>
          <w:i w:val="0"/>
          <w:color w:val="22303C"/>
          <w:sz w:val="22"/>
        </w:rPr>
        <w:t>config-default.json</w:t>
      </w:r>
      <w:r>
        <w:rPr>
          <w:b w:val="0"/>
          <w:i w:val="0"/>
          <w:color w:val="22303C"/>
          <w:sz w:val="22"/>
        </w:rPr>
        <w:t xml:space="preserve"> shared by anonymous visitors, </w:t>
      </w:r>
      <w:r>
        <w:rPr>
          <w:rFonts w:ascii="Consolas" w:hAnsi="Consolas"/>
          <w:b w:val="0"/>
          <w:i w:val="0"/>
          <w:color w:val="22303C"/>
          <w:sz w:val="22"/>
        </w:rPr>
        <w:t>config-&lt;username&gt;.json</w:t>
      </w:r>
      <w:r>
        <w:rPr>
          <w:b w:val="0"/>
          <w:i w:val="0"/>
          <w:color w:val="22303C"/>
          <w:sz w:val="22"/>
        </w:rPr>
        <w:t xml:space="preserve"> per Google-authorised user (email prefix, sanitised with the same rule as the per-user log directories).</w:t>
      </w:r>
    </w:p>
    <w:p>
      <w:pPr>
        <w:pStyle w:val="ListBullet"/>
        <w:spacing w:after="80"/>
      </w:pPr>
      <w:r>
        <w:rPr>
          <w:b/>
          <w:i w:val="0"/>
          <w:color w:val="22303C"/>
          <w:sz w:val="22"/>
        </w:rPr>
        <w:t>Robust by design</w:t>
      </w:r>
      <w:r>
        <w:rPr>
          <w:b w:val="0"/>
          <w:i w:val="0"/>
          <w:color w:val="22303C"/>
          <w:sz w:val="22"/>
        </w:rPr>
        <w:t xml:space="preserve">: reads never raise (missing/corrupt files fall back to defaults), values are validated both ways (unknown keys dropped, bad values reset), writes are atomic (temp file + </w:t>
      </w:r>
      <w:r>
        <w:rPr>
          <w:rFonts w:ascii="Consolas" w:hAnsi="Consolas"/>
          <w:b w:val="0"/>
          <w:i w:val="0"/>
          <w:color w:val="22303C"/>
          <w:sz w:val="22"/>
        </w:rPr>
        <w:t>os.replace</w:t>
      </w:r>
      <w:r>
        <w:rPr>
          <w:b w:val="0"/>
          <w:i w:val="0"/>
          <w:color w:val="22303C"/>
          <w:sz w:val="22"/>
        </w:rPr>
        <w:t>), and crafted emails can't escape the settings directory.</w:t>
      </w:r>
    </w:p>
    <w:p>
      <w:pPr>
        <w:pStyle w:val="ListBullet"/>
        <w:spacing w:after="80"/>
      </w:pPr>
      <w:r>
        <w:rPr>
          <w:b/>
          <w:i w:val="0"/>
          <w:color w:val="22303C"/>
          <w:sz w:val="22"/>
        </w:rPr>
        <w:t>Self-provisioning</w:t>
      </w:r>
      <w:r>
        <w:rPr>
          <w:b w:val="0"/>
          <w:i w:val="0"/>
          <w:color w:val="22303C"/>
          <w:sz w:val="22"/>
        </w:rPr>
        <w:t xml:space="preserve"> (#105): the first read for an identity now writes its config file with the defaults — nothing to provision on deploy. Corrupt files are never overwritten, so a hand-edited file stays inspectable.</w:t>
      </w:r>
    </w:p>
    <w:p>
      <w:pPr>
        <w:pStyle w:val="ListBullet"/>
        <w:spacing w:after="80"/>
      </w:pPr>
      <w:r>
        <w:rPr>
          <w:b w:val="0"/>
          <w:i w:val="0"/>
          <w:color w:val="22303C"/>
          <w:sz w:val="22"/>
        </w:rPr>
        <w:t xml:space="preserve">Adding a future setting = one entry in </w:t>
      </w:r>
      <w:r>
        <w:rPr>
          <w:rFonts w:ascii="Consolas" w:hAnsi="Consolas"/>
          <w:b w:val="0"/>
          <w:i w:val="0"/>
          <w:color w:val="22303C"/>
          <w:sz w:val="22"/>
        </w:rPr>
        <w:t>settings_store.DEFAULTS</w:t>
      </w:r>
      <w:r>
        <w:rPr>
          <w:b w:val="0"/>
          <w:i w:val="0"/>
          <w:color w:val="22303C"/>
          <w:sz w:val="22"/>
        </w:rPr>
        <w:t>; existing files pick up the new default on their next read, no migration.</w:t>
      </w:r>
    </w:p>
    <w:p>
      <w:pPr>
        <w:pStyle w:val="Heading2"/>
      </w:pPr>
      <w:r>
        <w:rPr>
          <w:b w:val="0"/>
          <w:i w:val="0"/>
          <w:color w:val="22303C"/>
          <w:sz w:val="25"/>
        </w:rPr>
        <w:t>2. The Settings popup and applied behaviour (kuantorflow #105 → issues #13, #20)</w:t>
      </w:r>
    </w:p>
    <w:p>
      <w:pPr>
        <w:spacing w:after="120"/>
      </w:pPr>
      <w:r>
        <w:rPr>
          <w:b w:val="0"/>
          <w:i w:val="0"/>
          <w:color w:val="22303C"/>
          <w:sz w:val="22"/>
        </w:rPr>
        <w:t xml:space="preserve">A new </w:t>
      </w:r>
      <w:r>
        <w:rPr>
          <w:b/>
          <w:i w:val="0"/>
          <w:color w:val="22303C"/>
          <w:sz w:val="22"/>
        </w:rPr>
        <w:t>Settings</w:t>
      </w:r>
      <w:r>
        <w:rPr>
          <w:b w:val="0"/>
          <w:i w:val="0"/>
          <w:color w:val="22303C"/>
          <w:sz w:val="22"/>
        </w:rPr>
        <w:t xml:space="preserve"> item in the header (between Home and About) opens a popup dialog, pre-filled server-side from the identity's config and saved through a validating </w:t>
      </w:r>
      <w:r>
        <w:rPr>
          <w:rFonts w:ascii="Consolas" w:hAnsi="Consolas"/>
          <w:b w:val="0"/>
          <w:i w:val="0"/>
          <w:color w:val="22303C"/>
          <w:sz w:val="22"/>
        </w:rPr>
        <w:t>POST /settings</w:t>
      </w:r>
      <w:r>
        <w:rPr>
          <w:b w:val="0"/>
          <w:i w:val="0"/>
          <w:color w:val="22303C"/>
          <w:sz w:val="22"/>
        </w:rPr>
        <w:t xml:space="preserve"> endpoint:</w:t>
      </w:r>
    </w:p>
    <w:p>
      <w:pPr>
        <w:pStyle w:val="ListBullet"/>
        <w:spacing w:after="80"/>
      </w:pPr>
      <w:r>
        <w:rPr>
          <w:b/>
          <w:i w:val="0"/>
          <w:color w:val="22303C"/>
          <w:sz w:val="22"/>
        </w:rPr>
        <w:t>Add cards automatically</w:t>
      </w:r>
      <w:r>
        <w:rPr>
          <w:b w:val="0"/>
          <w:i w:val="0"/>
          <w:color w:val="22303C"/>
          <w:sz w:val="22"/>
        </w:rPr>
        <w:t xml:space="preserve"> (#13, off by default) — when on, </w:t>
      </w:r>
      <w:r>
        <w:rPr>
          <w:b w:val="0"/>
          <w:i/>
          <w:color w:val="22303C"/>
          <w:sz w:val="22"/>
        </w:rPr>
        <w:t>Look up &amp; save</w:t>
      </w:r>
      <w:r>
        <w:rPr>
          <w:b w:val="0"/>
          <w:i w:val="0"/>
          <w:color w:val="22303C"/>
          <w:sz w:val="22"/>
        </w:rPr>
        <w:t xml:space="preserve"> writes parsed cards straight to the database with the green confirmation banner; when off, the review-before-save popup opens as before. (</w:t>
      </w:r>
      <w:r>
        <w:rPr>
          <w:rFonts w:ascii="Consolas" w:hAnsi="Consolas"/>
          <w:b w:val="0"/>
          <w:i w:val="0"/>
          <w:color w:val="22303C"/>
          <w:sz w:val="22"/>
        </w:rPr>
        <w:t>.mht</w:t>
      </w:r>
      <w:r>
        <w:rPr>
          <w:b w:val="0"/>
          <w:i w:val="0"/>
          <w:color w:val="22303C"/>
          <w:sz w:val="22"/>
        </w:rPr>
        <w:t xml:space="preserve"> uploads always go through review — editing the parsed lines is the point of that popup.)</w:t>
      </w:r>
    </w:p>
    <w:p>
      <w:pPr>
        <w:pStyle w:val="ListBullet"/>
        <w:spacing w:after="80"/>
      </w:pPr>
      <w:r>
        <w:rPr>
          <w:b/>
          <w:i w:val="0"/>
          <w:color w:val="22303C"/>
          <w:sz w:val="22"/>
        </w:rPr>
        <w:t>Translation (ENG → UKR/RUS)</w:t>
      </w:r>
      <w:r>
        <w:rPr>
          <w:b w:val="0"/>
          <w:i w:val="0"/>
          <w:color w:val="22303C"/>
          <w:sz w:val="22"/>
        </w:rPr>
        <w:t xml:space="preserve"> (#20) — Google Translate or Bing Translator.</w:t>
      </w:r>
    </w:p>
    <w:p>
      <w:pPr>
        <w:pStyle w:val="ListBullet"/>
        <w:spacing w:after="80"/>
      </w:pPr>
      <w:r>
        <w:rPr>
          <w:b/>
          <w:i w:val="0"/>
          <w:color w:val="22303C"/>
          <w:sz w:val="22"/>
        </w:rPr>
        <w:t>Explanatory dictionary (ENG → ENG)</w:t>
      </w:r>
      <w:r>
        <w:rPr>
          <w:b w:val="0"/>
          <w:i w:val="0"/>
          <w:color w:val="22303C"/>
          <w:sz w:val="22"/>
        </w:rPr>
        <w:t xml:space="preserve"> (#20) — Oxford Learner's Dictionaries (default) or Merriam-Webster.</w:t>
      </w:r>
    </w:p>
    <w:p>
      <w:pPr>
        <w:pStyle w:val="ListBullet"/>
        <w:spacing w:after="80"/>
      </w:pPr>
      <w:r>
        <w:rPr>
          <w:b w:val="0"/>
          <w:i w:val="0"/>
          <w:color w:val="22303C"/>
          <w:sz w:val="22"/>
        </w:rPr>
        <w:t>The lookup panel title follows the chosen translator, and the popup states whose settings are being edited (the signed-in email, or "all anonymous visitors").</w:t>
      </w:r>
    </w:p>
    <w:p>
      <w:pPr>
        <w:pStyle w:val="Heading2"/>
      </w:pPr>
      <w:r>
        <w:rPr>
          <w:b w:val="0"/>
          <w:i w:val="0"/>
          <w:color w:val="22303C"/>
          <w:sz w:val="25"/>
        </w:rPr>
        <w:t>3. Real providers behind the radio buttons (kuantorflow #106 → issue #21)</w:t>
      </w:r>
    </w:p>
    <w:p>
      <w:pPr>
        <w:spacing w:after="120"/>
      </w:pPr>
      <w:r>
        <w:rPr>
          <w:b w:val="0"/>
          <w:i w:val="0"/>
          <w:color w:val="22303C"/>
          <w:sz w:val="22"/>
        </w:rPr>
        <w:t xml:space="preserve">Lookups dispatch through </w:t>
      </w:r>
      <w:r>
        <w:rPr>
          <w:rFonts w:ascii="Consolas" w:hAnsi="Consolas"/>
          <w:b w:val="0"/>
          <w:i w:val="0"/>
          <w:color w:val="22303C"/>
          <w:sz w:val="22"/>
        </w:rPr>
        <w:t>parsers.lookup_word(word, topic, translator, explanatory_dictionary)</w:t>
      </w:r>
      <w:r>
        <w:rPr>
          <w:b w:val="0"/>
          <w:i w:val="0"/>
          <w:color w:val="22303C"/>
          <w:sz w:val="22"/>
        </w:rPr>
        <w:t xml:space="preserve"> to one fetcher per provider — all real implementations, verified live:</w:t>
      </w:r>
    </w:p>
    <w:p>
      <w:pPr>
        <w:pStyle w:val="ListBullet"/>
        <w:spacing w:after="80"/>
      </w:pPr>
      <w:r>
        <w:rPr>
          <w:b/>
          <w:i w:val="0"/>
          <w:color w:val="22303C"/>
          <w:sz w:val="22"/>
        </w:rPr>
        <w:t>Bing Translator</w:t>
      </w:r>
      <w:r>
        <w:rPr>
          <w:b w:val="0"/>
          <w:i w:val="0"/>
          <w:color w:val="22303C"/>
          <w:sz w:val="22"/>
        </w:rPr>
        <w:t xml:space="preserve"> — the week's most interesting engineering detour. bing.com's own web endpoints turned out to </w:t>
      </w:r>
      <w:r>
        <w:rPr>
          <w:b/>
          <w:i w:val="0"/>
          <w:color w:val="22303C"/>
          <w:sz w:val="22"/>
        </w:rPr>
        <w:t>reject non-browser TLS clients</w:t>
      </w:r>
      <w:r>
        <w:rPr>
          <w:b w:val="0"/>
          <w:i w:val="0"/>
          <w:color w:val="22303C"/>
          <w:sz w:val="22"/>
        </w:rPr>
        <w:t xml:space="preserve">: replaying a real browser session's cookies, token, and exact request body from Python still returned 401, while the identical request from inside the browser returned 200. The solution reaches the same Microsoft Translator engine the way the Edge browser's built-in translate does — a short-lived anonymous JWT from </w:t>
      </w:r>
      <w:r>
        <w:rPr>
          <w:rFonts w:ascii="Consolas" w:hAnsi="Consolas"/>
          <w:b w:val="0"/>
          <w:i w:val="0"/>
          <w:color w:val="22303C"/>
          <w:sz w:val="22"/>
        </w:rPr>
        <w:t>edge.microsoft.com</w:t>
      </w:r>
      <w:r>
        <w:rPr>
          <w:b w:val="0"/>
          <w:i w:val="0"/>
          <w:color w:val="22303C"/>
          <w:sz w:val="22"/>
        </w:rPr>
        <w:t xml:space="preserve">, then the official </w:t>
      </w:r>
      <w:r>
        <w:rPr>
          <w:rFonts w:ascii="Consolas" w:hAnsi="Consolas"/>
          <w:b w:val="0"/>
          <w:i w:val="0"/>
          <w:color w:val="22303C"/>
          <w:sz w:val="22"/>
        </w:rPr>
        <w:t>dictionary/lookup</w:t>
      </w:r>
      <w:r>
        <w:rPr>
          <w:b w:val="0"/>
          <w:i w:val="0"/>
          <w:color w:val="22303C"/>
          <w:sz w:val="22"/>
        </w:rPr>
        <w:t xml:space="preserve"> API — returning byte-identical translations to the bing.com page, from plain </w:t>
      </w:r>
      <w:r>
        <w:rPr>
          <w:rFonts w:ascii="Consolas" w:hAnsi="Consolas"/>
          <w:b w:val="0"/>
          <w:i w:val="0"/>
          <w:color w:val="22303C"/>
          <w:sz w:val="22"/>
        </w:rPr>
        <w:t>requests</w:t>
      </w:r>
      <w:r>
        <w:rPr>
          <w:b w:val="0"/>
          <w:i w:val="0"/>
          <w:color w:val="22303C"/>
          <w:sz w:val="22"/>
        </w:rPr>
        <w:t>.</w:t>
      </w:r>
    </w:p>
    <w:p>
      <w:pPr>
        <w:pStyle w:val="ListBullet"/>
        <w:spacing w:after="80"/>
      </w:pPr>
      <w:r>
        <w:rPr>
          <w:b/>
          <w:i w:val="0"/>
          <w:color w:val="22303C"/>
          <w:sz w:val="22"/>
        </w:rPr>
        <w:t>Oxford Learner's Dictionaries</w:t>
      </w:r>
      <w:r>
        <w:rPr>
          <w:b w:val="0"/>
          <w:i w:val="0"/>
          <w:color w:val="22303C"/>
          <w:sz w:val="22"/>
        </w:rPr>
        <w:t xml:space="preserve"> — one entry page covers one part of speech (</w:t>
      </w:r>
      <w:r>
        <w:rPr>
          <w:rFonts w:ascii="Consolas" w:hAnsi="Consolas"/>
          <w:b w:val="0"/>
          <w:i w:val="0"/>
          <w:color w:val="22303C"/>
          <w:sz w:val="22"/>
        </w:rPr>
        <w:t>run_1</w:t>
      </w:r>
      <w:r>
        <w:rPr>
          <w:b w:val="0"/>
          <w:i w:val="0"/>
          <w:color w:val="22303C"/>
          <w:sz w:val="22"/>
        </w:rPr>
        <w:t xml:space="preserve"> verb, </w:t>
      </w:r>
      <w:r>
        <w:rPr>
          <w:rFonts w:ascii="Consolas" w:hAnsi="Consolas"/>
          <w:b w:val="0"/>
          <w:i w:val="0"/>
          <w:color w:val="22303C"/>
          <w:sz w:val="22"/>
        </w:rPr>
        <w:t>run_2</w:t>
      </w:r>
      <w:r>
        <w:rPr>
          <w:b w:val="0"/>
          <w:i w:val="0"/>
          <w:color w:val="22303C"/>
          <w:sz w:val="22"/>
        </w:rPr>
        <w:t xml:space="preserve"> noun), so sibling entries linked from the page's </w:t>
      </w:r>
      <w:r>
        <w:rPr>
          <w:b w:val="0"/>
          <w:i/>
          <w:color w:val="22303C"/>
          <w:sz w:val="22"/>
        </w:rPr>
        <w:t>Other results</w:t>
      </w:r>
      <w:r>
        <w:rPr>
          <w:b w:val="0"/>
          <w:i w:val="0"/>
          <w:color w:val="22303C"/>
          <w:sz w:val="22"/>
        </w:rPr>
        <w:t xml:space="preserve"> box are fetched too (capped at 3 pages, lookalikes like </w:t>
      </w:r>
      <w:r>
        <w:rPr>
          <w:rFonts w:ascii="Consolas" w:hAnsi="Consolas"/>
          <w:b w:val="0"/>
          <w:i w:val="0"/>
          <w:color w:val="22303C"/>
          <w:sz w:val="22"/>
        </w:rPr>
        <w:t>run-up_1</w:t>
      </w:r>
      <w:r>
        <w:rPr>
          <w:b w:val="0"/>
          <w:i w:val="0"/>
          <w:color w:val="22303C"/>
          <w:sz w:val="22"/>
        </w:rPr>
        <w:t xml:space="preserve"> ignored).</w:t>
      </w:r>
    </w:p>
    <w:p>
      <w:pPr>
        <w:pStyle w:val="ListBullet"/>
        <w:spacing w:after="80"/>
      </w:pPr>
      <w:r>
        <w:rPr>
          <w:b/>
          <w:i w:val="0"/>
          <w:color w:val="22303C"/>
          <w:sz w:val="22"/>
        </w:rPr>
        <w:t>Merriam-Webster</w:t>
      </w:r>
      <w:r>
        <w:rPr>
          <w:b w:val="0"/>
          <w:i w:val="0"/>
          <w:color w:val="22303C"/>
          <w:sz w:val="22"/>
        </w:rPr>
        <w:t xml:space="preserve"> — a single page carries every part-of-speech entry.</w:t>
      </w:r>
    </w:p>
    <w:p>
      <w:pPr>
        <w:pStyle w:val="ListBullet"/>
        <w:spacing w:after="80"/>
      </w:pPr>
      <w:r>
        <w:rPr>
          <w:b/>
          <w:i w:val="0"/>
          <w:color w:val="22303C"/>
          <w:sz w:val="22"/>
        </w:rPr>
        <w:t>Graceful degradation throughout</w:t>
      </w:r>
      <w:r>
        <w:rPr>
          <w:b w:val="0"/>
          <w:i w:val="0"/>
          <w:color w:val="22303C"/>
          <w:sz w:val="22"/>
        </w:rPr>
        <w:t>: a translator that fails or returns nothing falls back to Google; a dictionary that fails falls back to Reverso; definition failures never break a lookup.</w:t>
      </w:r>
    </w:p>
    <w:p>
      <w:pPr>
        <w:pStyle w:val="Heading2"/>
      </w:pPr>
      <w:r>
        <w:rPr>
          <w:b w:val="0"/>
          <w:i w:val="0"/>
          <w:color w:val="22303C"/>
          <w:sz w:val="25"/>
        </w:rPr>
        <w:t>4. Duplicate cards fixed at the root (kuantorflow #107 → issue #101)</w:t>
      </w:r>
    </w:p>
    <w:p>
      <w:pPr>
        <w:spacing w:after="120"/>
      </w:pPr>
      <w:r>
        <w:rPr>
          <w:b w:val="0"/>
          <w:i w:val="0"/>
          <w:color w:val="22303C"/>
          <w:sz w:val="22"/>
        </w:rPr>
        <w:t xml:space="preserve">Looking up a word twice used to add it to the database twice. The check now lives in </w:t>
      </w:r>
      <w:r>
        <w:rPr>
          <w:rFonts w:ascii="Consolas" w:hAnsi="Consolas"/>
          <w:b w:val="0"/>
          <w:i w:val="0"/>
          <w:color w:val="22303C"/>
          <w:sz w:val="22"/>
        </w:rPr>
        <w:t>save_flashcard()</w:t>
      </w:r>
      <w:r>
        <w:rPr>
          <w:b w:val="0"/>
          <w:i w:val="0"/>
          <w:color w:val="22303C"/>
          <w:sz w:val="22"/>
        </w:rPr>
        <w:t xml:space="preserve"> — the single write path shared by the review popup, </w:t>
      </w:r>
      <w:r>
        <w:rPr>
          <w:b w:val="0"/>
          <w:i/>
          <w:color w:val="22303C"/>
          <w:sz w:val="22"/>
        </w:rPr>
        <w:t>Add All</w:t>
      </w:r>
      <w:r>
        <w:rPr>
          <w:b w:val="0"/>
          <w:i w:val="0"/>
          <w:color w:val="22303C"/>
          <w:sz w:val="22"/>
        </w:rPr>
        <w:t>, automatic add, and Mykola's chat saves — so every route is covered at once:</w:t>
      </w:r>
    </w:p>
    <w:p>
      <w:pPr>
        <w:pStyle w:val="ListBullet"/>
        <w:spacing w:after="80"/>
      </w:pPr>
      <w:r>
        <w:rPr>
          <w:b w:val="0"/>
          <w:i w:val="0"/>
          <w:color w:val="22303C"/>
          <w:sz w:val="22"/>
        </w:rPr>
        <w:t xml:space="preserve">A card whose </w:t>
      </w:r>
      <w:r>
        <w:rPr>
          <w:b/>
          <w:i w:val="0"/>
          <w:color w:val="22303C"/>
          <w:sz w:val="22"/>
        </w:rPr>
        <w:t>word + part of speech</w:t>
      </w:r>
      <w:r>
        <w:rPr>
          <w:b w:val="0"/>
          <w:i w:val="0"/>
          <w:color w:val="22303C"/>
          <w:sz w:val="22"/>
        </w:rPr>
        <w:t xml:space="preserve"> already exists anywhere in the database is skipped (word case-insensitive; the </w:t>
      </w:r>
      <w:r>
        <w:rPr>
          <w:rFonts w:ascii="Consolas" w:hAnsi="Consolas"/>
          <w:b w:val="0"/>
          <w:i w:val="0"/>
          <w:color w:val="22303C"/>
          <w:sz w:val="22"/>
        </w:rPr>
        <w:t>pos</w:t>
      </w:r>
      <w:r>
        <w:rPr>
          <w:b w:val="0"/>
          <w:i w:val="0"/>
          <w:color w:val="22303C"/>
          <w:sz w:val="22"/>
        </w:rPr>
        <w:t xml:space="preserve"> comparison NULL-safe, so pos-less </w:t>
      </w:r>
      <w:r>
        <w:rPr>
          <w:rFonts w:ascii="Consolas" w:hAnsi="Consolas"/>
          <w:b w:val="0"/>
          <w:i w:val="0"/>
          <w:color w:val="22303C"/>
          <w:sz w:val="22"/>
        </w:rPr>
        <w:t>.mht</w:t>
      </w:r>
      <w:r>
        <w:rPr>
          <w:b w:val="0"/>
          <w:i w:val="0"/>
          <w:color w:val="22303C"/>
          <w:sz w:val="22"/>
        </w:rPr>
        <w:t xml:space="preserve"> imports deduplicate too — something a database </w:t>
      </w:r>
      <w:r>
        <w:rPr>
          <w:rFonts w:ascii="Consolas" w:hAnsi="Consolas"/>
          <w:b w:val="0"/>
          <w:i w:val="0"/>
          <w:color w:val="22303C"/>
          <w:sz w:val="22"/>
        </w:rPr>
        <w:t>UNIQUE</w:t>
      </w:r>
      <w:r>
        <w:rPr>
          <w:b w:val="0"/>
          <w:i w:val="0"/>
          <w:color w:val="22303C"/>
          <w:sz w:val="22"/>
        </w:rPr>
        <w:t xml:space="preserve"> index could not do, since MySQL treats NULLs in a unique key as distinct).</w:t>
      </w:r>
    </w:p>
    <w:p>
      <w:pPr>
        <w:pStyle w:val="ListBullet"/>
        <w:spacing w:after="80"/>
      </w:pPr>
      <w:r>
        <w:rPr>
          <w:b/>
          <w:i w:val="0"/>
          <w:color w:val="22303C"/>
          <w:sz w:val="22"/>
        </w:rPr>
        <w:t>The user is told</w:t>
      </w:r>
      <w:r>
        <w:rPr>
          <w:b w:val="0"/>
          <w:i w:val="0"/>
          <w:color w:val="22303C"/>
          <w:sz w:val="22"/>
        </w:rPr>
        <w:t xml:space="preserve">: the popup button turns into </w:t>
      </w:r>
      <w:r>
        <w:rPr>
          <w:b w:val="0"/>
          <w:i/>
          <w:color w:val="22303C"/>
          <w:sz w:val="22"/>
        </w:rPr>
        <w:t>"Already in DB"</w:t>
      </w:r>
      <w:r>
        <w:rPr>
          <w:b w:val="0"/>
          <w:i w:val="0"/>
          <w:color w:val="22303C"/>
          <w:sz w:val="22"/>
        </w:rPr>
        <w:t xml:space="preserve">, and the automatic-add banner counts skips — </w:t>
      </w:r>
      <w:r>
        <w:rPr>
          <w:b w:val="0"/>
          <w:i/>
          <w:color w:val="22303C"/>
          <w:sz w:val="22"/>
        </w:rPr>
        <w:t>"Added 1 card(s), skipped 1 already in the database"</w:t>
      </w:r>
      <w:r>
        <w:rPr>
          <w:b w:val="0"/>
          <w:i w:val="0"/>
          <w:color w:val="22303C"/>
          <w:sz w:val="22"/>
        </w:rPr>
        <w:t>.</w:t>
      </w:r>
    </w:p>
    <w:p>
      <w:pPr>
        <w:pStyle w:val="ListBullet"/>
        <w:spacing w:after="80"/>
      </w:pPr>
      <w:r>
        <w:rPr>
          <w:b w:val="0"/>
          <w:i w:val="0"/>
          <w:color w:val="22303C"/>
          <w:sz w:val="22"/>
        </w:rPr>
        <w:t xml:space="preserve">A </w:t>
      </w:r>
      <w:r>
        <w:rPr>
          <w:b/>
          <w:i w:val="0"/>
          <w:color w:val="22303C"/>
          <w:sz w:val="22"/>
        </w:rPr>
        <w:t>maintenance script</w:t>
      </w:r>
      <w:r>
        <w:rPr>
          <w:b w:val="0"/>
          <w:i w:val="0"/>
          <w:color w:val="22303C"/>
          <w:sz w:val="22"/>
        </w:rPr>
        <w:t xml:space="preserve"> (</w:t>
      </w:r>
      <w:r>
        <w:rPr>
          <w:rFonts w:ascii="Consolas" w:hAnsi="Consolas"/>
          <w:b w:val="0"/>
          <w:i w:val="0"/>
          <w:color w:val="22303C"/>
          <w:sz w:val="22"/>
        </w:rPr>
        <w:t>maintenance/dedup_flashcards.py</w:t>
      </w:r>
      <w:r>
        <w:rPr>
          <w:b w:val="0"/>
          <w:i w:val="0"/>
          <w:color w:val="22303C"/>
          <w:sz w:val="22"/>
        </w:rPr>
        <w:t xml:space="preserve">, automation #10) cleans out duplicates accumulated before the fix: dry-run by default, </w:t>
      </w:r>
      <w:r>
        <w:rPr>
          <w:rFonts w:ascii="Consolas" w:hAnsi="Consolas"/>
          <w:b w:val="0"/>
          <w:i w:val="0"/>
          <w:color w:val="22303C"/>
          <w:sz w:val="22"/>
        </w:rPr>
        <w:t>--apply</w:t>
      </w:r>
      <w:r>
        <w:rPr>
          <w:b w:val="0"/>
          <w:i w:val="0"/>
          <w:color w:val="22303C"/>
          <w:sz w:val="22"/>
        </w:rPr>
        <w:t xml:space="preserve"> deletes, always keeping the oldest card of each group. To be run once against the live database after the next deploy.</w:t>
      </w:r>
    </w:p>
    <w:p>
      <w:pPr>
        <w:pStyle w:val="Heading2"/>
      </w:pPr>
      <w:r>
        <w:rPr>
          <w:b w:val="0"/>
          <w:i w:val="0"/>
          <w:color w:val="22303C"/>
          <w:sz w:val="25"/>
        </w:rPr>
        <w:t>5. Quality: suite repaired, then doubled (kuantorflow_automation #6, #8, #10)</w:t>
      </w:r>
    </w:p>
    <w:p>
      <w:pPr>
        <w:pStyle w:val="ListBullet"/>
        <w:spacing w:after="80"/>
      </w:pPr>
      <w:r>
        <w:rPr>
          <w:b/>
          <w:i w:val="0"/>
          <w:color w:val="22303C"/>
          <w:sz w:val="22"/>
        </w:rPr>
        <w:t>Suite repair</w:t>
      </w:r>
      <w:r>
        <w:rPr>
          <w:b w:val="0"/>
          <w:i w:val="0"/>
          <w:color w:val="22303C"/>
          <w:sz w:val="22"/>
        </w:rPr>
        <w:t xml:space="preserve"> (#6): the offline app tests had been silently broken — </w:t>
      </w:r>
      <w:r>
        <w:rPr>
          <w:rFonts w:ascii="Consolas" w:hAnsi="Consolas"/>
          <w:b w:val="0"/>
          <w:i w:val="0"/>
          <w:color w:val="22303C"/>
          <w:sz w:val="22"/>
        </w:rPr>
        <w:t>authlib</w:t>
      </w:r>
      <w:r>
        <w:rPr>
          <w:b w:val="0"/>
          <w:i w:val="0"/>
          <w:color w:val="22303C"/>
          <w:sz w:val="22"/>
        </w:rPr>
        <w:t xml:space="preserve"> missing from the requirements meant 35 tests couldn't even import the app, and 4 more had gone stale against the current UI. Fixed and green again at 42 tests.</w:t>
      </w:r>
    </w:p>
    <w:p>
      <w:pPr>
        <w:pStyle w:val="ListBullet"/>
        <w:spacing w:after="80"/>
      </w:pPr>
      <w:r>
        <w:rPr>
          <w:b/>
          <w:i w:val="0"/>
          <w:color w:val="22303C"/>
          <w:sz w:val="22"/>
        </w:rPr>
        <w:t>30 new regression tests</w:t>
      </w:r>
      <w:r>
        <w:rPr>
          <w:b w:val="0"/>
          <w:i w:val="0"/>
          <w:color w:val="22303C"/>
          <w:sz w:val="22"/>
        </w:rPr>
        <w:t xml:space="preserve"> (#8, #10) covering the whole week's work: config-file self-creation, corrupt files surviving untouched, </w:t>
      </w:r>
      <w:r>
        <w:rPr>
          <w:rFonts w:ascii="Consolas" w:hAnsi="Consolas"/>
          <w:b w:val="0"/>
          <w:i w:val="0"/>
          <w:color w:val="22303C"/>
          <w:sz w:val="22"/>
        </w:rPr>
        <w:t>POST /settings</w:t>
      </w:r>
      <w:r>
        <w:rPr>
          <w:b w:val="0"/>
          <w:i w:val="0"/>
          <w:color w:val="22303C"/>
          <w:sz w:val="22"/>
        </w:rPr>
        <w:t xml:space="preserve"> validation and per-identity persistence, popup markup and pre-fill, auto-add behaviour, provider dispatch with every fallback path, the Bing/Oxford/M-W parsers against canned responses, duplicate-skip logic against a fake database, and the dedup script's grouping rules.</w:t>
      </w:r>
    </w:p>
    <w:p>
      <w:pPr>
        <w:pStyle w:val="ListBullet"/>
        <w:spacing w:after="80"/>
      </w:pPr>
      <w:r>
        <w:rPr>
          <w:b/>
          <w:i w:val="0"/>
          <w:color w:val="22303C"/>
          <w:sz w:val="22"/>
        </w:rPr>
        <w:t>Result: 72 passed</w:t>
      </w:r>
      <w:r>
        <w:rPr>
          <w:b w:val="0"/>
          <w:i w:val="0"/>
          <w:color w:val="22303C"/>
          <w:sz w:val="22"/>
        </w:rPr>
        <w:t>, fully offline, in under 2 seconds — plus an autouse fixture that redirects the settings store into a per-test temp directory so page renders can't write into the real checkout.</w:t>
      </w:r>
    </w:p>
    <w:p>
      <w:pPr>
        <w:pStyle w:val="Heading2"/>
      </w:pPr>
      <w:r>
        <w:rPr>
          <w:b w:val="0"/>
          <w:i w:val="0"/>
          <w:color w:val="22303C"/>
          <w:sz w:val="25"/>
        </w:rPr>
        <w:t>6. Test ergonomics and tooling (kuantorflow_automation #5, #9)</w:t>
      </w:r>
    </w:p>
    <w:p>
      <w:pPr>
        <w:pStyle w:val="ListBullet"/>
        <w:spacing w:after="80"/>
      </w:pPr>
      <w:r>
        <w:rPr>
          <w:b/>
          <w:i w:val="0"/>
          <w:color w:val="22303C"/>
          <w:sz w:val="22"/>
        </w:rPr>
        <w:t>`gate.py`</w:t>
      </w:r>
      <w:r>
        <w:rPr>
          <w:b w:val="0"/>
          <w:i w:val="0"/>
          <w:color w:val="22303C"/>
          <w:sz w:val="22"/>
        </w:rPr>
        <w:t xml:space="preserve"> (#9): one shared helper to pass the site's keyword gate in any scripted session — </w:t>
      </w:r>
      <w:r>
        <w:rPr>
          <w:rFonts w:ascii="Consolas" w:hAnsi="Consolas"/>
          <w:b w:val="0"/>
          <w:i w:val="0"/>
          <w:color w:val="22303C"/>
          <w:sz w:val="22"/>
        </w:rPr>
        <w:t>enter_gate()</w:t>
      </w:r>
      <w:r>
        <w:rPr>
          <w:b w:val="0"/>
          <w:i w:val="0"/>
          <w:color w:val="22303C"/>
          <w:sz w:val="22"/>
        </w:rPr>
        <w:t xml:space="preserve"> returns an authenticated session using </w:t>
      </w:r>
      <w:r>
        <w:rPr>
          <w:rFonts w:ascii="Consolas" w:hAnsi="Consolas"/>
          <w:b w:val="0"/>
          <w:i w:val="0"/>
          <w:color w:val="22303C"/>
          <w:sz w:val="22"/>
        </w:rPr>
        <w:t>ACCESS_KEYWORD</w:t>
      </w:r>
      <w:r>
        <w:rPr>
          <w:b w:val="0"/>
          <w:i w:val="0"/>
          <w:color w:val="22303C"/>
          <w:sz w:val="22"/>
        </w:rPr>
        <w:t xml:space="preserve"> from </w:t>
      </w:r>
      <w:r>
        <w:rPr>
          <w:rFonts w:ascii="Consolas" w:hAnsi="Consolas"/>
          <w:b w:val="0"/>
          <w:i w:val="0"/>
          <w:color w:val="22303C"/>
          <w:sz w:val="22"/>
        </w:rPr>
        <w:t>.env</w:t>
      </w:r>
      <w:r>
        <w:rPr>
          <w:b w:val="0"/>
          <w:i w:val="0"/>
          <w:color w:val="22303C"/>
          <w:sz w:val="22"/>
        </w:rPr>
        <w:t xml:space="preserve">, with a clear error when the keyword is rejected. The live tests now use it, and it doubles as a CLI smoke check. A stale live test (favicon </w:t>
      </w:r>
      <w:r>
        <w:rPr>
          <w:rFonts w:ascii="Consolas" w:hAnsi="Consolas"/>
          <w:b w:val="0"/>
          <w:i w:val="0"/>
          <w:color w:val="22303C"/>
          <w:sz w:val="22"/>
        </w:rPr>
        <w:t>icon.png</w:t>
      </w:r>
      <w:r>
        <w:rPr>
          <w:b w:val="0"/>
          <w:i w:val="0"/>
          <w:color w:val="22303C"/>
          <w:sz w:val="22"/>
        </w:rPr>
        <w:t xml:space="preserve"> → </w:t>
      </w:r>
      <w:r>
        <w:rPr>
          <w:rFonts w:ascii="Consolas" w:hAnsi="Consolas"/>
          <w:b w:val="0"/>
          <w:i w:val="0"/>
          <w:color w:val="22303C"/>
          <w:sz w:val="22"/>
        </w:rPr>
        <w:t>icon.jpg</w:t>
      </w:r>
      <w:r>
        <w:rPr>
          <w:b w:val="0"/>
          <w:i w:val="0"/>
          <w:color w:val="22303C"/>
          <w:sz w:val="22"/>
        </w:rPr>
        <w:t>) was fixed on the way, taking the live suite from 5/6 to 6/6.</w:t>
      </w:r>
    </w:p>
    <w:p>
      <w:pPr>
        <w:pStyle w:val="ListBullet"/>
        <w:spacing w:after="80"/>
      </w:pPr>
      <w:r>
        <w:rPr>
          <w:b/>
          <w:i w:val="0"/>
          <w:color w:val="22303C"/>
          <w:sz w:val="22"/>
        </w:rPr>
        <w:t>Presentation tooling</w:t>
      </w:r>
      <w:r>
        <w:rPr>
          <w:b w:val="0"/>
          <w:i w:val="0"/>
          <w:color w:val="22303C"/>
          <w:sz w:val="22"/>
        </w:rPr>
        <w:t xml:space="preserve"> (#5): a reusable python-pptx deck kit (</w:t>
      </w:r>
      <w:r>
        <w:rPr>
          <w:rFonts w:ascii="Consolas" w:hAnsi="Consolas"/>
          <w:b w:val="0"/>
          <w:i w:val="0"/>
          <w:color w:val="22303C"/>
          <w:sz w:val="22"/>
        </w:rPr>
        <w:t>presentation/deck_kit.py</w:t>
      </w:r>
      <w:r>
        <w:rPr>
          <w:b w:val="0"/>
          <w:i w:val="0"/>
          <w:color w:val="22303C"/>
          <w:sz w:val="22"/>
        </w:rPr>
        <w:t>, KuantorFlow palette, 16:9) and a stdlib-only OOXML text extractor — future decks start from a library, not from scratch.</w:t>
      </w:r>
    </w:p>
    <w:p>
      <w:pPr>
        <w:pStyle w:val="Heading2"/>
      </w:pPr>
      <w:r>
        <w:rPr>
          <w:b w:val="0"/>
          <w:i w:val="0"/>
          <w:color w:val="22303C"/>
          <w:sz w:val="25"/>
        </w:rPr>
        <w:t>7. Documentation and idea work (kuantorflow #95)</w:t>
      </w:r>
    </w:p>
    <w:p>
      <w:pPr>
        <w:pStyle w:val="ListBullet"/>
        <w:spacing w:after="80"/>
      </w:pPr>
      <w:r>
        <w:rPr>
          <w:b/>
          <w:i w:val="0"/>
          <w:color w:val="22303C"/>
          <w:sz w:val="22"/>
        </w:rPr>
        <w:t>Spaced-repetition (SM-2) proposal</w:t>
      </w:r>
      <w:r>
        <w:rPr>
          <w:b w:val="0"/>
          <w:i w:val="0"/>
          <w:color w:val="22303C"/>
          <w:sz w:val="22"/>
        </w:rPr>
        <w:t xml:space="preserve"> (refs #94): a full write-up of a review-mode design for the flashcards, rendered to </w:t>
      </w:r>
      <w:r>
        <w:rPr>
          <w:rFonts w:ascii="Consolas" w:hAnsi="Consolas"/>
          <w:b w:val="0"/>
          <w:i w:val="0"/>
          <w:color w:val="22303C"/>
          <w:sz w:val="22"/>
        </w:rPr>
        <w:t>reports/</w:t>
      </w:r>
      <w:r>
        <w:rPr>
          <w:b w:val="0"/>
          <w:i w:val="0"/>
          <w:color w:val="22303C"/>
          <w:sz w:val="22"/>
        </w:rPr>
        <w:t xml:space="preserve"> in all three formats with the report tooling (whose </w:t>
      </w:r>
      <w:r>
        <w:rPr>
          <w:rFonts w:ascii="Consolas" w:hAnsi="Consolas"/>
          <w:b w:val="0"/>
          <w:i w:val="0"/>
          <w:color w:val="22303C"/>
          <w:sz w:val="22"/>
        </w:rPr>
        <w:t>python-docx</w:t>
      </w:r>
      <w:r>
        <w:rPr>
          <w:b w:val="0"/>
          <w:i w:val="0"/>
          <w:color w:val="22303C"/>
          <w:sz w:val="22"/>
        </w:rPr>
        <w:t xml:space="preserve"> dependency is now pinned).</w:t>
      </w:r>
    </w:p>
    <w:p>
      <w:pPr>
        <w:pStyle w:val="ListBullet"/>
        <w:spacing w:after="80"/>
      </w:pPr>
      <w:r>
        <w:rPr>
          <w:b w:val="0"/>
          <w:i w:val="0"/>
          <w:color w:val="22303C"/>
          <w:sz w:val="22"/>
        </w:rPr>
        <w:t>README grew sections for the settings store, the Settings popup, the four providers, and duplicate protection as each PR landed.</w:t>
      </w:r>
    </w:p>
    <w:p>
      <w:pPr>
        <w:pBdr>
          <w:bottom w:val="single" w:sz="8" w:color="D9B13C"/>
        </w:pBdr>
      </w:pPr>
    </w:p>
    <w:p>
      <w:pPr>
        <w:pStyle w:val="Heading1"/>
      </w:pPr>
      <w:r>
        <w:rPr>
          <w:b w:val="0"/>
          <w:i w:val="0"/>
          <w:color w:val="2E6BA0"/>
          <w:sz w:val="30"/>
        </w:rPr>
        <w:t>Technical Highlights</w:t>
      </w:r>
    </w:p>
    <w:p>
      <w:pPr>
        <w:pStyle w:val="ListBullet"/>
        <w:spacing w:after="80"/>
      </w:pPr>
      <w:r>
        <w:rPr>
          <w:b/>
          <w:i w:val="0"/>
          <w:color w:val="22303C"/>
          <w:sz w:val="22"/>
        </w:rPr>
        <w:t>TLS fingerprinting is the new bot wall.</w:t>
      </w:r>
      <w:r>
        <w:rPr>
          <w:b w:val="0"/>
          <w:i w:val="0"/>
          <w:color w:val="22303C"/>
          <w:sz w:val="22"/>
        </w:rPr>
        <w:t xml:space="preserve"> The Bing investigation proved the block was neither cookies nor tokens (a full browser-session replay still 401'd) but the TLS client fingerprint itself — and found the legitimate alternative route that the Edge browser uses, which works from plain </w:t>
      </w:r>
      <w:r>
        <w:rPr>
          <w:rFonts w:ascii="Consolas" w:hAnsi="Consolas"/>
          <w:b w:val="0"/>
          <w:i w:val="0"/>
          <w:color w:val="22303C"/>
          <w:sz w:val="22"/>
        </w:rPr>
        <w:t>requests</w:t>
      </w:r>
      <w:r>
        <w:rPr>
          <w:b w:val="0"/>
          <w:i w:val="0"/>
          <w:color w:val="22303C"/>
          <w:sz w:val="22"/>
        </w:rPr>
        <w:t>.</w:t>
      </w:r>
    </w:p>
    <w:p>
      <w:pPr>
        <w:pStyle w:val="ListBullet"/>
        <w:spacing w:after="80"/>
      </w:pPr>
      <w:r>
        <w:rPr>
          <w:b/>
          <w:i w:val="0"/>
          <w:color w:val="22303C"/>
          <w:sz w:val="22"/>
        </w:rPr>
        <w:t>One write path, one check.</w:t>
      </w:r>
      <w:r>
        <w:rPr>
          <w:b w:val="0"/>
          <w:i w:val="0"/>
          <w:color w:val="22303C"/>
          <w:sz w:val="22"/>
        </w:rPr>
        <w:t xml:space="preserve"> Because every card-saving flow funnels through </w:t>
      </w:r>
      <w:r>
        <w:rPr>
          <w:rFonts w:ascii="Consolas" w:hAnsi="Consolas"/>
          <w:b w:val="0"/>
          <w:i w:val="0"/>
          <w:color w:val="22303C"/>
          <w:sz w:val="22"/>
        </w:rPr>
        <w:t>save_flashcard()</w:t>
      </w:r>
      <w:r>
        <w:rPr>
          <w:b w:val="0"/>
          <w:i w:val="0"/>
          <w:color w:val="22303C"/>
          <w:sz w:val="22"/>
        </w:rPr>
        <w:t>, the duplicate rule was implemented (and tested) exactly once — the popup, batch add, auto-add, and AI-chat saves all inherited it in the same commit.</w:t>
      </w:r>
    </w:p>
    <w:p>
      <w:pPr>
        <w:pStyle w:val="ListBullet"/>
        <w:spacing w:after="80"/>
      </w:pPr>
      <w:r>
        <w:rPr>
          <w:b/>
          <w:i w:val="0"/>
          <w:color w:val="22303C"/>
          <w:sz w:val="22"/>
        </w:rPr>
        <w:t>Application-level uniqueness over a DB index — deliberately.</w:t>
      </w:r>
      <w:r>
        <w:rPr>
          <w:b w:val="0"/>
          <w:i w:val="0"/>
          <w:color w:val="22303C"/>
          <w:sz w:val="22"/>
        </w:rPr>
        <w:t xml:space="preserve"> MySQL's unique indexes treat NULLs as distinct, so an index on </w:t>
      </w:r>
      <w:r>
        <w:rPr>
          <w:rFonts w:ascii="Consolas" w:hAnsi="Consolas"/>
          <w:b w:val="0"/>
          <w:i w:val="0"/>
          <w:color w:val="22303C"/>
          <w:sz w:val="22"/>
        </w:rPr>
        <w:t>(word, pos)</w:t>
      </w:r>
      <w:r>
        <w:rPr>
          <w:b w:val="0"/>
          <w:i w:val="0"/>
          <w:color w:val="22303C"/>
          <w:sz w:val="22"/>
        </w:rPr>
        <w:t xml:space="preserve"> would never catch repeated pos-less </w:t>
      </w:r>
      <w:r>
        <w:rPr>
          <w:rFonts w:ascii="Consolas" w:hAnsi="Consolas"/>
          <w:b w:val="0"/>
          <w:i w:val="0"/>
          <w:color w:val="22303C"/>
          <w:sz w:val="22"/>
        </w:rPr>
        <w:t>.mht</w:t>
      </w:r>
      <w:r>
        <w:rPr>
          <w:b w:val="0"/>
          <w:i w:val="0"/>
          <w:color w:val="22303C"/>
          <w:sz w:val="22"/>
        </w:rPr>
        <w:t xml:space="preserve"> imports; the NULL-safe </w:t>
      </w:r>
      <w:r>
        <w:rPr>
          <w:rFonts w:ascii="Consolas" w:hAnsi="Consolas"/>
          <w:b w:val="0"/>
          <w:i w:val="0"/>
          <w:color w:val="22303C"/>
          <w:sz w:val="22"/>
        </w:rPr>
        <w:t>&lt;=&gt;</w:t>
      </w:r>
      <w:r>
        <w:rPr>
          <w:b w:val="0"/>
          <w:i w:val="0"/>
          <w:color w:val="22303C"/>
          <w:sz w:val="22"/>
        </w:rPr>
        <w:t xml:space="preserve"> check covers them and needed no data migration.</w:t>
      </w:r>
    </w:p>
    <w:p>
      <w:pPr>
        <w:pStyle w:val="ListBullet"/>
        <w:spacing w:after="80"/>
      </w:pPr>
      <w:r>
        <w:rPr>
          <w:b/>
          <w:i w:val="0"/>
          <w:color w:val="22303C"/>
          <w:sz w:val="22"/>
        </w:rPr>
        <w:t>Resolve dependencies at call time for testability.</w:t>
      </w:r>
      <w:r>
        <w:rPr>
          <w:b w:val="0"/>
          <w:i w:val="0"/>
          <w:color w:val="22303C"/>
          <w:sz w:val="22"/>
        </w:rPr>
        <w:t xml:space="preserve"> Module-level dicts capturing fetcher functions at import made monkeypatching impossible in tests (and silently hit the real network); switching the provider dispatch to call-time resolution fixed both.</w:t>
      </w:r>
    </w:p>
    <w:p>
      <w:pPr>
        <w:pStyle w:val="ListBullet"/>
        <w:spacing w:after="80"/>
      </w:pPr>
      <w:r>
        <w:rPr>
          <w:b/>
          <w:i w:val="0"/>
          <w:color w:val="22303C"/>
          <w:sz w:val="22"/>
        </w:rPr>
        <w:t>Stacked PRs kept reviews clean</w:t>
      </w:r>
      <w:r>
        <w:rPr>
          <w:b w:val="0"/>
          <w:i w:val="0"/>
          <w:color w:val="22303C"/>
          <w:sz w:val="22"/>
        </w:rPr>
        <w:t>: the #21 implementation PR was based on the #105 UI branch, so each diff stayed focused while merging in order retargeted everything automatically.</w:t>
      </w:r>
    </w:p>
    <w:p>
      <w:pPr>
        <w:pStyle w:val="Heading1"/>
      </w:pPr>
      <w:r>
        <w:rPr>
          <w:b w:val="0"/>
          <w:i w:val="0"/>
          <w:color w:val="2E6BA0"/>
          <w:sz w:val="30"/>
        </w:rPr>
        <w:t>Lessons Learned</w:t>
      </w:r>
    </w:p>
    <w:p>
      <w:pPr>
        <w:pStyle w:val="ListNumber"/>
        <w:spacing w:after="100"/>
      </w:pPr>
      <w:r>
        <w:rPr>
          <w:b/>
          <w:i w:val="0"/>
          <w:color w:val="22303C"/>
          <w:sz w:val="22"/>
        </w:rPr>
        <w:t>When replaying a request fails despite identical headers, cookies, and body — suspect the transport, not the payload.</w:t>
      </w:r>
      <w:r>
        <w:rPr>
          <w:b w:val="0"/>
          <w:i w:val="0"/>
          <w:color w:val="22303C"/>
          <w:sz w:val="22"/>
        </w:rPr>
        <w:t xml:space="preserve"> Verifying the same request from inside the browser (200) versus Python (401) isolated TLS fingerprinting in minutes; hours could have been lost tweaking tokens.</w:t>
      </w:r>
    </w:p>
    <w:p>
      <w:pPr>
        <w:pStyle w:val="ListNumber"/>
        <w:spacing w:after="100"/>
      </w:pPr>
      <w:r>
        <w:rPr>
          <w:b/>
          <w:i w:val="0"/>
          <w:color w:val="22303C"/>
          <w:sz w:val="22"/>
        </w:rPr>
        <w:t>A test suite that can't import the app fails silently as "errors", not "failures"</w:t>
      </w:r>
      <w:r>
        <w:rPr>
          <w:b w:val="0"/>
          <w:i w:val="0"/>
          <w:color w:val="22303C"/>
          <w:sz w:val="22"/>
        </w:rPr>
        <w:t xml:space="preserve"> — and can stay broken for days. The missing-</w:t>
      </w:r>
      <w:r>
        <w:rPr>
          <w:rFonts w:ascii="Consolas" w:hAnsi="Consolas"/>
          <w:b w:val="0"/>
          <w:i w:val="0"/>
          <w:color w:val="22303C"/>
          <w:sz w:val="22"/>
        </w:rPr>
        <w:t>authlib</w:t>
      </w:r>
      <w:r>
        <w:rPr>
          <w:b w:val="0"/>
          <w:i w:val="0"/>
          <w:color w:val="22303C"/>
          <w:sz w:val="22"/>
        </w:rPr>
        <w:t xml:space="preserve"> episode argues for running the suite (not just writing it) after every dependency change in the app repo.</w:t>
      </w:r>
    </w:p>
    <w:p>
      <w:pPr>
        <w:pStyle w:val="ListNumber"/>
        <w:spacing w:after="100"/>
      </w:pPr>
      <w:r>
        <w:rPr>
          <w:b/>
          <w:i w:val="0"/>
          <w:color w:val="22303C"/>
          <w:sz w:val="22"/>
        </w:rPr>
        <w:t>Fixtures that redirect filesystem side effects must arrive with the feature.</w:t>
      </w:r>
      <w:r>
        <w:rPr>
          <w:b w:val="0"/>
          <w:i w:val="0"/>
          <w:color w:val="22303C"/>
          <w:sz w:val="22"/>
        </w:rPr>
        <w:t xml:space="preserve"> The moment the settings store learned to create files on first read, every page-rendering test began writing into the real checkout — caught only because the companion-test PR added the temp-dir fixture in the same change.</w:t>
      </w:r>
    </w:p>
    <w:p>
      <w:pPr>
        <w:pStyle w:val="ListNumber"/>
        <w:spacing w:after="100"/>
      </w:pPr>
      <w:r>
        <w:rPr>
          <w:b/>
          <w:i w:val="0"/>
          <w:color w:val="22303C"/>
          <w:sz w:val="22"/>
        </w:rPr>
        <w:t>HTML-escaping belongs in test expectations.</w:t>
      </w:r>
      <w:r>
        <w:rPr>
          <w:b w:val="0"/>
          <w:i w:val="0"/>
          <w:color w:val="22303C"/>
          <w:sz w:val="22"/>
        </w:rPr>
        <w:t xml:space="preserve"> Assertions on flash messages with apostrophes must expect </w:t>
      </w:r>
      <w:r>
        <w:rPr>
          <w:rFonts w:ascii="Consolas" w:hAnsi="Consolas"/>
          <w:b w:val="0"/>
          <w:i w:val="0"/>
          <w:color w:val="22303C"/>
          <w:sz w:val="22"/>
        </w:rPr>
        <w:t>&amp;#39;</w:t>
      </w:r>
      <w:r>
        <w:rPr>
          <w:b w:val="0"/>
          <w:i w:val="0"/>
          <w:color w:val="22303C"/>
          <w:sz w:val="22"/>
        </w:rPr>
        <w:t xml:space="preserve"> — the rendered page never contains the raw quote.</w:t>
      </w:r>
    </w:p>
    <w:p>
      <w:pPr>
        <w:pStyle w:val="ListNumber"/>
        <w:spacing w:after="100"/>
      </w:pPr>
      <w:r>
        <w:rPr>
          <w:b/>
          <w:i w:val="0"/>
          <w:color w:val="22303C"/>
          <w:sz w:val="22"/>
        </w:rPr>
        <w:t>Board hygiene pays off at report time</w:t>
      </w:r>
      <w:r>
        <w:rPr>
          <w:b w:val="0"/>
          <w:i w:val="0"/>
          <w:color w:val="22303C"/>
          <w:sz w:val="22"/>
        </w:rPr>
        <w:t>: several Highest-Prio tickets delivered this week (#86, #13, #20, #21) are still open on the board — closing tickets when their PRs merge keeps the dashboard truthful.</w:t>
      </w:r>
    </w:p>
    <w:p>
      <w:pPr>
        <w:pBdr>
          <w:bottom w:val="single" w:sz="8" w:color="D9B13C"/>
        </w:pBdr>
      </w:pPr>
    </w:p>
    <w:p>
      <w:pPr>
        <w:pStyle w:val="Heading1"/>
      </w:pPr>
      <w:r>
        <w:rPr>
          <w:b w:val="0"/>
          <w:i w:val="0"/>
          <w:color w:val="2E6BA0"/>
          <w:sz w:val="30"/>
        </w:rPr>
        <w:t>Plans for Next Week</w:t>
      </w:r>
    </w:p>
    <w:p>
      <w:pPr>
        <w:spacing w:after="120"/>
      </w:pPr>
      <w:r>
        <w:rPr>
          <w:b w:val="0"/>
          <w:i/>
          <w:color w:val="22303C"/>
          <w:sz w:val="22"/>
        </w:rPr>
        <w:t xml:space="preserve">Taken from the </w:t>
      </w:r>
      <w:r>
        <w:rPr>
          <w:b w:val="0"/>
          <w:i/>
          <w:color w:val="22303C"/>
          <w:sz w:val="22"/>
        </w:rPr>
        <w:t>KuantorFlow Improvements</w:t>
      </w:r>
      <w:r>
        <w:rPr>
          <w:b w:val="0"/>
          <w:i/>
          <w:color w:val="22303C"/>
          <w:sz w:val="22"/>
        </w:rPr>
        <w:t xml:space="preserve"> GitHub Projects board ([dashboard](https://github.com/users/Kuantor/projects/2)). The board tracks 42 items as Done. Priority order below: Highest Prio first, then Nice To Have, as requested.</w:t>
      </w:r>
    </w:p>
    <w:p>
      <w:pPr>
        <w:pStyle w:val="Heading2"/>
      </w:pPr>
      <w:r>
        <w:rPr>
          <w:b w:val="0"/>
          <w:i w:val="0"/>
          <w:color w:val="22303C"/>
          <w:sz w:val="25"/>
        </w:rPr>
        <w:t>Highest Prio</w:t>
      </w:r>
    </w:p>
    <w:tbl>
      <w:tblPr>
        <w:tblStyle w:val="TableGrid"/>
        <w:tblW w:type="auto" w:w="0"/>
        <w:jc w:val="left"/>
        <w:tblLayout w:type="fixed"/>
        <w:tblLook w:firstColumn="1" w:firstRow="1" w:lastColumn="0" w:lastRow="0" w:noHBand="0" w:noVBand="1" w:val="04A0"/>
      </w:tblPr>
      <w:tblGrid>
        <w:gridCol w:w="2462"/>
        <w:gridCol w:w="2462"/>
        <w:gridCol w:w="2462"/>
        <w:gridCol w:w="2462"/>
      </w:tblGrid>
      <w:tr>
        <w:tc>
          <w:tcPr>
            <w:tcW w:type="dxa" w:w="792"/>
            <w:shd w:val="clear" w:fill="2E6BA0"/>
          </w:tcPr>
          <w:p>
            <w:r>
              <w:rPr>
                <w:b/>
                <w:i w:val="0"/>
                <w:color w:val="FFFFFF"/>
                <w:sz w:val="20"/>
              </w:rPr>
              <w:t>Repo</w:t>
            </w:r>
          </w:p>
        </w:tc>
        <w:tc>
          <w:tcPr>
            <w:tcW w:type="dxa" w:w="792"/>
            <w:shd w:val="clear" w:fill="2E6BA0"/>
          </w:tcPr>
          <w:p>
            <w:r>
              <w:rPr>
                <w:b/>
                <w:i w:val="0"/>
                <w:color w:val="FFFFFF"/>
                <w:sz w:val="20"/>
              </w:rPr>
              <w:t>Issue</w:t>
            </w:r>
          </w:p>
        </w:tc>
        <w:tc>
          <w:tcPr>
            <w:tcW w:type="dxa" w:w="5136"/>
            <w:shd w:val="clear" w:fill="2E6BA0"/>
          </w:tcPr>
          <w:p>
            <w:r>
              <w:rPr>
                <w:b/>
                <w:i w:val="0"/>
                <w:color w:val="FFFFFF"/>
                <w:sz w:val="20"/>
              </w:rPr>
              <w:t>Title</w:t>
            </w:r>
          </w:p>
        </w:tc>
        <w:tc>
          <w:tcPr>
            <w:tcW w:type="dxa" w:w="3561"/>
            <w:shd w:val="clear" w:fill="2E6BA0"/>
          </w:tcPr>
          <w:p>
            <w:r>
              <w:rPr>
                <w:b/>
                <w:i w:val="0"/>
                <w:color w:val="FFFFFF"/>
                <w:sz w:val="20"/>
              </w:rPr>
              <w:t>Note</w:t>
            </w:r>
          </w:p>
        </w:tc>
      </w:tr>
      <w:tr>
        <w:tc>
          <w:tcPr>
            <w:tcW w:type="dxa" w:w="792"/>
          </w:tcPr>
          <w:p>
            <w:r>
              <w:rPr>
                <w:b w:val="0"/>
                <w:i w:val="0"/>
                <w:color w:val="22303C"/>
                <w:sz w:val="20"/>
              </w:rPr>
              <w:t>kuantorflow</w:t>
            </w:r>
          </w:p>
        </w:tc>
        <w:tc>
          <w:tcPr>
            <w:tcW w:type="dxa" w:w="792"/>
          </w:tcPr>
          <w:p>
            <w:r>
              <w:rPr>
                <w:b w:val="0"/>
                <w:i w:val="0"/>
                <w:color w:val="2E6BA0"/>
                <w:sz w:val="20"/>
              </w:rPr>
              <w:t>#98</w:t>
            </w:r>
          </w:p>
        </w:tc>
        <w:tc>
          <w:tcPr>
            <w:tcW w:type="dxa" w:w="5136"/>
          </w:tcPr>
          <w:p>
            <w:r>
              <w:rPr>
                <w:b w:val="0"/>
                <w:i w:val="0"/>
                <w:color w:val="22303C"/>
                <w:sz w:val="20"/>
              </w:rPr>
              <w:t>Add "Reset Auth" button in Settings to clear Google login and keyword cache</w:t>
            </w:r>
          </w:p>
        </w:tc>
        <w:tc>
          <w:tcPr>
            <w:tcW w:type="dxa" w:w="3561"/>
          </w:tcPr>
          <w:p>
            <w:r>
              <w:rPr>
                <w:b/>
                <w:i w:val="0"/>
                <w:color w:val="22303C"/>
                <w:sz w:val="20"/>
              </w:rPr>
              <w:t>Next up</w:t>
            </w:r>
            <w:r>
              <w:rPr>
                <w:b w:val="0"/>
                <w:i w:val="0"/>
                <w:color w:val="22303C"/>
                <w:sz w:val="20"/>
              </w:rPr>
              <w:t xml:space="preserve"> — extends the new Settings popup</w:t>
            </w:r>
          </w:p>
        </w:tc>
      </w:tr>
      <w:tr>
        <w:tc>
          <w:tcPr>
            <w:tcW w:type="dxa" w:w="792"/>
          </w:tcPr>
          <w:p>
            <w:r>
              <w:rPr>
                <w:b w:val="0"/>
                <w:i w:val="0"/>
                <w:color w:val="22303C"/>
                <w:sz w:val="20"/>
              </w:rPr>
              <w:t>kuantorflow</w:t>
            </w:r>
          </w:p>
        </w:tc>
        <w:tc>
          <w:tcPr>
            <w:tcW w:type="dxa" w:w="792"/>
          </w:tcPr>
          <w:p>
            <w:r>
              <w:rPr>
                <w:b w:val="0"/>
                <w:i w:val="0"/>
                <w:color w:val="2E6BA0"/>
                <w:sz w:val="20"/>
              </w:rPr>
              <w:t>#102</w:t>
            </w:r>
          </w:p>
        </w:tc>
        <w:tc>
          <w:tcPr>
            <w:tcW w:type="dxa" w:w="5136"/>
          </w:tcPr>
          <w:p>
            <w:r>
              <w:rPr>
                <w:b w:val="0"/>
                <w:i w:val="0"/>
                <w:color w:val="22303C"/>
                <w:sz w:val="20"/>
              </w:rPr>
              <w:t>[Bug] Prevent unauthenticated users from modifying default settings</w:t>
            </w:r>
          </w:p>
        </w:tc>
        <w:tc>
          <w:tcPr>
            <w:tcW w:type="dxa" w:w="3561"/>
          </w:tcPr>
          <w:p>
            <w:r>
              <w:rPr>
                <w:b/>
                <w:i w:val="0"/>
                <w:color w:val="22303C"/>
                <w:sz w:val="20"/>
              </w:rPr>
              <w:t>Next up</w:t>
            </w:r>
            <w:r>
              <w:rPr>
                <w:b w:val="0"/>
                <w:i w:val="0"/>
                <w:color w:val="22303C"/>
                <w:sz w:val="20"/>
              </w:rPr>
              <w:t xml:space="preserve"> — hardening of the new </w:t>
            </w:r>
            <w:r>
              <w:rPr>
                <w:rFonts w:ascii="Consolas" w:hAnsi="Consolas"/>
                <w:b w:val="0"/>
                <w:i w:val="0"/>
                <w:color w:val="22303C"/>
                <w:sz w:val="20"/>
              </w:rPr>
              <w:t>POST /settings</w:t>
            </w:r>
          </w:p>
        </w:tc>
      </w:tr>
      <w:tr>
        <w:tc>
          <w:tcPr>
            <w:tcW w:type="dxa" w:w="792"/>
          </w:tcPr>
          <w:p>
            <w:r>
              <w:rPr>
                <w:b w:val="0"/>
                <w:i w:val="0"/>
                <w:color w:val="22303C"/>
                <w:sz w:val="20"/>
              </w:rPr>
              <w:t>kuantorflow</w:t>
            </w:r>
          </w:p>
        </w:tc>
        <w:tc>
          <w:tcPr>
            <w:tcW w:type="dxa" w:w="792"/>
          </w:tcPr>
          <w:p>
            <w:r>
              <w:rPr>
                <w:b w:val="0"/>
                <w:i w:val="0"/>
                <w:color w:val="2E6BA0"/>
                <w:sz w:val="20"/>
              </w:rPr>
              <w:t>#86</w:t>
            </w:r>
          </w:p>
        </w:tc>
        <w:tc>
          <w:tcPr>
            <w:tcW w:type="dxa" w:w="5136"/>
          </w:tcPr>
          <w:p>
            <w:r>
              <w:rPr>
                <w:b w:val="0"/>
                <w:i w:val="0"/>
                <w:color w:val="22303C"/>
                <w:sz w:val="20"/>
              </w:rPr>
              <w:t>Add config JSON files to store application settings</w:t>
            </w:r>
          </w:p>
        </w:tc>
        <w:tc>
          <w:tcPr>
            <w:tcW w:type="dxa" w:w="3561"/>
          </w:tcPr>
          <w:p>
            <w:r>
              <w:rPr>
                <w:b w:val="0"/>
                <w:i w:val="0"/>
                <w:color w:val="22303C"/>
                <w:sz w:val="20"/>
              </w:rPr>
              <w:t>Delivered this week (PRs #97, #105) — ready to close</w:t>
            </w:r>
          </w:p>
        </w:tc>
      </w:tr>
      <w:tr>
        <w:tc>
          <w:tcPr>
            <w:tcW w:type="dxa" w:w="792"/>
          </w:tcPr>
          <w:p>
            <w:r>
              <w:rPr>
                <w:b w:val="0"/>
                <w:i w:val="0"/>
                <w:color w:val="22303C"/>
                <w:sz w:val="20"/>
              </w:rPr>
              <w:t>kuantorflow</w:t>
            </w:r>
          </w:p>
        </w:tc>
        <w:tc>
          <w:tcPr>
            <w:tcW w:type="dxa" w:w="792"/>
          </w:tcPr>
          <w:p>
            <w:r>
              <w:rPr>
                <w:b w:val="0"/>
                <w:i w:val="0"/>
                <w:color w:val="2E6BA0"/>
                <w:sz w:val="20"/>
              </w:rPr>
              <w:t>#13</w:t>
            </w:r>
          </w:p>
        </w:tc>
        <w:tc>
          <w:tcPr>
            <w:tcW w:type="dxa" w:w="5136"/>
          </w:tcPr>
          <w:p>
            <w:r>
              <w:rPr>
                <w:b w:val="0"/>
                <w:i w:val="0"/>
                <w:color w:val="22303C"/>
                <w:sz w:val="20"/>
              </w:rPr>
              <w:t>Settings Menu with Auto-Add Cards Option</w:t>
            </w:r>
          </w:p>
        </w:tc>
        <w:tc>
          <w:tcPr>
            <w:tcW w:type="dxa" w:w="3561"/>
          </w:tcPr>
          <w:p>
            <w:r>
              <w:rPr>
                <w:b w:val="0"/>
                <w:i w:val="0"/>
                <w:color w:val="22303C"/>
                <w:sz w:val="20"/>
              </w:rPr>
              <w:t>Delivered this week (PR #105) — ready to close</w:t>
            </w:r>
          </w:p>
        </w:tc>
      </w:tr>
      <w:tr>
        <w:tc>
          <w:tcPr>
            <w:tcW w:type="dxa" w:w="792"/>
          </w:tcPr>
          <w:p>
            <w:r>
              <w:rPr>
                <w:b w:val="0"/>
                <w:i w:val="0"/>
                <w:color w:val="22303C"/>
                <w:sz w:val="20"/>
              </w:rPr>
              <w:t>kuantorflow</w:t>
            </w:r>
          </w:p>
        </w:tc>
        <w:tc>
          <w:tcPr>
            <w:tcW w:type="dxa" w:w="792"/>
          </w:tcPr>
          <w:p>
            <w:r>
              <w:rPr>
                <w:b w:val="0"/>
                <w:i w:val="0"/>
                <w:color w:val="2E6BA0"/>
                <w:sz w:val="20"/>
              </w:rPr>
              <w:t>#20</w:t>
            </w:r>
          </w:p>
        </w:tc>
        <w:tc>
          <w:tcPr>
            <w:tcW w:type="dxa" w:w="5136"/>
          </w:tcPr>
          <w:p>
            <w:r>
              <w:rPr>
                <w:b w:val="0"/>
                <w:i w:val="0"/>
                <w:color w:val="22303C"/>
                <w:sz w:val="20"/>
              </w:rPr>
              <w:t>UI: Add Dictionary Selection Feature in Settings</w:t>
            </w:r>
          </w:p>
        </w:tc>
        <w:tc>
          <w:tcPr>
            <w:tcW w:type="dxa" w:w="3561"/>
          </w:tcPr>
          <w:p>
            <w:r>
              <w:rPr>
                <w:b w:val="0"/>
                <w:i w:val="0"/>
                <w:color w:val="22303C"/>
                <w:sz w:val="20"/>
              </w:rPr>
              <w:t>Delivered this week (PR #105) — ready to close</w:t>
            </w:r>
          </w:p>
        </w:tc>
      </w:tr>
      <w:tr>
        <w:tc>
          <w:tcPr>
            <w:tcW w:type="dxa" w:w="792"/>
          </w:tcPr>
          <w:p>
            <w:r>
              <w:rPr>
                <w:b w:val="0"/>
                <w:i w:val="0"/>
                <w:color w:val="22303C"/>
                <w:sz w:val="20"/>
              </w:rPr>
              <w:t>kuantorflow</w:t>
            </w:r>
          </w:p>
        </w:tc>
        <w:tc>
          <w:tcPr>
            <w:tcW w:type="dxa" w:w="792"/>
          </w:tcPr>
          <w:p>
            <w:r>
              <w:rPr>
                <w:b w:val="0"/>
                <w:i w:val="0"/>
                <w:color w:val="2E6BA0"/>
                <w:sz w:val="20"/>
              </w:rPr>
              <w:t>#21</w:t>
            </w:r>
          </w:p>
        </w:tc>
        <w:tc>
          <w:tcPr>
            <w:tcW w:type="dxa" w:w="5136"/>
          </w:tcPr>
          <w:p>
            <w:r>
              <w:rPr>
                <w:b w:val="0"/>
                <w:i w:val="0"/>
                <w:color w:val="22303C"/>
                <w:sz w:val="20"/>
              </w:rPr>
              <w:t>Implement Dictionary Selection Feature in Settings</w:t>
            </w:r>
          </w:p>
        </w:tc>
        <w:tc>
          <w:tcPr>
            <w:tcW w:type="dxa" w:w="3561"/>
          </w:tcPr>
          <w:p>
            <w:r>
              <w:rPr>
                <w:b w:val="0"/>
                <w:i w:val="0"/>
                <w:color w:val="22303C"/>
                <w:sz w:val="20"/>
              </w:rPr>
              <w:t>Delivered this week (PR #106) — ready to close</w:t>
            </w:r>
          </w:p>
        </w:tc>
      </w:tr>
    </w:tbl>
    <w:p>
      <w:pPr>
        <w:spacing w:after="40"/>
      </w:pPr>
    </w:p>
    <w:p>
      <w:pPr>
        <w:pStyle w:val="Heading2"/>
      </w:pPr>
      <w:r>
        <w:rPr>
          <w:b w:val="0"/>
          <w:i w:val="0"/>
          <w:color w:val="22303C"/>
          <w:sz w:val="25"/>
        </w:rPr>
        <w:t>Nice To Have</w:t>
      </w:r>
    </w:p>
    <w:tbl>
      <w:tblPr>
        <w:tblStyle w:val="TableGrid"/>
        <w:tblW w:type="auto" w:w="0"/>
        <w:jc w:val="left"/>
        <w:tblLayout w:type="fixed"/>
        <w:tblLook w:firstColumn="1" w:firstRow="1" w:lastColumn="0" w:lastRow="0" w:noHBand="0" w:noVBand="1" w:val="04A0"/>
      </w:tblPr>
      <w:tblGrid>
        <w:gridCol w:w="3283"/>
        <w:gridCol w:w="3283"/>
        <w:gridCol w:w="3283"/>
      </w:tblGrid>
      <w:tr>
        <w:tc>
          <w:tcPr>
            <w:tcW w:type="dxa" w:w="1122"/>
            <w:shd w:val="clear" w:fill="2E6BA0"/>
          </w:tcPr>
          <w:p>
            <w:r>
              <w:rPr>
                <w:b/>
                <w:i w:val="0"/>
                <w:color w:val="FFFFFF"/>
                <w:sz w:val="20"/>
              </w:rPr>
              <w:t>Repo</w:t>
            </w:r>
          </w:p>
        </w:tc>
        <w:tc>
          <w:tcPr>
            <w:tcW w:type="dxa" w:w="792"/>
            <w:shd w:val="clear" w:fill="2E6BA0"/>
          </w:tcPr>
          <w:p>
            <w:r>
              <w:rPr>
                <w:b/>
                <w:i w:val="0"/>
                <w:color w:val="FFFFFF"/>
                <w:sz w:val="20"/>
              </w:rPr>
              <w:t>Issue</w:t>
            </w:r>
          </w:p>
        </w:tc>
        <w:tc>
          <w:tcPr>
            <w:tcW w:type="dxa" w:w="8160"/>
            <w:shd w:val="clear" w:fill="2E6BA0"/>
          </w:tcPr>
          <w:p>
            <w:r>
              <w:rPr>
                <w:b/>
                <w:i w:val="0"/>
                <w:color w:val="FFFFFF"/>
                <w:sz w:val="20"/>
              </w:rPr>
              <w:t>Title</w:t>
            </w:r>
          </w:p>
        </w:tc>
      </w:tr>
      <w:tr>
        <w:tc>
          <w:tcPr>
            <w:tcW w:type="dxa" w:w="1122"/>
          </w:tcPr>
          <w:p>
            <w:r>
              <w:rPr>
                <w:b w:val="0"/>
                <w:i w:val="0"/>
                <w:color w:val="22303C"/>
                <w:sz w:val="20"/>
              </w:rPr>
              <w:t>kuantorflow</w:t>
            </w:r>
          </w:p>
        </w:tc>
        <w:tc>
          <w:tcPr>
            <w:tcW w:type="dxa" w:w="792"/>
          </w:tcPr>
          <w:p>
            <w:r>
              <w:rPr>
                <w:b w:val="0"/>
                <w:i w:val="0"/>
                <w:color w:val="2E6BA0"/>
                <w:sz w:val="20"/>
              </w:rPr>
              <w:t>#54</w:t>
            </w:r>
          </w:p>
        </w:tc>
        <w:tc>
          <w:tcPr>
            <w:tcW w:type="dxa" w:w="8160"/>
          </w:tcPr>
          <w:p>
            <w:r>
              <w:rPr>
                <w:b w:val="0"/>
                <w:i w:val="0"/>
                <w:color w:val="22303C"/>
                <w:sz w:val="20"/>
              </w:rPr>
              <w:t>Investigation: Android app clone of the KuantorFlow website</w:t>
            </w:r>
          </w:p>
        </w:tc>
      </w:tr>
      <w:tr>
        <w:tc>
          <w:tcPr>
            <w:tcW w:type="dxa" w:w="1122"/>
          </w:tcPr>
          <w:p>
            <w:r>
              <w:rPr>
                <w:b w:val="0"/>
                <w:i w:val="0"/>
                <w:color w:val="22303C"/>
                <w:sz w:val="20"/>
              </w:rPr>
              <w:t>ai_agent</w:t>
            </w:r>
          </w:p>
        </w:tc>
        <w:tc>
          <w:tcPr>
            <w:tcW w:type="dxa" w:w="792"/>
          </w:tcPr>
          <w:p>
            <w:r>
              <w:rPr>
                <w:b w:val="0"/>
                <w:i w:val="0"/>
                <w:color w:val="2E6BA0"/>
                <w:sz w:val="20"/>
              </w:rPr>
              <w:t>#48</w:t>
            </w:r>
          </w:p>
        </w:tc>
        <w:tc>
          <w:tcPr>
            <w:tcW w:type="dxa" w:w="8160"/>
          </w:tcPr>
          <w:p>
            <w:r>
              <w:rPr>
                <w:b w:val="0"/>
                <w:i w:val="0"/>
                <w:color w:val="22303C"/>
                <w:sz w:val="20"/>
              </w:rPr>
              <w:t>Let Mykola know that he is Claude-powered</w:t>
            </w:r>
          </w:p>
        </w:tc>
      </w:tr>
      <w:tr>
        <w:tc>
          <w:tcPr>
            <w:tcW w:type="dxa" w:w="1122"/>
          </w:tcPr>
          <w:p>
            <w:r>
              <w:rPr>
                <w:b w:val="0"/>
                <w:i w:val="0"/>
                <w:color w:val="22303C"/>
                <w:sz w:val="20"/>
              </w:rPr>
              <w:t>kuantorflow</w:t>
            </w:r>
          </w:p>
        </w:tc>
        <w:tc>
          <w:tcPr>
            <w:tcW w:type="dxa" w:w="792"/>
          </w:tcPr>
          <w:p>
            <w:r>
              <w:rPr>
                <w:b w:val="0"/>
                <w:i w:val="0"/>
                <w:color w:val="2E6BA0"/>
                <w:sz w:val="20"/>
              </w:rPr>
              <w:t>#15</w:t>
            </w:r>
          </w:p>
        </w:tc>
        <w:tc>
          <w:tcPr>
            <w:tcW w:type="dxa" w:w="8160"/>
          </w:tcPr>
          <w:p>
            <w:r>
              <w:rPr>
                <w:b w:val="0"/>
                <w:i w:val="0"/>
                <w:color w:val="22303C"/>
                <w:sz w:val="20"/>
              </w:rPr>
              <w:t>Parallel PRs for features and tests</w:t>
            </w:r>
          </w:p>
        </w:tc>
      </w:tr>
      <w:tr>
        <w:tc>
          <w:tcPr>
            <w:tcW w:type="dxa" w:w="1122"/>
          </w:tcPr>
          <w:p>
            <w:r>
              <w:rPr>
                <w:b w:val="0"/>
                <w:i w:val="0"/>
                <w:color w:val="22303C"/>
                <w:sz w:val="20"/>
              </w:rPr>
              <w:t>kuantorflow</w:t>
            </w:r>
          </w:p>
        </w:tc>
        <w:tc>
          <w:tcPr>
            <w:tcW w:type="dxa" w:w="792"/>
          </w:tcPr>
          <w:p>
            <w:r>
              <w:rPr>
                <w:b w:val="0"/>
                <w:i w:val="0"/>
                <w:color w:val="2E6BA0"/>
                <w:sz w:val="20"/>
              </w:rPr>
              <w:t>#87</w:t>
            </w:r>
          </w:p>
        </w:tc>
        <w:tc>
          <w:tcPr>
            <w:tcW w:type="dxa" w:w="8160"/>
          </w:tcPr>
          <w:p>
            <w:r>
              <w:rPr>
                <w:b w:val="0"/>
                <w:i w:val="0"/>
                <w:color w:val="22303C"/>
                <w:sz w:val="20"/>
              </w:rPr>
              <w:t>Add the user's Google avatar to the chat widget</w:t>
            </w:r>
          </w:p>
        </w:tc>
      </w:tr>
      <w:tr>
        <w:tc>
          <w:tcPr>
            <w:tcW w:type="dxa" w:w="1122"/>
          </w:tcPr>
          <w:p>
            <w:r>
              <w:rPr>
                <w:b w:val="0"/>
                <w:i w:val="0"/>
                <w:color w:val="22303C"/>
                <w:sz w:val="20"/>
              </w:rPr>
              <w:t>kuantorflow</w:t>
            </w:r>
          </w:p>
        </w:tc>
        <w:tc>
          <w:tcPr>
            <w:tcW w:type="dxa" w:w="792"/>
          </w:tcPr>
          <w:p>
            <w:r>
              <w:rPr>
                <w:b w:val="0"/>
                <w:i w:val="0"/>
                <w:color w:val="2E6BA0"/>
                <w:sz w:val="20"/>
              </w:rPr>
              <w:t>#88</w:t>
            </w:r>
          </w:p>
        </w:tc>
        <w:tc>
          <w:tcPr>
            <w:tcW w:type="dxa" w:w="8160"/>
          </w:tcPr>
          <w:p>
            <w:r>
              <w:rPr>
                <w:b w:val="0"/>
                <w:i w:val="0"/>
                <w:color w:val="22303C"/>
                <w:sz w:val="20"/>
              </w:rPr>
              <w:t>Create a docx describing how to run backup/restore</w:t>
            </w:r>
          </w:p>
        </w:tc>
      </w:tr>
      <w:tr>
        <w:tc>
          <w:tcPr>
            <w:tcW w:type="dxa" w:w="1122"/>
          </w:tcPr>
          <w:p>
            <w:r>
              <w:rPr>
                <w:b w:val="0"/>
                <w:i w:val="0"/>
                <w:color w:val="22303C"/>
                <w:sz w:val="20"/>
              </w:rPr>
              <w:t>kuantorflow</w:t>
            </w:r>
          </w:p>
        </w:tc>
        <w:tc>
          <w:tcPr>
            <w:tcW w:type="dxa" w:w="792"/>
          </w:tcPr>
          <w:p>
            <w:r>
              <w:rPr>
                <w:b w:val="0"/>
                <w:i w:val="0"/>
                <w:color w:val="2E6BA0"/>
                <w:sz w:val="20"/>
              </w:rPr>
              <w:t>#89</w:t>
            </w:r>
          </w:p>
        </w:tc>
        <w:tc>
          <w:tcPr>
            <w:tcW w:type="dxa" w:w="8160"/>
          </w:tcPr>
          <w:p>
            <w:r>
              <w:rPr>
                <w:b w:val="0"/>
                <w:i w:val="0"/>
                <w:color w:val="22303C"/>
                <w:sz w:val="20"/>
              </w:rPr>
              <w:t>Invisible field for the name of the user who added a card</w:t>
            </w:r>
          </w:p>
        </w:tc>
      </w:tr>
      <w:tr>
        <w:tc>
          <w:tcPr>
            <w:tcW w:type="dxa" w:w="1122"/>
          </w:tcPr>
          <w:p>
            <w:r>
              <w:rPr>
                <w:b w:val="0"/>
                <w:i w:val="0"/>
                <w:color w:val="22303C"/>
                <w:sz w:val="20"/>
              </w:rPr>
              <w:t>kuantorflow</w:t>
            </w:r>
          </w:p>
        </w:tc>
        <w:tc>
          <w:tcPr>
            <w:tcW w:type="dxa" w:w="792"/>
          </w:tcPr>
          <w:p>
            <w:r>
              <w:rPr>
                <w:b w:val="0"/>
                <w:i w:val="0"/>
                <w:color w:val="2E6BA0"/>
                <w:sz w:val="20"/>
              </w:rPr>
              <w:t>#90</w:t>
            </w:r>
          </w:p>
        </w:tc>
        <w:tc>
          <w:tcPr>
            <w:tcW w:type="dxa" w:w="8160"/>
          </w:tcPr>
          <w:p>
            <w:r>
              <w:rPr>
                <w:b w:val="0"/>
                <w:i w:val="0"/>
                <w:color w:val="22303C"/>
                <w:sz w:val="20"/>
              </w:rPr>
              <w:t>Do we tell the user that the logs are stored on the server?</w:t>
            </w:r>
          </w:p>
        </w:tc>
      </w:tr>
      <w:tr>
        <w:tc>
          <w:tcPr>
            <w:tcW w:type="dxa" w:w="1122"/>
          </w:tcPr>
          <w:p>
            <w:r>
              <w:rPr>
                <w:b w:val="0"/>
                <w:i w:val="0"/>
                <w:color w:val="22303C"/>
                <w:sz w:val="20"/>
              </w:rPr>
              <w:t>kuantorflow</w:t>
            </w:r>
          </w:p>
        </w:tc>
        <w:tc>
          <w:tcPr>
            <w:tcW w:type="dxa" w:w="792"/>
          </w:tcPr>
          <w:p>
            <w:r>
              <w:rPr>
                <w:b w:val="0"/>
                <w:i w:val="0"/>
                <w:color w:val="2E6BA0"/>
                <w:sz w:val="20"/>
              </w:rPr>
              <w:t>#92</w:t>
            </w:r>
          </w:p>
        </w:tc>
        <w:tc>
          <w:tcPr>
            <w:tcW w:type="dxa" w:w="8160"/>
          </w:tcPr>
          <w:p>
            <w:r>
              <w:rPr>
                <w:b w:val="0"/>
                <w:i w:val="0"/>
                <w:color w:val="22303C"/>
                <w:sz w:val="20"/>
              </w:rPr>
              <w:t>Spaced-repetition review mode</w:t>
            </w:r>
          </w:p>
        </w:tc>
      </w:tr>
      <w:tr>
        <w:tc>
          <w:tcPr>
            <w:tcW w:type="dxa" w:w="1122"/>
          </w:tcPr>
          <w:p>
            <w:r>
              <w:rPr>
                <w:b w:val="0"/>
                <w:i w:val="0"/>
                <w:color w:val="22303C"/>
                <w:sz w:val="20"/>
              </w:rPr>
              <w:t>kuantorflow</w:t>
            </w:r>
          </w:p>
        </w:tc>
        <w:tc>
          <w:tcPr>
            <w:tcW w:type="dxa" w:w="792"/>
          </w:tcPr>
          <w:p>
            <w:r>
              <w:rPr>
                <w:b w:val="0"/>
                <w:i w:val="0"/>
                <w:color w:val="2E6BA0"/>
                <w:sz w:val="20"/>
              </w:rPr>
              <w:t>#93</w:t>
            </w:r>
          </w:p>
        </w:tc>
        <w:tc>
          <w:tcPr>
            <w:tcW w:type="dxa" w:w="8160"/>
          </w:tcPr>
          <w:p>
            <w:r>
              <w:rPr>
                <w:b w:val="0"/>
                <w:i w:val="0"/>
                <w:color w:val="22303C"/>
                <w:sz w:val="20"/>
              </w:rPr>
              <w:t>Complete multi-user card ownership</w:t>
            </w:r>
          </w:p>
        </w:tc>
      </w:tr>
      <w:tr>
        <w:tc>
          <w:tcPr>
            <w:tcW w:type="dxa" w:w="1122"/>
          </w:tcPr>
          <w:p>
            <w:r>
              <w:rPr>
                <w:b w:val="0"/>
                <w:i w:val="0"/>
                <w:color w:val="22303C"/>
                <w:sz w:val="20"/>
              </w:rPr>
              <w:t>kuantorflow</w:t>
            </w:r>
          </w:p>
        </w:tc>
        <w:tc>
          <w:tcPr>
            <w:tcW w:type="dxa" w:w="792"/>
          </w:tcPr>
          <w:p>
            <w:r>
              <w:rPr>
                <w:b w:val="0"/>
                <w:i w:val="0"/>
                <w:color w:val="2E6BA0"/>
                <w:sz w:val="20"/>
              </w:rPr>
              <w:t>#99</w:t>
            </w:r>
          </w:p>
        </w:tc>
        <w:tc>
          <w:tcPr>
            <w:tcW w:type="dxa" w:w="8160"/>
          </w:tcPr>
          <w:p>
            <w:r>
              <w:rPr>
                <w:b w:val="0"/>
                <w:i w:val="0"/>
                <w:color w:val="22303C"/>
                <w:sz w:val="20"/>
              </w:rPr>
              <w:t>Show message about API credits if needed</w:t>
            </w:r>
          </w:p>
        </w:tc>
      </w:tr>
      <w:tr>
        <w:tc>
          <w:tcPr>
            <w:tcW w:type="dxa" w:w="1122"/>
          </w:tcPr>
          <w:p>
            <w:r>
              <w:rPr>
                <w:b w:val="0"/>
                <w:i w:val="0"/>
                <w:color w:val="22303C"/>
                <w:sz w:val="20"/>
              </w:rPr>
              <w:t>kuantorflow</w:t>
            </w:r>
          </w:p>
        </w:tc>
        <w:tc>
          <w:tcPr>
            <w:tcW w:type="dxa" w:w="792"/>
          </w:tcPr>
          <w:p>
            <w:r>
              <w:rPr>
                <w:b w:val="0"/>
                <w:i w:val="0"/>
                <w:color w:val="2E6BA0"/>
                <w:sz w:val="20"/>
              </w:rPr>
              <w:t>#100</w:t>
            </w:r>
          </w:p>
        </w:tc>
        <w:tc>
          <w:tcPr>
            <w:tcW w:type="dxa" w:w="8160"/>
          </w:tcPr>
          <w:p>
            <w:r>
              <w:rPr>
                <w:b w:val="0"/>
                <w:i w:val="0"/>
                <w:color w:val="22303C"/>
                <w:sz w:val="20"/>
              </w:rPr>
              <w:t>Quiz: treat perfective and imperfective verb answers as equal using the AI agent</w:t>
            </w:r>
          </w:p>
        </w:tc>
      </w:tr>
      <w:tr>
        <w:tc>
          <w:tcPr>
            <w:tcW w:type="dxa" w:w="1122"/>
          </w:tcPr>
          <w:p>
            <w:r>
              <w:rPr>
                <w:b w:val="0"/>
                <w:i w:val="0"/>
                <w:color w:val="22303C"/>
                <w:sz w:val="20"/>
              </w:rPr>
              <w:t>ai_agent</w:t>
            </w:r>
          </w:p>
        </w:tc>
        <w:tc>
          <w:tcPr>
            <w:tcW w:type="dxa" w:w="792"/>
          </w:tcPr>
          <w:p>
            <w:r>
              <w:rPr>
                <w:b w:val="0"/>
                <w:i w:val="0"/>
                <w:color w:val="2E6BA0"/>
                <w:sz w:val="20"/>
              </w:rPr>
              <w:t>#51</w:t>
            </w:r>
          </w:p>
        </w:tc>
        <w:tc>
          <w:tcPr>
            <w:tcW w:type="dxa" w:w="8160"/>
          </w:tcPr>
          <w:p>
            <w:r>
              <w:rPr>
                <w:b w:val="0"/>
                <w:i w:val="0"/>
                <w:color w:val="22303C"/>
                <w:sz w:val="20"/>
              </w:rPr>
              <w:t>Support user-preferred nicknames in place of email login</w:t>
            </w:r>
          </w:p>
        </w:tc>
      </w:tr>
      <w:tr>
        <w:tc>
          <w:tcPr>
            <w:tcW w:type="dxa" w:w="1122"/>
          </w:tcPr>
          <w:p>
            <w:r>
              <w:rPr>
                <w:b w:val="0"/>
                <w:i w:val="0"/>
                <w:color w:val="22303C"/>
                <w:sz w:val="20"/>
              </w:rPr>
              <w:t>kuantorflow</w:t>
            </w:r>
          </w:p>
        </w:tc>
        <w:tc>
          <w:tcPr>
            <w:tcW w:type="dxa" w:w="792"/>
          </w:tcPr>
          <w:p>
            <w:r>
              <w:rPr>
                <w:b w:val="0"/>
                <w:i w:val="0"/>
                <w:color w:val="2E6BA0"/>
                <w:sz w:val="20"/>
              </w:rPr>
              <w:t>#103</w:t>
            </w:r>
          </w:p>
        </w:tc>
        <w:tc>
          <w:tcPr>
            <w:tcW w:type="dxa" w:w="8160"/>
          </w:tcPr>
          <w:p>
            <w:r>
              <w:rPr>
                <w:b w:val="0"/>
                <w:i w:val="0"/>
                <w:color w:val="22303C"/>
                <w:sz w:val="20"/>
              </w:rPr>
              <w:t>Make Claude write test reports for each PR</w:t>
            </w:r>
          </w:p>
        </w:tc>
      </w:tr>
      <w:tr>
        <w:tc>
          <w:tcPr>
            <w:tcW w:type="dxa" w:w="1122"/>
          </w:tcPr>
          <w:p>
            <w:r>
              <w:rPr>
                <w:b w:val="0"/>
                <w:i w:val="0"/>
                <w:color w:val="22303C"/>
                <w:sz w:val="20"/>
              </w:rPr>
              <w:t>kuantorflow</w:t>
            </w:r>
          </w:p>
        </w:tc>
        <w:tc>
          <w:tcPr>
            <w:tcW w:type="dxa" w:w="792"/>
          </w:tcPr>
          <w:p>
            <w:r>
              <w:rPr>
                <w:b w:val="0"/>
                <w:i w:val="0"/>
                <w:color w:val="2E6BA0"/>
                <w:sz w:val="20"/>
              </w:rPr>
              <w:t>#104</w:t>
            </w:r>
          </w:p>
        </w:tc>
        <w:tc>
          <w:tcPr>
            <w:tcW w:type="dxa" w:w="8160"/>
          </w:tcPr>
          <w:p>
            <w:r>
              <w:rPr>
                <w:b w:val="0"/>
                <w:i w:val="0"/>
                <w:color w:val="22303C"/>
                <w:sz w:val="20"/>
              </w:rPr>
              <w:t>Use the Allura font for the 'Welcome to KuantorFlow' message</w:t>
            </w:r>
          </w:p>
        </w:tc>
      </w:tr>
    </w:tbl>
    <w:p>
      <w:pPr>
        <w:spacing w:after="40"/>
      </w:pPr>
    </w:p>
    <w:p>
      <w:pPr>
        <w:pStyle w:val="Heading2"/>
      </w:pPr>
      <w:r>
        <w:rPr>
          <w:b w:val="0"/>
          <w:i w:val="0"/>
          <w:color w:val="22303C"/>
          <w:sz w:val="25"/>
        </w:rPr>
        <w:t>In Progress</w:t>
      </w:r>
    </w:p>
    <w:tbl>
      <w:tblPr>
        <w:tblStyle w:val="TableGrid"/>
        <w:tblW w:type="auto" w:w="0"/>
        <w:jc w:val="left"/>
        <w:tblLayout w:type="fixed"/>
        <w:tblLook w:firstColumn="1" w:firstRow="1" w:lastColumn="0" w:lastRow="0" w:noHBand="0" w:noVBand="1" w:val="04A0"/>
      </w:tblPr>
      <w:tblGrid>
        <w:gridCol w:w="3283"/>
        <w:gridCol w:w="3283"/>
        <w:gridCol w:w="3283"/>
      </w:tblGrid>
      <w:tr>
        <w:tc>
          <w:tcPr>
            <w:tcW w:type="dxa" w:w="1539"/>
            <w:shd w:val="clear" w:fill="2E6BA0"/>
          </w:tcPr>
          <w:p>
            <w:r>
              <w:rPr>
                <w:b/>
                <w:i w:val="0"/>
                <w:color w:val="FFFFFF"/>
                <w:sz w:val="20"/>
              </w:rPr>
              <w:t>Repo</w:t>
            </w:r>
          </w:p>
        </w:tc>
        <w:tc>
          <w:tcPr>
            <w:tcW w:type="dxa" w:w="792"/>
            <w:shd w:val="clear" w:fill="2E6BA0"/>
          </w:tcPr>
          <w:p>
            <w:r>
              <w:rPr>
                <w:b/>
                <w:i w:val="0"/>
                <w:color w:val="FFFFFF"/>
                <w:sz w:val="20"/>
              </w:rPr>
              <w:t>Issue</w:t>
            </w:r>
          </w:p>
        </w:tc>
        <w:tc>
          <w:tcPr>
            <w:tcW w:type="dxa" w:w="7554"/>
            <w:shd w:val="clear" w:fill="2E6BA0"/>
          </w:tcPr>
          <w:p>
            <w:r>
              <w:rPr>
                <w:b/>
                <w:i w:val="0"/>
                <w:color w:val="FFFFFF"/>
                <w:sz w:val="20"/>
              </w:rPr>
              <w:t>Title</w:t>
            </w:r>
          </w:p>
        </w:tc>
      </w:tr>
      <w:tr>
        <w:tc>
          <w:tcPr>
            <w:tcW w:type="dxa" w:w="1539"/>
          </w:tcPr>
          <w:p>
            <w:r>
              <w:rPr>
                <w:b w:val="0"/>
                <w:i w:val="0"/>
                <w:color w:val="22303C"/>
                <w:sz w:val="20"/>
              </w:rPr>
              <w:t>kuantorflow</w:t>
            </w:r>
          </w:p>
        </w:tc>
        <w:tc>
          <w:tcPr>
            <w:tcW w:type="dxa" w:w="792"/>
          </w:tcPr>
          <w:p>
            <w:r>
              <w:rPr>
                <w:b w:val="0"/>
                <w:i w:val="0"/>
                <w:color w:val="2E6BA0"/>
                <w:sz w:val="20"/>
              </w:rPr>
              <w:t>#45</w:t>
            </w:r>
          </w:p>
        </w:tc>
        <w:tc>
          <w:tcPr>
            <w:tcW w:type="dxa" w:w="7554"/>
          </w:tcPr>
          <w:p>
            <w:r>
              <w:rPr>
                <w:b w:val="0"/>
                <w:i w:val="0"/>
                <w:color w:val="22303C"/>
                <w:sz w:val="20"/>
              </w:rPr>
              <w:t>UI: enhance behaviour of MHT-processing results window</w:t>
            </w:r>
          </w:p>
        </w:tc>
      </w:tr>
      <w:tr>
        <w:tc>
          <w:tcPr>
            <w:tcW w:type="dxa" w:w="1539"/>
          </w:tcPr>
          <w:p>
            <w:r>
              <w:rPr>
                <w:b w:val="0"/>
                <w:i w:val="0"/>
                <w:color w:val="22303C"/>
                <w:sz w:val="20"/>
              </w:rPr>
              <w:t>kuantorflow</w:t>
            </w:r>
          </w:p>
        </w:tc>
        <w:tc>
          <w:tcPr>
            <w:tcW w:type="dxa" w:w="792"/>
          </w:tcPr>
          <w:p>
            <w:r>
              <w:rPr>
                <w:b w:val="0"/>
                <w:i w:val="0"/>
                <w:color w:val="2E6BA0"/>
                <w:sz w:val="20"/>
              </w:rPr>
              <w:t>#55</w:t>
            </w:r>
          </w:p>
        </w:tc>
        <w:tc>
          <w:tcPr>
            <w:tcW w:type="dxa" w:w="7554"/>
          </w:tcPr>
          <w:p>
            <w:r>
              <w:rPr>
                <w:b w:val="0"/>
                <w:i w:val="0"/>
                <w:color w:val="22303C"/>
                <w:sz w:val="20"/>
              </w:rPr>
              <w:t>Make config.json unique for each Gmail user</w:t>
            </w:r>
          </w:p>
        </w:tc>
      </w:tr>
      <w:tr>
        <w:tc>
          <w:tcPr>
            <w:tcW w:type="dxa" w:w="1539"/>
          </w:tcPr>
          <w:p>
            <w:r>
              <w:rPr>
                <w:b w:val="0"/>
                <w:i w:val="0"/>
                <w:color w:val="22303C"/>
                <w:sz w:val="20"/>
              </w:rPr>
              <w:t>kuantorflow</w:t>
            </w:r>
          </w:p>
        </w:tc>
        <w:tc>
          <w:tcPr>
            <w:tcW w:type="dxa" w:w="792"/>
          </w:tcPr>
          <w:p>
            <w:r>
              <w:rPr>
                <w:b w:val="0"/>
                <w:i w:val="0"/>
                <w:color w:val="2E6BA0"/>
                <w:sz w:val="20"/>
              </w:rPr>
              <w:t>#30</w:t>
            </w:r>
          </w:p>
        </w:tc>
        <w:tc>
          <w:tcPr>
            <w:tcW w:type="dxa" w:w="7554"/>
          </w:tcPr>
          <w:p>
            <w:r>
              <w:rPr>
                <w:b w:val="0"/>
                <w:i w:val="0"/>
                <w:color w:val="22303C"/>
                <w:sz w:val="20"/>
              </w:rPr>
              <w:t>Create logs for various actions in the app</w:t>
            </w:r>
          </w:p>
        </w:tc>
      </w:tr>
      <w:tr>
        <w:tc>
          <w:tcPr>
            <w:tcW w:type="dxa" w:w="1539"/>
          </w:tcPr>
          <w:p>
            <w:r>
              <w:rPr>
                <w:b w:val="0"/>
                <w:i w:val="0"/>
                <w:color w:val="22303C"/>
                <w:sz w:val="20"/>
              </w:rPr>
              <w:t>kuantorflow</w:t>
            </w:r>
          </w:p>
        </w:tc>
        <w:tc>
          <w:tcPr>
            <w:tcW w:type="dxa" w:w="792"/>
          </w:tcPr>
          <w:p>
            <w:r>
              <w:rPr>
                <w:b w:val="0"/>
                <w:i w:val="0"/>
                <w:color w:val="2E6BA0"/>
                <w:sz w:val="20"/>
              </w:rPr>
              <w:t>#46</w:t>
            </w:r>
          </w:p>
        </w:tc>
        <w:tc>
          <w:tcPr>
            <w:tcW w:type="dxa" w:w="7554"/>
          </w:tcPr>
          <w:p>
            <w:r>
              <w:rPr>
                <w:b w:val="0"/>
                <w:i w:val="0"/>
                <w:color w:val="22303C"/>
                <w:sz w:val="20"/>
              </w:rPr>
              <w:t>Settings: add language visibility switches</w:t>
            </w:r>
          </w:p>
        </w:tc>
      </w:tr>
      <w:tr>
        <w:tc>
          <w:tcPr>
            <w:tcW w:type="dxa" w:w="1539"/>
          </w:tcPr>
          <w:p>
            <w:r>
              <w:rPr>
                <w:b w:val="0"/>
                <w:i w:val="0"/>
                <w:color w:val="22303C"/>
                <w:sz w:val="20"/>
              </w:rPr>
              <w:t>kuantorflow</w:t>
            </w:r>
          </w:p>
        </w:tc>
        <w:tc>
          <w:tcPr>
            <w:tcW w:type="dxa" w:w="792"/>
          </w:tcPr>
          <w:p>
            <w:r>
              <w:rPr>
                <w:b w:val="0"/>
                <w:i w:val="0"/>
                <w:color w:val="2E6BA0"/>
                <w:sz w:val="20"/>
              </w:rPr>
              <w:t>#84</w:t>
            </w:r>
          </w:p>
        </w:tc>
        <w:tc>
          <w:tcPr>
            <w:tcW w:type="dxa" w:w="7554"/>
          </w:tcPr>
          <w:p>
            <w:r>
              <w:rPr>
                <w:b w:val="0"/>
                <w:i w:val="0"/>
                <w:color w:val="22303C"/>
                <w:sz w:val="20"/>
              </w:rPr>
              <w:t>Darken the main page when the welcome popup is shown</w:t>
            </w:r>
          </w:p>
        </w:tc>
      </w:tr>
      <w:tr>
        <w:tc>
          <w:tcPr>
            <w:tcW w:type="dxa" w:w="1539"/>
          </w:tcPr>
          <w:p>
            <w:r>
              <w:rPr>
                <w:b w:val="0"/>
                <w:i w:val="0"/>
                <w:color w:val="22303C"/>
                <w:sz w:val="20"/>
              </w:rPr>
              <w:t>kuantorflow</w:t>
            </w:r>
          </w:p>
        </w:tc>
        <w:tc>
          <w:tcPr>
            <w:tcW w:type="dxa" w:w="792"/>
          </w:tcPr>
          <w:p>
            <w:r>
              <w:rPr>
                <w:b w:val="0"/>
                <w:i w:val="0"/>
                <w:color w:val="2E6BA0"/>
                <w:sz w:val="20"/>
              </w:rPr>
              <w:t>#85</w:t>
            </w:r>
          </w:p>
        </w:tc>
        <w:tc>
          <w:tcPr>
            <w:tcW w:type="dxa" w:w="7554"/>
          </w:tcPr>
          <w:p>
            <w:r>
              <w:rPr>
                <w:b w:val="0"/>
                <w:i w:val="0"/>
                <w:color w:val="22303C"/>
                <w:sz w:val="20"/>
              </w:rPr>
              <w:t>Full-screen widget mode with visible maximize button</w:t>
            </w:r>
          </w:p>
        </w:tc>
      </w:tr>
    </w:tbl>
    <w:p>
      <w:pPr>
        <w:spacing w:after="40"/>
      </w:pPr>
    </w:p>
    <w:p>
      <w:pPr>
        <w:pStyle w:val="Heading2"/>
      </w:pPr>
      <w:r>
        <w:rPr>
          <w:b w:val="0"/>
          <w:i w:val="0"/>
          <w:color w:val="22303C"/>
          <w:sz w:val="25"/>
        </w:rPr>
        <w:t>Todo</w:t>
      </w:r>
    </w:p>
    <w:tbl>
      <w:tblPr>
        <w:tblStyle w:val="TableGrid"/>
        <w:tblW w:type="auto" w:w="0"/>
        <w:jc w:val="left"/>
        <w:tblLayout w:type="fixed"/>
        <w:tblLook w:firstColumn="1" w:firstRow="1" w:lastColumn="0" w:lastRow="0" w:noHBand="0" w:noVBand="1" w:val="04A0"/>
      </w:tblPr>
      <w:tblGrid>
        <w:gridCol w:w="3283"/>
        <w:gridCol w:w="3283"/>
        <w:gridCol w:w="3283"/>
      </w:tblGrid>
      <w:tr>
        <w:tc>
          <w:tcPr>
            <w:tcW w:type="dxa" w:w="2052"/>
            <w:shd w:val="clear" w:fill="2E6BA0"/>
          </w:tcPr>
          <w:p>
            <w:r>
              <w:rPr>
                <w:b/>
                <w:i w:val="0"/>
                <w:color w:val="FFFFFF"/>
                <w:sz w:val="20"/>
              </w:rPr>
              <w:t>Repo</w:t>
            </w:r>
          </w:p>
        </w:tc>
        <w:tc>
          <w:tcPr>
            <w:tcW w:type="dxa" w:w="792"/>
            <w:shd w:val="clear" w:fill="2E6BA0"/>
          </w:tcPr>
          <w:p>
            <w:r>
              <w:rPr>
                <w:b/>
                <w:i w:val="0"/>
                <w:color w:val="FFFFFF"/>
                <w:sz w:val="20"/>
              </w:rPr>
              <w:t>Issue</w:t>
            </w:r>
          </w:p>
        </w:tc>
        <w:tc>
          <w:tcPr>
            <w:tcW w:type="dxa" w:w="7274"/>
            <w:shd w:val="clear" w:fill="2E6BA0"/>
          </w:tcPr>
          <w:p>
            <w:r>
              <w:rPr>
                <w:b/>
                <w:i w:val="0"/>
                <w:color w:val="FFFFFF"/>
                <w:sz w:val="20"/>
              </w:rPr>
              <w:t>Title</w:t>
            </w:r>
          </w:p>
        </w:tc>
      </w:tr>
      <w:tr>
        <w:tc>
          <w:tcPr>
            <w:tcW w:type="dxa" w:w="2052"/>
          </w:tcPr>
          <w:p>
            <w:r>
              <w:rPr>
                <w:b w:val="0"/>
                <w:i w:val="0"/>
                <w:color w:val="22303C"/>
                <w:sz w:val="20"/>
              </w:rPr>
              <w:t>kuantorflow</w:t>
            </w:r>
          </w:p>
        </w:tc>
        <w:tc>
          <w:tcPr>
            <w:tcW w:type="dxa" w:w="792"/>
          </w:tcPr>
          <w:p>
            <w:r>
              <w:rPr>
                <w:b w:val="0"/>
                <w:i w:val="0"/>
                <w:color w:val="2E6BA0"/>
                <w:sz w:val="20"/>
              </w:rPr>
              <w:t>#22</w:t>
            </w:r>
          </w:p>
        </w:tc>
        <w:tc>
          <w:tcPr>
            <w:tcW w:type="dxa" w:w="7274"/>
          </w:tcPr>
          <w:p>
            <w:r>
              <w:rPr>
                <w:b w:val="0"/>
                <w:i w:val="0"/>
                <w:color w:val="22303C"/>
                <w:sz w:val="20"/>
              </w:rPr>
              <w:t>Redesign website for a modern look</w:t>
            </w:r>
          </w:p>
        </w:tc>
      </w:tr>
      <w:tr>
        <w:tc>
          <w:tcPr>
            <w:tcW w:type="dxa" w:w="2052"/>
          </w:tcPr>
          <w:p>
            <w:r>
              <w:rPr>
                <w:b w:val="0"/>
                <w:i w:val="0"/>
                <w:color w:val="22303C"/>
                <w:sz w:val="20"/>
              </w:rPr>
              <w:t>kuantorflow</w:t>
            </w:r>
          </w:p>
        </w:tc>
        <w:tc>
          <w:tcPr>
            <w:tcW w:type="dxa" w:w="792"/>
          </w:tcPr>
          <w:p>
            <w:r>
              <w:rPr>
                <w:b w:val="0"/>
                <w:i w:val="0"/>
                <w:color w:val="2E6BA0"/>
                <w:sz w:val="20"/>
              </w:rPr>
              <w:t>#74</w:t>
            </w:r>
          </w:p>
        </w:tc>
        <w:tc>
          <w:tcPr>
            <w:tcW w:type="dxa" w:w="7274"/>
          </w:tcPr>
          <w:p>
            <w:r>
              <w:rPr>
                <w:b w:val="0"/>
                <w:i w:val="0"/>
                <w:color w:val="22303C"/>
                <w:sz w:val="20"/>
              </w:rPr>
              <w:t>Dark theme for the website</w:t>
            </w:r>
          </w:p>
        </w:tc>
      </w:tr>
      <w:tr>
        <w:tc>
          <w:tcPr>
            <w:tcW w:type="dxa" w:w="2052"/>
          </w:tcPr>
          <w:p>
            <w:r>
              <w:rPr>
                <w:b w:val="0"/>
                <w:i w:val="0"/>
                <w:color w:val="22303C"/>
                <w:sz w:val="20"/>
              </w:rPr>
              <w:t>kuantorflow</w:t>
            </w:r>
          </w:p>
        </w:tc>
        <w:tc>
          <w:tcPr>
            <w:tcW w:type="dxa" w:w="792"/>
          </w:tcPr>
          <w:p>
            <w:r>
              <w:rPr>
                <w:b w:val="0"/>
                <w:i w:val="0"/>
                <w:color w:val="2E6BA0"/>
                <w:sz w:val="20"/>
              </w:rPr>
              <w:t>#78</w:t>
            </w:r>
          </w:p>
        </w:tc>
        <w:tc>
          <w:tcPr>
            <w:tcW w:type="dxa" w:w="7274"/>
          </w:tcPr>
          <w:p>
            <w:r>
              <w:rPr>
                <w:b w:val="0"/>
                <w:i w:val="0"/>
                <w:color w:val="22303C"/>
                <w:sz w:val="20"/>
              </w:rPr>
              <w:t>Flashcards activity with Quizlet-style animation</w:t>
            </w:r>
          </w:p>
        </w:tc>
      </w:tr>
      <w:tr>
        <w:tc>
          <w:tcPr>
            <w:tcW w:type="dxa" w:w="2052"/>
          </w:tcPr>
          <w:p>
            <w:r>
              <w:rPr>
                <w:b w:val="0"/>
                <w:i w:val="0"/>
                <w:color w:val="22303C"/>
                <w:sz w:val="20"/>
              </w:rPr>
              <w:t>kuantorflow</w:t>
            </w:r>
          </w:p>
        </w:tc>
        <w:tc>
          <w:tcPr>
            <w:tcW w:type="dxa" w:w="792"/>
          </w:tcPr>
          <w:p>
            <w:r>
              <w:rPr>
                <w:b w:val="0"/>
                <w:i w:val="0"/>
                <w:color w:val="2E6BA0"/>
                <w:sz w:val="20"/>
              </w:rPr>
              <w:t>#79</w:t>
            </w:r>
          </w:p>
        </w:tc>
        <w:tc>
          <w:tcPr>
            <w:tcW w:type="dxa" w:w="7274"/>
          </w:tcPr>
          <w:p>
            <w:r>
              <w:rPr>
                <w:b w:val="0"/>
                <w:i w:val="0"/>
                <w:color w:val="22303C"/>
                <w:sz w:val="20"/>
              </w:rPr>
              <w:t>Language disable checkboxes in Settings</w:t>
            </w:r>
          </w:p>
        </w:tc>
      </w:tr>
      <w:tr>
        <w:tc>
          <w:tcPr>
            <w:tcW w:type="dxa" w:w="2052"/>
          </w:tcPr>
          <w:p>
            <w:r>
              <w:rPr>
                <w:b w:val="0"/>
                <w:i w:val="0"/>
                <w:color w:val="22303C"/>
                <w:sz w:val="20"/>
              </w:rPr>
              <w:t>kuantorflow</w:t>
            </w:r>
          </w:p>
        </w:tc>
        <w:tc>
          <w:tcPr>
            <w:tcW w:type="dxa" w:w="792"/>
          </w:tcPr>
          <w:p>
            <w:r>
              <w:rPr>
                <w:b w:val="0"/>
                <w:i w:val="0"/>
                <w:color w:val="2E6BA0"/>
                <w:sz w:val="20"/>
              </w:rPr>
              <w:t>#94</w:t>
            </w:r>
          </w:p>
        </w:tc>
        <w:tc>
          <w:tcPr>
            <w:tcW w:type="dxa" w:w="7274"/>
          </w:tcPr>
          <w:p>
            <w:r>
              <w:rPr>
                <w:b w:val="0"/>
                <w:i w:val="0"/>
                <w:color w:val="22303C"/>
                <w:sz w:val="20"/>
              </w:rPr>
              <w:t>Spaced-repetition review mode (SM-2)</w:t>
            </w:r>
          </w:p>
        </w:tc>
      </w:tr>
      <w:tr>
        <w:tc>
          <w:tcPr>
            <w:tcW w:type="dxa" w:w="2052"/>
          </w:tcPr>
          <w:p>
            <w:r>
              <w:rPr>
                <w:b w:val="0"/>
                <w:i w:val="0"/>
                <w:color w:val="22303C"/>
                <w:sz w:val="20"/>
              </w:rPr>
              <w:t>kuantorflow</w:t>
            </w:r>
          </w:p>
        </w:tc>
        <w:tc>
          <w:tcPr>
            <w:tcW w:type="dxa" w:w="792"/>
          </w:tcPr>
          <w:p>
            <w:r>
              <w:rPr>
                <w:b w:val="0"/>
                <w:i w:val="0"/>
                <w:color w:val="2E6BA0"/>
                <w:sz w:val="20"/>
              </w:rPr>
              <w:t>#75</w:t>
            </w:r>
          </w:p>
        </w:tc>
        <w:tc>
          <w:tcPr>
            <w:tcW w:type="dxa" w:w="7274"/>
          </w:tcPr>
          <w:p>
            <w:r>
              <w:rPr>
                <w:b w:val="0"/>
                <w:i w:val="0"/>
                <w:color w:val="22303C"/>
                <w:sz w:val="20"/>
              </w:rPr>
              <w:t>About popup: agent's widget overlaps with it</w:t>
            </w:r>
          </w:p>
        </w:tc>
      </w:tr>
      <w:tr>
        <w:tc>
          <w:tcPr>
            <w:tcW w:type="dxa" w:w="2052"/>
          </w:tcPr>
          <w:p>
            <w:r>
              <w:rPr>
                <w:b w:val="0"/>
                <w:i w:val="0"/>
                <w:color w:val="22303C"/>
                <w:sz w:val="20"/>
              </w:rPr>
              <w:t>kuantorflow</w:t>
            </w:r>
          </w:p>
        </w:tc>
        <w:tc>
          <w:tcPr>
            <w:tcW w:type="dxa" w:w="792"/>
          </w:tcPr>
          <w:p>
            <w:r>
              <w:rPr>
                <w:b w:val="0"/>
                <w:i w:val="0"/>
                <w:color w:val="2E6BA0"/>
                <w:sz w:val="20"/>
              </w:rPr>
              <w:t>#76</w:t>
            </w:r>
          </w:p>
        </w:tc>
        <w:tc>
          <w:tcPr>
            <w:tcW w:type="dxa" w:w="7274"/>
          </w:tcPr>
          <w:p>
            <w:r>
              <w:rPr>
                <w:b w:val="0"/>
                <w:i w:val="0"/>
                <w:color w:val="22303C"/>
                <w:sz w:val="20"/>
              </w:rPr>
              <w:t>Scheduled recaps with random log selection</w:t>
            </w:r>
          </w:p>
        </w:tc>
      </w:tr>
      <w:tr>
        <w:tc>
          <w:tcPr>
            <w:tcW w:type="dxa" w:w="2052"/>
          </w:tcPr>
          <w:p>
            <w:r>
              <w:rPr>
                <w:b w:val="0"/>
                <w:i w:val="0"/>
                <w:color w:val="22303C"/>
                <w:sz w:val="20"/>
              </w:rPr>
              <w:t>kuantorflow</w:t>
            </w:r>
          </w:p>
        </w:tc>
        <w:tc>
          <w:tcPr>
            <w:tcW w:type="dxa" w:w="792"/>
          </w:tcPr>
          <w:p>
            <w:r>
              <w:rPr>
                <w:b w:val="0"/>
                <w:i w:val="0"/>
                <w:color w:val="2E6BA0"/>
                <w:sz w:val="20"/>
              </w:rPr>
              <w:t>#25</w:t>
            </w:r>
          </w:p>
        </w:tc>
        <w:tc>
          <w:tcPr>
            <w:tcW w:type="dxa" w:w="7274"/>
          </w:tcPr>
          <w:p>
            <w:r>
              <w:rPr>
                <w:b w:val="0"/>
                <w:i w:val="0"/>
                <w:color w:val="22303C"/>
                <w:sz w:val="20"/>
              </w:rPr>
              <w:t>Export/import cards (local ↔ remote database)</w:t>
            </w:r>
          </w:p>
        </w:tc>
      </w:tr>
      <w:tr>
        <w:tc>
          <w:tcPr>
            <w:tcW w:type="dxa" w:w="2052"/>
          </w:tcPr>
          <w:p>
            <w:r>
              <w:rPr>
                <w:b w:val="0"/>
                <w:i w:val="0"/>
                <w:color w:val="22303C"/>
                <w:sz w:val="20"/>
              </w:rPr>
              <w:t>kuantorflow</w:t>
            </w:r>
          </w:p>
        </w:tc>
        <w:tc>
          <w:tcPr>
            <w:tcW w:type="dxa" w:w="792"/>
          </w:tcPr>
          <w:p>
            <w:r>
              <w:rPr>
                <w:b w:val="0"/>
                <w:i w:val="0"/>
                <w:color w:val="2E6BA0"/>
                <w:sz w:val="20"/>
              </w:rPr>
              <w:t>#19</w:t>
            </w:r>
          </w:p>
        </w:tc>
        <w:tc>
          <w:tcPr>
            <w:tcW w:type="dxa" w:w="7274"/>
          </w:tcPr>
          <w:p>
            <w:r>
              <w:rPr>
                <w:b w:val="0"/>
                <w:i w:val="0"/>
                <w:color w:val="22303C"/>
                <w:sz w:val="20"/>
              </w:rPr>
              <w:t>Tutorial tip above "Look Up &amp; Save" button</w:t>
            </w:r>
          </w:p>
        </w:tc>
      </w:tr>
      <w:tr>
        <w:tc>
          <w:tcPr>
            <w:tcW w:type="dxa" w:w="2052"/>
          </w:tcPr>
          <w:p>
            <w:r>
              <w:rPr>
                <w:b w:val="0"/>
                <w:i w:val="0"/>
                <w:color w:val="22303C"/>
                <w:sz w:val="20"/>
              </w:rPr>
              <w:t>kuantorflow</w:t>
            </w:r>
          </w:p>
        </w:tc>
        <w:tc>
          <w:tcPr>
            <w:tcW w:type="dxa" w:w="792"/>
          </w:tcPr>
          <w:p>
            <w:r>
              <w:rPr>
                <w:b w:val="0"/>
                <w:i w:val="0"/>
                <w:color w:val="2E6BA0"/>
                <w:sz w:val="20"/>
              </w:rPr>
              <w:t>#56</w:t>
            </w:r>
          </w:p>
        </w:tc>
        <w:tc>
          <w:tcPr>
            <w:tcW w:type="dxa" w:w="7274"/>
          </w:tcPr>
          <w:p>
            <w:r>
              <w:rPr>
                <w:b w:val="0"/>
                <w:i w:val="0"/>
                <w:color w:val="22303C"/>
                <w:sz w:val="20"/>
              </w:rPr>
              <w:t>Discussion: privacy disclosure &amp; history bootstrap for per-user chat memory</w:t>
            </w:r>
          </w:p>
        </w:tc>
      </w:tr>
      <w:tr>
        <w:tc>
          <w:tcPr>
            <w:tcW w:type="dxa" w:w="2052"/>
          </w:tcPr>
          <w:p>
            <w:r>
              <w:rPr>
                <w:b w:val="0"/>
                <w:i w:val="0"/>
                <w:color w:val="22303C"/>
                <w:sz w:val="20"/>
              </w:rPr>
              <w:t>kuantorflow</w:t>
            </w:r>
          </w:p>
        </w:tc>
        <w:tc>
          <w:tcPr>
            <w:tcW w:type="dxa" w:w="792"/>
          </w:tcPr>
          <w:p>
            <w:r>
              <w:rPr>
                <w:b w:val="0"/>
                <w:i w:val="0"/>
                <w:color w:val="2E6BA0"/>
                <w:sz w:val="20"/>
              </w:rPr>
              <w:t>#66</w:t>
            </w:r>
          </w:p>
        </w:tc>
        <w:tc>
          <w:tcPr>
            <w:tcW w:type="dxa" w:w="7274"/>
          </w:tcPr>
          <w:p>
            <w:r>
              <w:rPr>
                <w:b w:val="0"/>
                <w:i w:val="0"/>
                <w:color w:val="22303C"/>
                <w:sz w:val="20"/>
              </w:rPr>
              <w:t>Create a separate board for done items</w:t>
            </w:r>
          </w:p>
        </w:tc>
      </w:tr>
      <w:tr>
        <w:tc>
          <w:tcPr>
            <w:tcW w:type="dxa" w:w="2052"/>
          </w:tcPr>
          <w:p>
            <w:r>
              <w:rPr>
                <w:b w:val="0"/>
                <w:i w:val="0"/>
                <w:color w:val="22303C"/>
                <w:sz w:val="20"/>
              </w:rPr>
              <w:t>ai_agent</w:t>
            </w:r>
          </w:p>
        </w:tc>
        <w:tc>
          <w:tcPr>
            <w:tcW w:type="dxa" w:w="792"/>
          </w:tcPr>
          <w:p>
            <w:r>
              <w:rPr>
                <w:b w:val="0"/>
                <w:i w:val="0"/>
                <w:color w:val="2E6BA0"/>
                <w:sz w:val="20"/>
              </w:rPr>
              <w:t>#19</w:t>
            </w:r>
          </w:p>
        </w:tc>
        <w:tc>
          <w:tcPr>
            <w:tcW w:type="dxa" w:w="7274"/>
          </w:tcPr>
          <w:p>
            <w:r>
              <w:rPr>
                <w:b w:val="0"/>
                <w:i w:val="0"/>
                <w:color w:val="22303C"/>
                <w:sz w:val="20"/>
              </w:rPr>
              <w:t>Teach Mykola to complement and extend the meanings of cards</w:t>
            </w:r>
          </w:p>
        </w:tc>
      </w:tr>
      <w:tr>
        <w:tc>
          <w:tcPr>
            <w:tcW w:type="dxa" w:w="2052"/>
          </w:tcPr>
          <w:p>
            <w:r>
              <w:rPr>
                <w:b w:val="0"/>
                <w:i w:val="0"/>
                <w:color w:val="22303C"/>
                <w:sz w:val="20"/>
              </w:rPr>
              <w:t>ai_agent</w:t>
            </w:r>
          </w:p>
        </w:tc>
        <w:tc>
          <w:tcPr>
            <w:tcW w:type="dxa" w:w="792"/>
          </w:tcPr>
          <w:p>
            <w:r>
              <w:rPr>
                <w:b w:val="0"/>
                <w:i w:val="0"/>
                <w:color w:val="2E6BA0"/>
                <w:sz w:val="20"/>
              </w:rPr>
              <w:t>#47</w:t>
            </w:r>
          </w:p>
        </w:tc>
        <w:tc>
          <w:tcPr>
            <w:tcW w:type="dxa" w:w="7274"/>
          </w:tcPr>
          <w:p>
            <w:r>
              <w:rPr>
                <w:b w:val="0"/>
                <w:i w:val="0"/>
                <w:color w:val="22303C"/>
                <w:sz w:val="20"/>
              </w:rPr>
              <w:t>Audit issue-61 changes: remove/refactor code not needed by the embedded widget</w:t>
            </w:r>
          </w:p>
        </w:tc>
      </w:tr>
      <w:tr>
        <w:tc>
          <w:tcPr>
            <w:tcW w:type="dxa" w:w="2052"/>
          </w:tcPr>
          <w:p>
            <w:r>
              <w:rPr>
                <w:b w:val="0"/>
                <w:i w:val="0"/>
                <w:color w:val="22303C"/>
                <w:sz w:val="20"/>
              </w:rPr>
              <w:t>ai_agent</w:t>
            </w:r>
          </w:p>
        </w:tc>
        <w:tc>
          <w:tcPr>
            <w:tcW w:type="dxa" w:w="792"/>
          </w:tcPr>
          <w:p>
            <w:r>
              <w:rPr>
                <w:b w:val="0"/>
                <w:i w:val="0"/>
                <w:color w:val="2E6BA0"/>
                <w:sz w:val="20"/>
              </w:rPr>
              <w:t>#49</w:t>
            </w:r>
          </w:p>
        </w:tc>
        <w:tc>
          <w:tcPr>
            <w:tcW w:type="dxa" w:w="7274"/>
          </w:tcPr>
          <w:p>
            <w:r>
              <w:rPr>
                <w:b w:val="0"/>
                <w:i w:val="0"/>
                <w:color w:val="22303C"/>
                <w:sz w:val="20"/>
              </w:rPr>
              <w:t>Runner setting for number of last logs</w:t>
            </w:r>
          </w:p>
        </w:tc>
      </w:tr>
      <w:tr>
        <w:tc>
          <w:tcPr>
            <w:tcW w:type="dxa" w:w="2052"/>
          </w:tcPr>
          <w:p>
            <w:r>
              <w:rPr>
                <w:b w:val="0"/>
                <w:i w:val="0"/>
                <w:color w:val="22303C"/>
                <w:sz w:val="20"/>
              </w:rPr>
              <w:t>ai_agent</w:t>
            </w:r>
          </w:p>
        </w:tc>
        <w:tc>
          <w:tcPr>
            <w:tcW w:type="dxa" w:w="792"/>
          </w:tcPr>
          <w:p>
            <w:r>
              <w:rPr>
                <w:b w:val="0"/>
                <w:i w:val="0"/>
                <w:color w:val="2E6BA0"/>
                <w:sz w:val="20"/>
              </w:rPr>
              <w:t>#50</w:t>
            </w:r>
          </w:p>
        </w:tc>
        <w:tc>
          <w:tcPr>
            <w:tcW w:type="dxa" w:w="7274"/>
          </w:tcPr>
          <w:p>
            <w:r>
              <w:rPr>
                <w:b w:val="0"/>
                <w:i w:val="0"/>
                <w:color w:val="22303C"/>
                <w:sz w:val="20"/>
              </w:rPr>
              <w:t>Make Mykola think faster?</w:t>
            </w:r>
          </w:p>
        </w:tc>
      </w:tr>
      <w:tr>
        <w:tc>
          <w:tcPr>
            <w:tcW w:type="dxa" w:w="2052"/>
          </w:tcPr>
          <w:p>
            <w:r>
              <w:rPr>
                <w:b w:val="0"/>
                <w:i w:val="0"/>
                <w:color w:val="22303C"/>
                <w:sz w:val="20"/>
              </w:rPr>
              <w:t>kuantorflow_automation</w:t>
            </w:r>
          </w:p>
        </w:tc>
        <w:tc>
          <w:tcPr>
            <w:tcW w:type="dxa" w:w="792"/>
          </w:tcPr>
          <w:p>
            <w:r>
              <w:rPr>
                <w:b w:val="0"/>
                <w:i w:val="0"/>
                <w:color w:val="2E6BA0"/>
                <w:sz w:val="20"/>
              </w:rPr>
              <w:t>#4</w:t>
            </w:r>
          </w:p>
        </w:tc>
        <w:tc>
          <w:tcPr>
            <w:tcW w:type="dxa" w:w="7274"/>
          </w:tcPr>
          <w:p>
            <w:r>
              <w:rPr>
                <w:b w:val="0"/>
                <w:i w:val="0"/>
                <w:color w:val="22303C"/>
                <w:sz w:val="20"/>
              </w:rPr>
              <w:t>Basic automated tests for the AI agent</w:t>
            </w:r>
          </w:p>
        </w:tc>
      </w:tr>
    </w:tbl>
    <w:p>
      <w:pPr>
        <w:spacing w:after="40"/>
      </w:pPr>
    </w:p>
    <w:p>
      <w:pPr>
        <w:pStyle w:val="Heading2"/>
      </w:pPr>
      <w:r>
        <w:rPr>
          <w:b w:val="0"/>
          <w:i w:val="0"/>
          <w:color w:val="22303C"/>
          <w:sz w:val="25"/>
        </w:rPr>
        <w:t>Deployment follow-ups (carried on the tickets)</w:t>
      </w:r>
    </w:p>
    <w:p>
      <w:pPr>
        <w:pStyle w:val="ListBullet"/>
        <w:spacing w:after="80"/>
      </w:pPr>
      <w:r>
        <w:rPr>
          <w:b w:val="0"/>
          <w:i w:val="0"/>
          <w:color w:val="22303C"/>
          <w:sz w:val="22"/>
        </w:rPr>
        <w:t>Pull both repos on PythonAnywhere and reload (no new dependencies).</w:t>
      </w:r>
    </w:p>
    <w:p>
      <w:pPr>
        <w:pStyle w:val="ListBullet"/>
        <w:spacing w:after="80"/>
      </w:pPr>
      <w:r>
        <w:rPr>
          <w:b w:val="0"/>
          <w:i w:val="0"/>
          <w:color w:val="22303C"/>
          <w:sz w:val="22"/>
        </w:rPr>
        <w:t xml:space="preserve">Run </w:t>
      </w:r>
      <w:r>
        <w:rPr>
          <w:rFonts w:ascii="Consolas" w:hAnsi="Consolas"/>
          <w:b w:val="0"/>
          <w:i w:val="0"/>
          <w:color w:val="22303C"/>
          <w:sz w:val="22"/>
        </w:rPr>
        <w:t>maintenance/dedup_flashcards.py</w:t>
      </w:r>
      <w:r>
        <w:rPr>
          <w:b w:val="0"/>
          <w:i w:val="0"/>
          <w:color w:val="22303C"/>
          <w:sz w:val="22"/>
        </w:rPr>
        <w:t xml:space="preserve"> once against the live database (backup → dry run → </w:t>
      </w:r>
      <w:r>
        <w:rPr>
          <w:rFonts w:ascii="Consolas" w:hAnsi="Consolas"/>
          <w:b w:val="0"/>
          <w:i w:val="0"/>
          <w:color w:val="22303C"/>
          <w:sz w:val="22"/>
        </w:rPr>
        <w:t>--apply</w:t>
      </w:r>
      <w:r>
        <w:rPr>
          <w:b w:val="0"/>
          <w:i w:val="0"/>
          <w:color w:val="22303C"/>
          <w:sz w:val="22"/>
        </w:rPr>
        <w:t xml:space="preserve">), per the note on </w:t>
      </w:r>
      <w:r>
        <w:rPr>
          <w:b w:val="0"/>
          <w:i w:val="0"/>
          <w:color w:val="2E6BA0"/>
          <w:sz w:val="22"/>
        </w:rPr>
        <w:t>#101</w:t>
      </w:r>
      <w:r>
        <w:rPr>
          <w:b w:val="0"/>
          <w:i w:val="0"/>
          <w:color w:val="22303C"/>
          <w:sz w:val="22"/>
        </w:rPr>
        <w:t>.</w:t>
      </w:r>
    </w:p>
    <w:p>
      <w:pPr>
        <w:pStyle w:val="ListBullet"/>
        <w:spacing w:after="80"/>
      </w:pPr>
      <w:r>
        <w:rPr>
          <w:b w:val="0"/>
          <w:i w:val="0"/>
          <w:color w:val="22303C"/>
          <w:sz w:val="22"/>
        </w:rPr>
        <w:t xml:space="preserve">Check that Bing/Oxford/Merriam-Webster are reachable from PythonAnywhere's IPs, per the note on </w:t>
      </w:r>
      <w:r>
        <w:rPr>
          <w:b w:val="0"/>
          <w:i w:val="0"/>
          <w:color w:val="2E6BA0"/>
          <w:sz w:val="22"/>
        </w:rPr>
        <w:t>#21</w:t>
      </w:r>
      <w:r>
        <w:rPr>
          <w:b w:val="0"/>
          <w:i w:val="0"/>
          <w:color w:val="22303C"/>
          <w:sz w:val="22"/>
        </w:rPr>
        <w:t xml:space="preserve"> — fallbacks keep lookups working either way.</w:t>
      </w:r>
    </w:p>
    <w:p>
      <w:pPr>
        <w:pBdr>
          <w:bottom w:val="single" w:sz="8" w:color="D9B13C"/>
        </w:pBdr>
      </w:pPr>
    </w:p>
    <w:p>
      <w:pPr>
        <w:spacing w:after="120"/>
      </w:pPr>
      <w:r>
        <w:rPr>
          <w:b w:val="0"/>
          <w:i/>
          <w:color w:val="22303C"/>
          <w:sz w:val="22"/>
        </w:rPr>
        <w:t>Report generated 17 July 2026 from GitHub PR, issue, and commit data across the three repositories, and from the KuantorFlow Improvements project board. Merged-PR window: 14 July 2026 (kuantorflow#95) through 17 July 2026 (kuantorflow#107, kuantorflow_automation#10).</w:t>
      </w:r>
    </w:p>
    <w:sectPr w:rsidR="00FC693F" w:rsidRPr="0006063C" w:rsidSect="00034616">
      <w:pgSz w:w="12240" w:h="15840"/>
      <w:pgMar w:top="1080" w:right="1195" w:bottom="1080"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6BA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303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