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2E6BA0"/>
          <w:sz w:val="48"/>
        </w:rPr>
        <w:t>KuantorFlow — Weekly Development Report</w:t>
      </w:r>
    </w:p>
    <w:p>
      <w:pPr>
        <w:spacing w:after="120"/>
      </w:pPr>
      <w:r>
        <w:rPr>
          <w:b/>
          <w:i w:val="0"/>
          <w:color w:val="22303C"/>
          <w:sz w:val="22"/>
        </w:rPr>
        <w:t>Period:</w:t>
      </w:r>
      <w:r>
        <w:rPr>
          <w:b w:val="0"/>
          <w:i w:val="0"/>
          <w:color w:val="22303C"/>
          <w:sz w:val="22"/>
        </w:rPr>
        <w:t xml:space="preserve"> 18–24 July 2026 · </w:t>
      </w:r>
      <w:r>
        <w:rPr>
          <w:b/>
          <w:i w:val="0"/>
          <w:color w:val="22303C"/>
          <w:sz w:val="22"/>
        </w:rPr>
        <w:t>Repositories:</w:t>
      </w:r>
      <w:r>
        <w:rPr>
          <w:b w:val="0"/>
          <w:i w:val="0"/>
          <w:color w:val="22303C"/>
          <w:sz w:val="22"/>
        </w:rPr>
        <w:t xml:space="preserve"> </w:t>
      </w:r>
      <w:r>
        <w:rPr>
          <w:b w:val="0"/>
          <w:i w:val="0"/>
          <w:color w:val="2E6BA0"/>
          <w:sz w:val="22"/>
        </w:rPr>
        <w:t>kuantorflow</w:t>
      </w:r>
      <w:r>
        <w:rPr>
          <w:b w:val="0"/>
          <w:i w:val="0"/>
          <w:color w:val="22303C"/>
          <w:sz w:val="22"/>
        </w:rPr>
        <w:t xml:space="preserve">, </w:t>
      </w:r>
      <w:r>
        <w:rPr>
          <w:b w:val="0"/>
          <w:i w:val="0"/>
          <w:color w:val="2E6BA0"/>
          <w:sz w:val="22"/>
        </w:rPr>
        <w:t>ai_agent</w:t>
      </w:r>
      <w:r>
        <w:rPr>
          <w:b w:val="0"/>
          <w:i w:val="0"/>
          <w:color w:val="22303C"/>
          <w:sz w:val="22"/>
        </w:rPr>
        <w:t xml:space="preserve">, </w:t>
      </w:r>
      <w:r>
        <w:rPr>
          <w:b w:val="0"/>
          <w:i w:val="0"/>
          <w:color w:val="2E6BA0"/>
          <w:sz w:val="22"/>
        </w:rPr>
        <w:t>kuantorflow_automation</w:t>
      </w:r>
    </w:p>
    <w:p>
      <w:pPr>
        <w:pBdr>
          <w:bottom w:val="single" w:sz="8" w:color="D9B13C"/>
        </w:pBdr>
      </w:pPr>
    </w:p>
    <w:p>
      <w:pPr>
        <w:pStyle w:val="Heading1"/>
      </w:pPr>
      <w:r>
        <w:rPr>
          <w:b w:val="0"/>
          <w:i w:val="0"/>
          <w:color w:val="2E6BA0"/>
          <w:sz w:val="30"/>
        </w:rPr>
        <w:t>Executive Summary</w:t>
      </w:r>
    </w:p>
    <w:p>
      <w:pPr>
        <w:spacing w:after="120"/>
      </w:pPr>
      <w:r>
        <w:rPr>
          <w:b w:val="0"/>
          <w:i w:val="0"/>
          <w:color w:val="22303C"/>
          <w:sz w:val="22"/>
        </w:rPr>
        <w:t xml:space="preserve">This week finished and hardened the </w:t>
      </w:r>
      <w:r>
        <w:rPr>
          <w:b/>
          <w:i w:val="0"/>
          <w:color w:val="22303C"/>
          <w:sz w:val="22"/>
        </w:rPr>
        <w:t>Settings platform</w:t>
      </w:r>
      <w:r>
        <w:rPr>
          <w:b w:val="0"/>
          <w:i w:val="0"/>
          <w:color w:val="22303C"/>
          <w:sz w:val="22"/>
        </w:rPr>
        <w:t xml:space="preserve">, grew </w:t>
      </w:r>
      <w:r>
        <w:rPr>
          <w:b/>
          <w:i w:val="0"/>
          <w:color w:val="22303C"/>
          <w:sz w:val="22"/>
        </w:rPr>
        <w:t>Mykola</w:t>
      </w:r>
      <w:r>
        <w:rPr>
          <w:b w:val="0"/>
          <w:i w:val="0"/>
          <w:color w:val="22303C"/>
          <w:sz w:val="22"/>
        </w:rPr>
        <w:t xml:space="preserve"> into a more capable companion, and added genuinely new </w:t>
      </w:r>
      <w:r>
        <w:rPr>
          <w:b/>
          <w:i w:val="0"/>
          <w:color w:val="22303C"/>
          <w:sz w:val="22"/>
        </w:rPr>
        <w:t>study and content</w:t>
      </w:r>
      <w:r>
        <w:rPr>
          <w:b w:val="0"/>
          <w:i w:val="0"/>
          <w:color w:val="22303C"/>
          <w:sz w:val="22"/>
        </w:rPr>
        <w:t xml:space="preserve"> features — a flip-card deck, a Reverso copy-paste parser with AI-assisted translation splitting, and an early duplicate-word warning. </w:t>
      </w:r>
      <w:r>
        <w:rPr>
          <w:b/>
          <w:i w:val="0"/>
          <w:color w:val="22303C"/>
          <w:sz w:val="22"/>
        </w:rPr>
        <w:t>19 pull requests merged</w:t>
      </w:r>
      <w:r>
        <w:rPr>
          <w:b w:val="0"/>
          <w:i w:val="0"/>
          <w:color w:val="22303C"/>
          <w:sz w:val="22"/>
        </w:rPr>
        <w:t xml:space="preserve"> across the three repositories, and the regression suite grew to </w:t>
      </w:r>
      <w:r>
        <w:rPr>
          <w:b/>
          <w:i w:val="0"/>
          <w:color w:val="22303C"/>
          <w:sz w:val="22"/>
        </w:rPr>
        <w:t>114 passing offline tests</w:t>
      </w:r>
      <w:r>
        <w:rPr>
          <w:b w:val="0"/>
          <w:i w:val="0"/>
          <w:color w:val="22303C"/>
          <w:sz w:val="22"/>
        </w:rPr>
        <w:t xml:space="preserve"> — every feature now shipped with a parallel test PR and, for the significant ones, a committed test report.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2534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6106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Role this week</w:t>
            </w:r>
          </w:p>
        </w:tc>
        <w:tc>
          <w:tcPr>
            <w:tcW w:type="dxa" w:w="1152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Merged PRs</w:t>
            </w:r>
          </w:p>
        </w:tc>
      </w:tr>
      <w:tr>
        <w:tc>
          <w:tcPr>
            <w:tcW w:type="dxa" w:w="2534"/>
          </w:tcPr>
          <w:p>
            <w:r>
              <w:rPr>
                <w:b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6106"/>
          </w:tcPr>
          <w:p>
            <w:r>
              <w:rPr>
                <w:b w:val="0"/>
                <w:i w:val="0"/>
                <w:color w:val="22303C"/>
                <w:sz w:val="20"/>
              </w:rPr>
              <w:t>Settings hardening, study/content features, UI polish</w:t>
            </w:r>
          </w:p>
        </w:tc>
        <w:tc>
          <w:tcPr>
            <w:tcW w:type="dxa" w:w="1152"/>
          </w:tcPr>
          <w:p>
            <w:r>
              <w:rPr>
                <w:b w:val="0"/>
                <w:i w:val="0"/>
                <w:color w:val="22303C"/>
                <w:sz w:val="20"/>
              </w:rPr>
              <w:t>11</w:t>
            </w:r>
          </w:p>
        </w:tc>
      </w:tr>
      <w:tr>
        <w:tc>
          <w:tcPr>
            <w:tcW w:type="dxa" w:w="2534"/>
          </w:tcPr>
          <w:p>
            <w:r>
              <w:rPr>
                <w:b/>
                <w:i w:val="0"/>
                <w:color w:val="22303C"/>
                <w:sz w:val="20"/>
              </w:rPr>
              <w:t>kuantorflow_automation</w:t>
            </w:r>
          </w:p>
        </w:tc>
        <w:tc>
          <w:tcPr>
            <w:tcW w:type="dxa" w:w="6106"/>
          </w:tcPr>
          <w:p>
            <w:r>
              <w:rPr>
                <w:b w:val="0"/>
                <w:i w:val="0"/>
                <w:color w:val="22303C"/>
                <w:sz w:val="20"/>
              </w:rPr>
              <w:t>Test PRs, the test-report convention, suite → 114</w:t>
            </w:r>
          </w:p>
        </w:tc>
        <w:tc>
          <w:tcPr>
            <w:tcW w:type="dxa" w:w="1152"/>
          </w:tcPr>
          <w:p>
            <w:r>
              <w:rPr>
                <w:b w:val="0"/>
                <w:i w:val="0"/>
                <w:color w:val="22303C"/>
                <w:sz w:val="20"/>
              </w:rPr>
              <w:t>7</w:t>
            </w:r>
          </w:p>
        </w:tc>
      </w:tr>
      <w:tr>
        <w:tc>
          <w:tcPr>
            <w:tcW w:type="dxa" w:w="2534"/>
          </w:tcPr>
          <w:p>
            <w:r>
              <w:rPr>
                <w:b/>
                <w:i w:val="0"/>
                <w:color w:val="22303C"/>
                <w:sz w:val="20"/>
              </w:rPr>
              <w:t>ai_agent</w:t>
            </w:r>
          </w:p>
        </w:tc>
        <w:tc>
          <w:tcPr>
            <w:tcW w:type="dxa" w:w="6106"/>
          </w:tcPr>
          <w:p>
            <w:r>
              <w:rPr>
                <w:b w:val="0"/>
                <w:i w:val="0"/>
                <w:color w:val="22303C"/>
                <w:sz w:val="20"/>
              </w:rPr>
              <w:t>Mykola identity</w:t>
            </w:r>
          </w:p>
        </w:tc>
        <w:tc>
          <w:tcPr>
            <w:tcW w:type="dxa" w:w="1152"/>
          </w:tcPr>
          <w:p>
            <w:r>
              <w:rPr>
                <w:b w:val="0"/>
                <w:i w:val="0"/>
                <w:color w:val="22303C"/>
                <w:sz w:val="20"/>
              </w:rPr>
              <w:t>1</w:t>
            </w:r>
          </w:p>
        </w:tc>
      </w:tr>
      <w:tr>
        <w:tc>
          <w:tcPr>
            <w:tcW w:type="dxa" w:w="2534"/>
          </w:tcPr>
          <w:p>
            <w:r>
              <w:rPr>
                <w:b/>
                <w:i w:val="0"/>
                <w:color w:val="22303C"/>
                <w:sz w:val="20"/>
              </w:rPr>
              <w:t>Total</w:t>
            </w:r>
          </w:p>
        </w:tc>
        <w:tc>
          <w:tcPr>
            <w:tcW w:type="dxa" w:w="6106"/>
          </w:tcPr>
          <w:p/>
        </w:tc>
        <w:tc>
          <w:tcPr>
            <w:tcW w:type="dxa" w:w="1152"/>
          </w:tcPr>
          <w:p>
            <w:r>
              <w:rPr>
                <w:b/>
                <w:i w:val="0"/>
                <w:color w:val="22303C"/>
                <w:sz w:val="20"/>
              </w:rPr>
              <w:t>19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22303C"/>
          <w:sz w:val="22"/>
        </w:rPr>
        <w:t xml:space="preserve">Per the standing request, commit authorship was checked across all three repositories for the period: every commit was authored by Kuantor (Claude as co-author). </w:t>
      </w:r>
      <w:r>
        <w:rPr>
          <w:b w:val="0"/>
          <w:i/>
          <w:color w:val="22303C"/>
          <w:sz w:val="22"/>
        </w:rPr>
        <w:t>No GitHub Copilot commits</w:t>
      </w:r>
      <w:r>
        <w:rPr>
          <w:b w:val="0"/>
          <w:i/>
          <w:color w:val="22303C"/>
          <w:sz w:val="22"/>
        </w:rPr>
        <w:t xml:space="preserve"> were found in this range.</w:t>
      </w:r>
    </w:p>
    <w:p>
      <w:pPr>
        <w:pBdr>
          <w:bottom w:val="single" w:sz="8" w:color="D9B13C"/>
        </w:pBdr>
      </w:pPr>
    </w:p>
    <w:p>
      <w:pPr>
        <w:pStyle w:val="Heading1"/>
      </w:pPr>
      <w:r>
        <w:rPr>
          <w:b w:val="0"/>
          <w:i w:val="0"/>
          <w:color w:val="2E6BA0"/>
          <w:sz w:val="30"/>
        </w:rPr>
        <w:t>Completed Work by Theme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1. Settings platform — finished and hardened</w:t>
      </w:r>
    </w:p>
    <w:p>
      <w:pPr>
        <w:spacing w:after="120"/>
      </w:pPr>
      <w:r>
        <w:rPr>
          <w:b w:val="0"/>
          <w:i w:val="0"/>
          <w:color w:val="22303C"/>
          <w:sz w:val="22"/>
        </w:rPr>
        <w:t>The remaining Highest-Prio settings items all landed: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Reset Auth</w:t>
      </w:r>
      <w:r>
        <w:rPr>
          <w:b w:val="0"/>
          <w:i w:val="0"/>
          <w:color w:val="22303C"/>
          <w:sz w:val="22"/>
        </w:rPr>
        <w:t xml:space="preserve"> (#98, PR #117) — a button that clears the whole session (keyword gate + Google identity, both held in the signed cookie) and the app's browser storage, returning to the gate. Enabled even inside the read-only popup, since it's an action, not a setting.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Anonymous settings frozen</w:t>
      </w:r>
      <w:r>
        <w:rPr>
          <w:b w:val="0"/>
          <w:i w:val="0"/>
          <w:color w:val="22303C"/>
          <w:sz w:val="22"/>
        </w:rPr>
        <w:t xml:space="preserve"> (#102, PR #116) — anonymous visitors share </w:t>
      </w:r>
      <w:r>
        <w:rPr>
          <w:rFonts w:ascii="Consolas" w:hAnsi="Consolas"/>
          <w:b w:val="0"/>
          <w:i w:val="0"/>
          <w:color w:val="22303C"/>
          <w:sz w:val="22"/>
        </w:rPr>
        <w:t>config-default.json</w:t>
      </w:r>
      <w:r>
        <w:rPr>
          <w:b w:val="0"/>
          <w:i w:val="0"/>
          <w:color w:val="22303C"/>
          <w:sz w:val="22"/>
        </w:rPr>
        <w:t xml:space="preserve">, so one of them must not change it for everyone: </w:t>
      </w:r>
      <w:r>
        <w:rPr>
          <w:rFonts w:ascii="Consolas" w:hAnsi="Consolas"/>
          <w:b w:val="0"/>
          <w:i w:val="0"/>
          <w:color w:val="22303C"/>
          <w:sz w:val="22"/>
        </w:rPr>
        <w:t>POST /settings</w:t>
      </w:r>
      <w:r>
        <w:rPr>
          <w:b w:val="0"/>
          <w:i w:val="0"/>
          <w:color w:val="22303C"/>
          <w:sz w:val="22"/>
        </w:rPr>
        <w:t xml:space="preserve"> now refuses them (403) and the popup renders read-only with a sign-in prompt.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Two-column popup layout</w:t>
      </w:r>
      <w:r>
        <w:rPr>
          <w:b w:val="0"/>
          <w:i w:val="0"/>
          <w:color w:val="22303C"/>
          <w:sz w:val="22"/>
        </w:rPr>
        <w:t xml:space="preserve"> (#118, PR #119) — the popup had grown past the viewport; the fieldsets now sit in a responsive two-column grid, the actions share one row, and the dialog clamps to the screen.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Mobile widget hidden with the popup</w:t>
      </w:r>
      <w:r>
        <w:rPr>
          <w:b w:val="0"/>
          <w:i w:val="0"/>
          <w:color w:val="22303C"/>
          <w:sz w:val="22"/>
        </w:rPr>
        <w:t xml:space="preserve"> (#121, PR #122) — on phones the Mykola widget no longer overlaps the open Settings popup.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2. Mykola the companion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"New Chat" button</w:t>
      </w:r>
      <w:r>
        <w:rPr>
          <w:b w:val="0"/>
          <w:i w:val="0"/>
          <w:color w:val="22303C"/>
          <w:sz w:val="22"/>
        </w:rPr>
        <w:t xml:space="preserve"> (ai_agent#55, PR #128) — a small pencil in the widget header starts a fresh conversation behind a Yes/No confirmation, re-running the welcome-back recap for signed-in users; past exchanges stay logged.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Claude-powered identity</w:t>
      </w:r>
      <w:r>
        <w:rPr>
          <w:b w:val="0"/>
          <w:i w:val="0"/>
          <w:color w:val="22303C"/>
          <w:sz w:val="22"/>
        </w:rPr>
        <w:t xml:space="preserve"> (ai_agent#48, PR #53) — Mykola now answers "Are you Claude?" honestly and in character, while still giving his playful symbolic age.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3. Richer study &amp; content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Card deck activity</w:t>
      </w:r>
      <w:r>
        <w:rPr>
          <w:b w:val="0"/>
          <w:i w:val="0"/>
          <w:color w:val="22303C"/>
          <w:sz w:val="22"/>
        </w:rPr>
        <w:t xml:space="preserve"> (#78, PR #135) — a Quizlet-style flip-card deck per topic: one card at a time, click/Enter/Space to flip, arrow keys to move.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Reverso copy-paste parser</w:t>
      </w:r>
      <w:r>
        <w:rPr>
          <w:b w:val="0"/>
          <w:i w:val="0"/>
          <w:color w:val="22303C"/>
          <w:sz w:val="22"/>
        </w:rPr>
        <w:t xml:space="preserve"> (#134, PR #141) — </w:t>
      </w:r>
      <w:r>
        <w:rPr>
          <w:rFonts w:ascii="Consolas" w:hAnsi="Consolas"/>
          <w:b w:val="0"/>
          <w:i w:val="0"/>
          <w:color w:val="22303C"/>
          <w:sz w:val="22"/>
        </w:rPr>
        <w:t>.mht</w:t>
      </w:r>
      <w:r>
        <w:rPr>
          <w:b w:val="0"/>
          <w:i w:val="0"/>
          <w:color w:val="22303C"/>
          <w:sz w:val="22"/>
        </w:rPr>
        <w:t xml:space="preserve"> notes that are OneNote copy-pastes of Reverso entries are auto-detected and parsed into rich cards (one per word + part of speech, senses aggregated, with examples). Reverso glues the translation terms together with no separators, so </w:t>
      </w:r>
      <w:r>
        <w:rPr>
          <w:b/>
          <w:i w:val="0"/>
          <w:color w:val="22303C"/>
          <w:sz w:val="22"/>
        </w:rPr>
        <w:t>Claude splits them back apart</w:t>
      </w:r>
      <w:r>
        <w:rPr>
          <w:b w:val="0"/>
          <w:i w:val="0"/>
          <w:color w:val="22303C"/>
          <w:sz w:val="22"/>
        </w:rPr>
        <w:t>, keeping multi-word phrases intact, with a graceful fallback when no API key is present.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Early duplicate-word warning</w:t>
      </w:r>
      <w:r>
        <w:rPr>
          <w:b w:val="0"/>
          <w:i w:val="0"/>
          <w:color w:val="22303C"/>
          <w:sz w:val="22"/>
        </w:rPr>
        <w:t xml:space="preserve"> (#145, PR #149) — looking up a word that already has cards now warns </w:t>
      </w:r>
      <w:r>
        <w:rPr>
          <w:b w:val="0"/>
          <w:i/>
          <w:color w:val="22303C"/>
          <w:sz w:val="22"/>
        </w:rPr>
        <w:t>before</w:t>
      </w:r>
      <w:r>
        <w:rPr>
          <w:b w:val="0"/>
          <w:i w:val="0"/>
          <w:color w:val="22303C"/>
          <w:sz w:val="22"/>
        </w:rPr>
        <w:t xml:space="preserve"> the lookup and review dialog ("look it up anyway?"), complementing the save-time duplicate skip from #101.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4. UI polish &amp; docs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Blue links panel</w:t>
      </w:r>
      <w:r>
        <w:rPr>
          <w:b w:val="0"/>
          <w:i w:val="0"/>
          <w:color w:val="22303C"/>
          <w:sz w:val="22"/>
        </w:rPr>
        <w:t xml:space="preserve"> (#142, PR #143) — the "Home | Card deck | Take quiz" menu on the flashcards, deck and quiz pages is now a blue rounded panel.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Live website link in the README</w:t>
      </w:r>
      <w:r>
        <w:rPr>
          <w:b w:val="0"/>
          <w:i w:val="0"/>
          <w:color w:val="22303C"/>
          <w:sz w:val="22"/>
        </w:rPr>
        <w:t xml:space="preserve"> (#115, PR #123; PR #124) — with access instructions.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5. Process &amp; quality (kuantorflow_automation)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Test-report convention</w:t>
      </w:r>
      <w:r>
        <w:rPr>
          <w:b w:val="0"/>
          <w:i w:val="0"/>
          <w:color w:val="22303C"/>
          <w:sz w:val="22"/>
        </w:rPr>
        <w:t xml:space="preserve"> (#103, PR #18) — significant PRs now get a Markdown + PDF verification report committed under </w:t>
      </w:r>
      <w:r>
        <w:rPr>
          <w:rFonts w:ascii="Consolas" w:hAnsi="Consolas"/>
          <w:b w:val="0"/>
          <w:i w:val="0"/>
          <w:color w:val="22303C"/>
          <w:sz w:val="22"/>
        </w:rPr>
        <w:t>test_reports/</w:t>
      </w:r>
      <w:r>
        <w:rPr>
          <w:b w:val="0"/>
          <w:i w:val="0"/>
          <w:color w:val="22303C"/>
          <w:sz w:val="22"/>
        </w:rPr>
        <w:t>, rendered with the report tooling; small PRs are exempt unless requested.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Seven test PRs</w:t>
      </w:r>
      <w:r>
        <w:rPr>
          <w:b w:val="0"/>
          <w:i w:val="0"/>
          <w:color w:val="22303C"/>
          <w:sz w:val="22"/>
        </w:rPr>
        <w:t xml:space="preserve"> covered every feature above; the offline suite grew from ~100 to </w:t>
      </w:r>
      <w:r>
        <w:rPr>
          <w:b/>
          <w:i w:val="0"/>
          <w:color w:val="22303C"/>
          <w:sz w:val="22"/>
        </w:rPr>
        <w:t>114 passed</w:t>
      </w:r>
      <w:r>
        <w:rPr>
          <w:b w:val="0"/>
          <w:i w:val="0"/>
          <w:color w:val="22303C"/>
          <w:sz w:val="22"/>
        </w:rPr>
        <w:t>, still under three seconds and fully offline.</w:t>
      </w:r>
    </w:p>
    <w:p>
      <w:pPr>
        <w:pStyle w:val="ListBullet"/>
        <w:spacing w:after="80"/>
      </w:pPr>
      <w:r>
        <w:rPr>
          <w:b w:val="0"/>
          <w:i w:val="0"/>
          <w:color w:val="22303C"/>
          <w:sz w:val="22"/>
        </w:rPr>
        <w:t xml:space="preserve">The </w:t>
      </w:r>
      <w:r>
        <w:rPr>
          <w:b/>
          <w:i w:val="0"/>
          <w:color w:val="22303C"/>
          <w:sz w:val="22"/>
        </w:rPr>
        <w:t>parallel feature-and-test PR</w:t>
      </w:r>
      <w:r>
        <w:rPr>
          <w:b w:val="0"/>
          <w:i w:val="0"/>
          <w:color w:val="22303C"/>
          <w:sz w:val="22"/>
        </w:rPr>
        <w:t xml:space="preserve"> practice (#15) was confirmed and recorded.</w:t>
      </w:r>
    </w:p>
    <w:p>
      <w:pPr>
        <w:pBdr>
          <w:bottom w:val="single" w:sz="8" w:color="D9B13C"/>
        </w:pBdr>
      </w:pPr>
    </w:p>
    <w:p>
      <w:pPr>
        <w:pStyle w:val="Heading1"/>
      </w:pPr>
      <w:r>
        <w:rPr>
          <w:b w:val="0"/>
          <w:i w:val="0"/>
          <w:color w:val="2E6BA0"/>
          <w:sz w:val="30"/>
        </w:rPr>
        <w:t>Technical Highlights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Format detection as a state machine.</w:t>
      </w:r>
      <w:r>
        <w:rPr>
          <w:b w:val="0"/>
          <w:i w:val="0"/>
          <w:color w:val="22303C"/>
          <w:sz w:val="22"/>
        </w:rPr>
        <w:t xml:space="preserve"> The Reverso parser recognises the copy-paste format by its colour-coded markup and walks the paragraphs as a header → sense → explanation/example/translation state machine — robust to the fixed OneNote export shape.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AI where the markup can't help.</w:t>
      </w:r>
      <w:r>
        <w:rPr>
          <w:b w:val="0"/>
          <w:i w:val="0"/>
          <w:color w:val="22303C"/>
          <w:sz w:val="22"/>
        </w:rPr>
        <w:t xml:space="preserve"> Reverso concatenates translation terms with no separators, so they cannot be split from the HTML; a single batched Claude (haiku) call splits them, keeping phrases like "верховный правитель" whole — and degrading to the whole string when offline.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Graceful degradation throughout.</w:t>
      </w:r>
      <w:r>
        <w:rPr>
          <w:b w:val="0"/>
          <w:i w:val="0"/>
          <w:color w:val="22303C"/>
          <w:sz w:val="22"/>
        </w:rPr>
        <w:t xml:space="preserve"> The translation split, and the duplicate-word check, both treat a missing API key or an unreachable DB as "unknown" and proceed, so no feature hard-fails in a degraded environment.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One escaping bug worth noting.</w:t>
      </w:r>
      <w:r>
        <w:rPr>
          <w:b w:val="0"/>
          <w:i w:val="0"/>
          <w:color w:val="22303C"/>
          <w:sz w:val="22"/>
        </w:rPr>
        <w:t xml:space="preserve"> Threading parsed examples through the review popup exposed that Jinja's </w:t>
      </w:r>
      <w:r>
        <w:rPr>
          <w:rFonts w:ascii="Consolas" w:hAnsi="Consolas"/>
          <w:b w:val="0"/>
          <w:i w:val="0"/>
          <w:color w:val="22303C"/>
          <w:sz w:val="22"/>
        </w:rPr>
        <w:t>tojson</w:t>
      </w:r>
      <w:r>
        <w:rPr>
          <w:b w:val="0"/>
          <w:i w:val="0"/>
          <w:color w:val="22303C"/>
          <w:sz w:val="22"/>
        </w:rPr>
        <w:t xml:space="preserve"> output isn't attribute-safe on its own (its quotes break </w:t>
      </w:r>
      <w:r>
        <w:rPr>
          <w:rFonts w:ascii="Consolas" w:hAnsi="Consolas"/>
          <w:b w:val="0"/>
          <w:i w:val="0"/>
          <w:color w:val="22303C"/>
          <w:sz w:val="22"/>
        </w:rPr>
        <w:t>value="…"</w:t>
      </w:r>
      <w:r>
        <w:rPr>
          <w:b w:val="0"/>
          <w:i w:val="0"/>
          <w:color w:val="22303C"/>
          <w:sz w:val="22"/>
        </w:rPr>
        <w:t xml:space="preserve">); </w:t>
      </w:r>
      <w:r>
        <w:rPr>
          <w:rFonts w:ascii="Consolas" w:hAnsi="Consolas"/>
          <w:b w:val="0"/>
          <w:i w:val="0"/>
          <w:color w:val="22303C"/>
          <w:sz w:val="22"/>
        </w:rPr>
        <w:t>tojson | forceescape</w:t>
      </w:r>
      <w:r>
        <w:rPr>
          <w:b w:val="0"/>
          <w:i w:val="0"/>
          <w:color w:val="22303C"/>
          <w:sz w:val="22"/>
        </w:rPr>
        <w:t xml:space="preserve"> fixes it.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Session-only auth model paid off.</w:t>
      </w:r>
      <w:r>
        <w:rPr>
          <w:b w:val="0"/>
          <w:i w:val="0"/>
          <w:color w:val="22303C"/>
          <w:sz w:val="22"/>
        </w:rPr>
        <w:t xml:space="preserve"> Because the gate pass and Google identity both live in the signed session cookie, Reset Auth is a one-line </w:t>
      </w:r>
      <w:r>
        <w:rPr>
          <w:rFonts w:ascii="Consolas" w:hAnsi="Consolas"/>
          <w:b w:val="0"/>
          <w:i w:val="0"/>
          <w:color w:val="22303C"/>
          <w:sz w:val="22"/>
        </w:rPr>
        <w:t>session.clear()</w:t>
      </w:r>
      <w:r>
        <w:rPr>
          <w:b w:val="0"/>
          <w:i w:val="0"/>
          <w:color w:val="22303C"/>
          <w:sz w:val="22"/>
        </w:rPr>
        <w:t xml:space="preserve"> — no tokens to track.</w:t>
      </w:r>
    </w:p>
    <w:p>
      <w:pPr>
        <w:pStyle w:val="Heading1"/>
      </w:pPr>
      <w:r>
        <w:rPr>
          <w:b w:val="0"/>
          <w:i w:val="0"/>
          <w:color w:val="2E6BA0"/>
          <w:sz w:val="30"/>
        </w:rPr>
        <w:t>Lessons Learned</w:t>
      </w:r>
    </w:p>
    <w:p>
      <w:pPr>
        <w:pStyle w:val="ListNumber"/>
        <w:spacing w:after="100"/>
      </w:pPr>
      <w:r>
        <w:rPr>
          <w:b/>
          <w:i w:val="0"/>
          <w:color w:val="22303C"/>
          <w:sz w:val="22"/>
        </w:rPr>
        <w:t>`tojson` needs `forceescape` inside an HTML attribute.</w:t>
      </w:r>
      <w:r>
        <w:rPr>
          <w:b w:val="0"/>
          <w:i w:val="0"/>
          <w:color w:val="22303C"/>
          <w:sz w:val="22"/>
        </w:rPr>
        <w:t xml:space="preserve"> Its output is HTML-safe for text nodes but its literal </w:t>
      </w:r>
      <w:r>
        <w:rPr>
          <w:rFonts w:ascii="Consolas" w:hAnsi="Consolas"/>
          <w:b w:val="0"/>
          <w:i w:val="0"/>
          <w:color w:val="22303C"/>
          <w:sz w:val="22"/>
        </w:rPr>
        <w:t>"</w:t>
      </w:r>
      <w:r>
        <w:rPr>
          <w:b w:val="0"/>
          <w:i w:val="0"/>
          <w:color w:val="22303C"/>
          <w:sz w:val="22"/>
        </w:rPr>
        <w:t xml:space="preserve"> characters break a double-quoted attribute value.</w:t>
      </w:r>
    </w:p>
    <w:p>
      <w:pPr>
        <w:pStyle w:val="ListNumber"/>
        <w:spacing w:after="100"/>
      </w:pPr>
      <w:r>
        <w:rPr>
          <w:b/>
          <w:i w:val="0"/>
          <w:color w:val="22303C"/>
          <w:sz w:val="22"/>
        </w:rPr>
        <w:t>Design for the degraded path first.</w:t>
      </w:r>
      <w:r>
        <w:rPr>
          <w:b w:val="0"/>
          <w:i w:val="0"/>
          <w:color w:val="22303C"/>
          <w:sz w:val="22"/>
        </w:rPr>
        <w:t xml:space="preserve"> Both the AI translation split and the duplicate warning were built to work with no API key / no database, which also made them trivial to test offline.</w:t>
      </w:r>
    </w:p>
    <w:p>
      <w:pPr>
        <w:pStyle w:val="ListNumber"/>
        <w:spacing w:after="100"/>
      </w:pPr>
      <w:r>
        <w:rPr>
          <w:b/>
          <w:i w:val="0"/>
          <w:color w:val="22303C"/>
          <w:sz w:val="22"/>
        </w:rPr>
        <w:t>Confirm destructive-looking actions, but keep them cheap.</w:t>
      </w:r>
      <w:r>
        <w:rPr>
          <w:b w:val="0"/>
          <w:i w:val="0"/>
          <w:color w:val="22303C"/>
          <w:sz w:val="22"/>
        </w:rPr>
        <w:t xml:space="preserve"> New Chat and Reset Auth both got Yes/No dialogs; neither is actually destructive (chats stay logged, settings files survive), which is worth stating in the copy so users aren't scared off.</w:t>
      </w:r>
    </w:p>
    <w:p>
      <w:pPr>
        <w:pStyle w:val="ListNumber"/>
        <w:spacing w:after="100"/>
      </w:pPr>
      <w:r>
        <w:rPr>
          <w:b/>
          <w:i w:val="0"/>
          <w:color w:val="22303C"/>
          <w:sz w:val="22"/>
        </w:rPr>
        <w:t>The project board isn't machine-readable without the scope.</w:t>
      </w:r>
      <w:r>
        <w:rPr>
          <w:b w:val="0"/>
          <w:i w:val="0"/>
          <w:color w:val="22303C"/>
          <w:sz w:val="22"/>
        </w:rPr>
        <w:t xml:space="preserve"> Reading the "KuantorFlow Improvements" board needs the GitHub </w:t>
      </w:r>
      <w:r>
        <w:rPr>
          <w:rFonts w:ascii="Consolas" w:hAnsi="Consolas"/>
          <w:b w:val="0"/>
          <w:i w:val="0"/>
          <w:color w:val="22303C"/>
          <w:sz w:val="22"/>
        </w:rPr>
        <w:t>project</w:t>
      </w:r>
      <w:r>
        <w:rPr>
          <w:b w:val="0"/>
          <w:i w:val="0"/>
          <w:color w:val="22303C"/>
          <w:sz w:val="22"/>
        </w:rPr>
        <w:t xml:space="preserve"> token scope, which the current credential lacks — so this week's plan below is grouped from the open issues by theme rather than by board column.</w:t>
      </w:r>
    </w:p>
    <w:p>
      <w:pPr>
        <w:pBdr>
          <w:bottom w:val="single" w:sz="8" w:color="D9B13C"/>
        </w:pBdr>
      </w:pPr>
    </w:p>
    <w:p>
      <w:pPr>
        <w:pStyle w:val="Heading1"/>
      </w:pPr>
      <w:r>
        <w:rPr>
          <w:b w:val="0"/>
          <w:i w:val="0"/>
          <w:color w:val="2E6BA0"/>
          <w:sz w:val="30"/>
        </w:rPr>
        <w:t>Plans for Next Week</w:t>
      </w:r>
    </w:p>
    <w:p>
      <w:pPr>
        <w:spacing w:after="120"/>
      </w:pPr>
      <w:r>
        <w:rPr>
          <w:b w:val="0"/>
          <w:i/>
          <w:color w:val="22303C"/>
          <w:sz w:val="22"/>
        </w:rPr>
        <w:t>Grouped from the open issues across the three repositories. The precise "Highest Prio / Nice To Have" board columns could not be read this time (the credential lacks the GitHub `project` scope), so the grouping below is by theme.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Content &amp; note import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1417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</w:t>
            </w:r>
          </w:p>
        </w:tc>
        <w:tc>
          <w:tcPr>
            <w:tcW w:type="dxa" w:w="792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7731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#137</w:t>
            </w:r>
          </w:p>
        </w:tc>
        <w:tc>
          <w:tcPr>
            <w:tcW w:type="dxa" w:w="7731"/>
          </w:tcPr>
          <w:p>
            <w:r>
              <w:rPr>
                <w:b w:val="0"/>
                <w:i w:val="0"/>
                <w:color w:val="22303C"/>
                <w:sz w:val="20"/>
              </w:rPr>
              <w:t>Upload notes: support .txt and .docx besides .mht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#144</w:t>
            </w:r>
          </w:p>
        </w:tc>
        <w:tc>
          <w:tcPr>
            <w:tcW w:type="dxa" w:w="7731"/>
          </w:tcPr>
          <w:p>
            <w:r>
              <w:rPr>
                <w:b w:val="0"/>
                <w:i w:val="0"/>
                <w:color w:val="22303C"/>
                <w:sz w:val="20"/>
              </w:rPr>
              <w:t>Add Ukrainian/Russian translations after parsing MHT files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#136</w:t>
            </w:r>
          </w:p>
        </w:tc>
        <w:tc>
          <w:tcPr>
            <w:tcW w:type="dxa" w:w="7731"/>
          </w:tcPr>
          <w:p>
            <w:r>
              <w:rPr>
                <w:b w:val="0"/>
                <w:i w:val="0"/>
                <w:color w:val="22303C"/>
                <w:sz w:val="20"/>
              </w:rPr>
              <w:t>Images on flashcards (files on disk, path in MySQL)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#147</w:t>
            </w:r>
          </w:p>
        </w:tc>
        <w:tc>
          <w:tcPr>
            <w:tcW w:type="dxa" w:w="7731"/>
          </w:tcPr>
          <w:p>
            <w:r>
              <w:rPr>
                <w:b w:val="0"/>
                <w:i w:val="0"/>
                <w:color w:val="22303C"/>
                <w:sz w:val="20"/>
              </w:rPr>
              <w:t>More accurate classification of words in the "General" topic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#140</w:t>
            </w:r>
          </w:p>
        </w:tc>
        <w:tc>
          <w:tcPr>
            <w:tcW w:type="dxa" w:w="7731"/>
          </w:tcPr>
          <w:p>
            <w:r>
              <w:rPr>
                <w:b w:val="0"/>
                <w:i w:val="0"/>
                <w:color w:val="22303C"/>
                <w:sz w:val="20"/>
              </w:rPr>
              <w:t>[Optional] Upload notes: support .pdf (text-layer)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  <w:color w:val="22303C"/>
          <w:sz w:val="25"/>
        </w:rPr>
        <w:t>New study modes &amp; word games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1363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</w:t>
            </w:r>
          </w:p>
        </w:tc>
        <w:tc>
          <w:tcPr>
            <w:tcW w:type="dxa" w:w="1363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7065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363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363"/>
          </w:tcPr>
          <w:p>
            <w:r>
              <w:rPr>
                <w:b w:val="0"/>
                <w:i w:val="0"/>
                <w:color w:val="2E6BA0"/>
                <w:sz w:val="20"/>
              </w:rPr>
              <w:t>#94</w:t>
            </w:r>
            <w:r>
              <w:rPr>
                <w:b w:val="0"/>
                <w:i w:val="0"/>
                <w:color w:val="22303C"/>
                <w:sz w:val="20"/>
              </w:rPr>
              <w:t xml:space="preserve"> / </w:t>
            </w:r>
            <w:r>
              <w:rPr>
                <w:b w:val="0"/>
                <w:i w:val="0"/>
                <w:color w:val="2E6BA0"/>
                <w:sz w:val="20"/>
              </w:rPr>
              <w:t>#92</w:t>
            </w:r>
          </w:p>
        </w:tc>
        <w:tc>
          <w:tcPr>
            <w:tcW w:type="dxa" w:w="7065"/>
          </w:tcPr>
          <w:p>
            <w:r>
              <w:rPr>
                <w:b w:val="0"/>
                <w:i w:val="0"/>
                <w:color w:val="22303C"/>
                <w:sz w:val="20"/>
              </w:rPr>
              <w:t>Spaced-repetition review mode (SM-2)</w:t>
            </w:r>
          </w:p>
        </w:tc>
      </w:tr>
      <w:tr>
        <w:tc>
          <w:tcPr>
            <w:tcW w:type="dxa" w:w="1363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363"/>
          </w:tcPr>
          <w:p>
            <w:r>
              <w:rPr>
                <w:b w:val="0"/>
                <w:i w:val="0"/>
                <w:color w:val="2E6BA0"/>
                <w:sz w:val="20"/>
              </w:rPr>
              <w:t>#127</w:t>
            </w:r>
          </w:p>
        </w:tc>
        <w:tc>
          <w:tcPr>
            <w:tcW w:type="dxa" w:w="7065"/>
          </w:tcPr>
          <w:p>
            <w:r>
              <w:rPr>
                <w:b w:val="0"/>
                <w:i w:val="0"/>
                <w:color w:val="22303C"/>
                <w:sz w:val="20"/>
              </w:rPr>
              <w:t>Create "Individual" cards mode</w:t>
            </w:r>
          </w:p>
        </w:tc>
      </w:tr>
      <w:tr>
        <w:tc>
          <w:tcPr>
            <w:tcW w:type="dxa" w:w="1363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363"/>
          </w:tcPr>
          <w:p>
            <w:r>
              <w:rPr>
                <w:b w:val="0"/>
                <w:i w:val="0"/>
                <w:color w:val="2E6BA0"/>
                <w:sz w:val="20"/>
              </w:rPr>
              <w:t>#129</w:t>
            </w:r>
          </w:p>
        </w:tc>
        <w:tc>
          <w:tcPr>
            <w:tcW w:type="dxa" w:w="7065"/>
          </w:tcPr>
          <w:p>
            <w:r>
              <w:rPr>
                <w:b w:val="0"/>
                <w:i w:val="0"/>
                <w:color w:val="22303C"/>
                <w:sz w:val="20"/>
              </w:rPr>
              <w:t>Smart word-manipulation techniques for exercises (spike)</w:t>
            </w:r>
          </w:p>
        </w:tc>
      </w:tr>
      <w:tr>
        <w:tc>
          <w:tcPr>
            <w:tcW w:type="dxa" w:w="1363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363"/>
          </w:tcPr>
          <w:p>
            <w:r>
              <w:rPr>
                <w:b w:val="0"/>
                <w:i w:val="0"/>
                <w:color w:val="2E6BA0"/>
                <w:sz w:val="20"/>
              </w:rPr>
              <w:t>#130</w:t>
            </w:r>
            <w:r>
              <w:rPr>
                <w:b w:val="0"/>
                <w:i w:val="0"/>
                <w:color w:val="22303C"/>
                <w:sz w:val="20"/>
              </w:rPr>
              <w:t xml:space="preserve"> / </w:t>
            </w:r>
            <w:r>
              <w:rPr>
                <w:b w:val="0"/>
                <w:i w:val="0"/>
                <w:color w:val="2E6BA0"/>
                <w:sz w:val="20"/>
              </w:rPr>
              <w:t>#131</w:t>
            </w:r>
          </w:p>
        </w:tc>
        <w:tc>
          <w:tcPr>
            <w:tcW w:type="dxa" w:w="7065"/>
          </w:tcPr>
          <w:p>
            <w:r>
              <w:rPr>
                <w:b w:val="0"/>
                <w:i w:val="0"/>
                <w:color w:val="22303C"/>
                <w:sz w:val="20"/>
              </w:rPr>
              <w:t>Levenshtein / keyboard-adjacency MCQ distractors</w:t>
            </w:r>
          </w:p>
        </w:tc>
      </w:tr>
      <w:tr>
        <w:tc>
          <w:tcPr>
            <w:tcW w:type="dxa" w:w="1363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363"/>
          </w:tcPr>
          <w:p>
            <w:r>
              <w:rPr>
                <w:b w:val="0"/>
                <w:i w:val="0"/>
                <w:color w:val="2E6BA0"/>
                <w:sz w:val="20"/>
              </w:rPr>
              <w:t>#132</w:t>
            </w:r>
            <w:r>
              <w:rPr>
                <w:b w:val="0"/>
                <w:i w:val="0"/>
                <w:color w:val="22303C"/>
                <w:sz w:val="20"/>
              </w:rPr>
              <w:t xml:space="preserve"> / </w:t>
            </w:r>
            <w:r>
              <w:rPr>
                <w:b w:val="0"/>
                <w:i w:val="0"/>
                <w:color w:val="2E6BA0"/>
                <w:sz w:val="20"/>
              </w:rPr>
              <w:t>#133</w:t>
            </w:r>
          </w:p>
        </w:tc>
        <w:tc>
          <w:tcPr>
            <w:tcW w:type="dxa" w:w="7065"/>
          </w:tcPr>
          <w:p>
            <w:r>
              <w:rPr>
                <w:b w:val="0"/>
                <w:i w:val="0"/>
                <w:color w:val="22303C"/>
                <w:sz w:val="20"/>
              </w:rPr>
              <w:t>"Is this a real word?" &amp; typoglycemia modes</w:t>
            </w:r>
          </w:p>
        </w:tc>
      </w:tr>
      <w:tr>
        <w:tc>
          <w:tcPr>
            <w:tcW w:type="dxa" w:w="1363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363"/>
          </w:tcPr>
          <w:p>
            <w:r>
              <w:rPr>
                <w:b w:val="0"/>
                <w:i w:val="0"/>
                <w:color w:val="2E6BA0"/>
                <w:sz w:val="20"/>
              </w:rPr>
              <w:t>#100</w:t>
            </w:r>
          </w:p>
        </w:tc>
        <w:tc>
          <w:tcPr>
            <w:tcW w:type="dxa" w:w="7065"/>
          </w:tcPr>
          <w:p>
            <w:r>
              <w:rPr>
                <w:b w:val="0"/>
                <w:i w:val="0"/>
                <w:color w:val="22303C"/>
                <w:sz w:val="20"/>
              </w:rPr>
              <w:t>Quiz: treat perfective/imperfective answers as equal (AI)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  <w:color w:val="22303C"/>
          <w:sz w:val="25"/>
        </w:rPr>
        <w:t>Multi-user, admin &amp; security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1496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</w:t>
            </w:r>
          </w:p>
        </w:tc>
        <w:tc>
          <w:tcPr>
            <w:tcW w:type="dxa" w:w="1496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6800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49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496"/>
          </w:tcPr>
          <w:p>
            <w:r>
              <w:rPr>
                <w:b w:val="0"/>
                <w:i w:val="0"/>
                <w:color w:val="2E6BA0"/>
                <w:sz w:val="20"/>
              </w:rPr>
              <w:t>#125</w:t>
            </w:r>
          </w:p>
        </w:tc>
        <w:tc>
          <w:tcPr>
            <w:tcW w:type="dxa" w:w="6800"/>
          </w:tcPr>
          <w:p>
            <w:r>
              <w:rPr>
                <w:b w:val="0"/>
                <w:i w:val="0"/>
                <w:color w:val="22303C"/>
                <w:sz w:val="20"/>
              </w:rPr>
              <w:t>Deny unauthorized users to add/change/delete words</w:t>
            </w:r>
          </w:p>
        </w:tc>
      </w:tr>
      <w:tr>
        <w:tc>
          <w:tcPr>
            <w:tcW w:type="dxa" w:w="149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496"/>
          </w:tcPr>
          <w:p>
            <w:r>
              <w:rPr>
                <w:b w:val="0"/>
                <w:i w:val="0"/>
                <w:color w:val="2E6BA0"/>
                <w:sz w:val="20"/>
              </w:rPr>
              <w:t>#148</w:t>
            </w:r>
          </w:p>
        </w:tc>
        <w:tc>
          <w:tcPr>
            <w:tcW w:type="dxa" w:w="6800"/>
          </w:tcPr>
          <w:p>
            <w:r>
              <w:rPr>
                <w:b w:val="0"/>
                <w:i w:val="0"/>
                <w:color w:val="22303C"/>
                <w:sz w:val="20"/>
              </w:rPr>
              <w:t>IDs for users</w:t>
            </w:r>
          </w:p>
        </w:tc>
      </w:tr>
      <w:tr>
        <w:tc>
          <w:tcPr>
            <w:tcW w:type="dxa" w:w="149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496"/>
          </w:tcPr>
          <w:p>
            <w:r>
              <w:rPr>
                <w:b w:val="0"/>
                <w:i w:val="0"/>
                <w:color w:val="2E6BA0"/>
                <w:sz w:val="20"/>
              </w:rPr>
              <w:t>#93</w:t>
            </w:r>
          </w:p>
        </w:tc>
        <w:tc>
          <w:tcPr>
            <w:tcW w:type="dxa" w:w="6800"/>
          </w:tcPr>
          <w:p>
            <w:r>
              <w:rPr>
                <w:b w:val="0"/>
                <w:i w:val="0"/>
                <w:color w:val="22303C"/>
                <w:sz w:val="20"/>
              </w:rPr>
              <w:t>Complete multi-user card ownership</w:t>
            </w:r>
          </w:p>
        </w:tc>
      </w:tr>
      <w:tr>
        <w:tc>
          <w:tcPr>
            <w:tcW w:type="dxa" w:w="149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496"/>
          </w:tcPr>
          <w:p>
            <w:r>
              <w:rPr>
                <w:b w:val="0"/>
                <w:i w:val="0"/>
                <w:color w:val="2E6BA0"/>
                <w:sz w:val="20"/>
              </w:rPr>
              <w:t>#126</w:t>
            </w:r>
            <w:r>
              <w:rPr>
                <w:b w:val="0"/>
                <w:i w:val="0"/>
                <w:color w:val="22303C"/>
                <w:sz w:val="20"/>
              </w:rPr>
              <w:t xml:space="preserve"> / </w:t>
            </w:r>
            <w:r>
              <w:rPr>
                <w:b w:val="0"/>
                <w:i w:val="0"/>
                <w:color w:val="2E6BA0"/>
                <w:sz w:val="20"/>
              </w:rPr>
              <w:t>#139</w:t>
            </w:r>
          </w:p>
        </w:tc>
        <w:tc>
          <w:tcPr>
            <w:tcW w:type="dxa" w:w="6800"/>
          </w:tcPr>
          <w:p>
            <w:r>
              <w:rPr>
                <w:b w:val="0"/>
                <w:i w:val="0"/>
                <w:color w:val="22303C"/>
                <w:sz w:val="20"/>
              </w:rPr>
              <w:t>Blacklist file / delete-request to admin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  <w:color w:val="22303C"/>
          <w:sz w:val="25"/>
        </w:rPr>
        <w:t>Mykola (ai_agent)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1306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</w:t>
            </w:r>
          </w:p>
        </w:tc>
        <w:tc>
          <w:tcPr>
            <w:tcW w:type="dxa" w:w="816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7670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306"/>
          </w:tcPr>
          <w:p>
            <w:r>
              <w:rPr>
                <w:b w:val="0"/>
                <w:i w:val="0"/>
                <w:color w:val="22303C"/>
                <w:sz w:val="20"/>
              </w:rPr>
              <w:t>ai_agent</w:t>
            </w:r>
          </w:p>
        </w:tc>
        <w:tc>
          <w:tcPr>
            <w:tcW w:type="dxa" w:w="816"/>
          </w:tcPr>
          <w:p>
            <w:r>
              <w:rPr>
                <w:b w:val="0"/>
                <w:i w:val="0"/>
                <w:color w:val="2E6BA0"/>
                <w:sz w:val="20"/>
              </w:rPr>
              <w:t>#57</w:t>
            </w:r>
          </w:p>
        </w:tc>
        <w:tc>
          <w:tcPr>
            <w:tcW w:type="dxa" w:w="7670"/>
          </w:tcPr>
          <w:p>
            <w:r>
              <w:rPr>
                <w:b w:val="0"/>
                <w:i w:val="0"/>
                <w:color w:val="22303C"/>
                <w:sz w:val="20"/>
              </w:rPr>
              <w:t>Confirmation popup for Mykola adding cards</w:t>
            </w:r>
          </w:p>
        </w:tc>
      </w:tr>
      <w:tr>
        <w:tc>
          <w:tcPr>
            <w:tcW w:type="dxa" w:w="1306"/>
          </w:tcPr>
          <w:p>
            <w:r>
              <w:rPr>
                <w:b w:val="0"/>
                <w:i w:val="0"/>
                <w:color w:val="22303C"/>
                <w:sz w:val="20"/>
              </w:rPr>
              <w:t>ai_agent</w:t>
            </w:r>
          </w:p>
        </w:tc>
        <w:tc>
          <w:tcPr>
            <w:tcW w:type="dxa" w:w="816"/>
          </w:tcPr>
          <w:p>
            <w:r>
              <w:rPr>
                <w:b w:val="0"/>
                <w:i w:val="0"/>
                <w:color w:val="2E6BA0"/>
                <w:sz w:val="20"/>
              </w:rPr>
              <w:t>#19</w:t>
            </w:r>
          </w:p>
        </w:tc>
        <w:tc>
          <w:tcPr>
            <w:tcW w:type="dxa" w:w="7670"/>
          </w:tcPr>
          <w:p>
            <w:r>
              <w:rPr>
                <w:b w:val="0"/>
                <w:i w:val="0"/>
                <w:color w:val="22303C"/>
                <w:sz w:val="20"/>
              </w:rPr>
              <w:t>Teach Mykola to complement/extend card meanings</w:t>
            </w:r>
          </w:p>
        </w:tc>
      </w:tr>
      <w:tr>
        <w:tc>
          <w:tcPr>
            <w:tcW w:type="dxa" w:w="1306"/>
          </w:tcPr>
          <w:p>
            <w:r>
              <w:rPr>
                <w:b w:val="0"/>
                <w:i w:val="0"/>
                <w:color w:val="22303C"/>
                <w:sz w:val="20"/>
              </w:rPr>
              <w:t>ai_agent</w:t>
            </w:r>
          </w:p>
        </w:tc>
        <w:tc>
          <w:tcPr>
            <w:tcW w:type="dxa" w:w="816"/>
          </w:tcPr>
          <w:p>
            <w:r>
              <w:rPr>
                <w:b w:val="0"/>
                <w:i w:val="0"/>
                <w:color w:val="2E6BA0"/>
                <w:sz w:val="20"/>
              </w:rPr>
              <w:t>#56</w:t>
            </w:r>
          </w:p>
        </w:tc>
        <w:tc>
          <w:tcPr>
            <w:tcW w:type="dxa" w:w="7670"/>
          </w:tcPr>
          <w:p>
            <w:r>
              <w:rPr>
                <w:b w:val="0"/>
                <w:i w:val="0"/>
                <w:color w:val="22303C"/>
                <w:sz w:val="20"/>
              </w:rPr>
              <w:t>Make Mykola's avatar bigger</w:t>
            </w:r>
          </w:p>
        </w:tc>
      </w:tr>
      <w:tr>
        <w:tc>
          <w:tcPr>
            <w:tcW w:type="dxa" w:w="1306"/>
          </w:tcPr>
          <w:p>
            <w:r>
              <w:rPr>
                <w:b w:val="0"/>
                <w:i w:val="0"/>
                <w:color w:val="22303C"/>
                <w:sz w:val="20"/>
              </w:rPr>
              <w:t>ai_agent</w:t>
            </w:r>
          </w:p>
        </w:tc>
        <w:tc>
          <w:tcPr>
            <w:tcW w:type="dxa" w:w="816"/>
          </w:tcPr>
          <w:p>
            <w:r>
              <w:rPr>
                <w:b w:val="0"/>
                <w:i w:val="0"/>
                <w:color w:val="2E6BA0"/>
                <w:sz w:val="20"/>
              </w:rPr>
              <w:t>#58</w:t>
            </w:r>
          </w:p>
        </w:tc>
        <w:tc>
          <w:tcPr>
            <w:tcW w:type="dxa" w:w="7670"/>
          </w:tcPr>
          <w:p>
            <w:r>
              <w:rPr>
                <w:b w:val="0"/>
                <w:i w:val="0"/>
                <w:color w:val="22303C"/>
                <w:sz w:val="20"/>
              </w:rPr>
              <w:t>Save the conversation to a file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  <w:color w:val="22303C"/>
          <w:sz w:val="25"/>
        </w:rPr>
        <w:t>UI polish &amp; investigations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1330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</w:t>
            </w:r>
          </w:p>
        </w:tc>
        <w:tc>
          <w:tcPr>
            <w:tcW w:type="dxa" w:w="1088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7374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330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088"/>
          </w:tcPr>
          <w:p>
            <w:r>
              <w:rPr>
                <w:b w:val="0"/>
                <w:i w:val="0"/>
                <w:color w:val="2E6BA0"/>
                <w:sz w:val="20"/>
              </w:rPr>
              <w:t>#146</w:t>
            </w:r>
          </w:p>
        </w:tc>
        <w:tc>
          <w:tcPr>
            <w:tcW w:type="dxa" w:w="7374"/>
          </w:tcPr>
          <w:p>
            <w:r>
              <w:rPr>
                <w:b w:val="0"/>
                <w:i w:val="0"/>
                <w:color w:val="22303C"/>
                <w:sz w:val="20"/>
              </w:rPr>
              <w:t>Common "Cancel" cross for closing the new-card popup</w:t>
            </w:r>
          </w:p>
        </w:tc>
      </w:tr>
      <w:tr>
        <w:tc>
          <w:tcPr>
            <w:tcW w:type="dxa" w:w="1330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088"/>
          </w:tcPr>
          <w:p>
            <w:r>
              <w:rPr>
                <w:b w:val="0"/>
                <w:i w:val="0"/>
                <w:color w:val="2E6BA0"/>
                <w:sz w:val="20"/>
              </w:rPr>
              <w:t>#120</w:t>
            </w:r>
          </w:p>
        </w:tc>
        <w:tc>
          <w:tcPr>
            <w:tcW w:type="dxa" w:w="7374"/>
          </w:tcPr>
          <w:p>
            <w:r>
              <w:rPr>
                <w:b w:val="0"/>
                <w:i w:val="0"/>
                <w:color w:val="22303C"/>
                <w:sz w:val="20"/>
              </w:rPr>
              <w:t>Pin the Settings close button while the dialog scrolls</w:t>
            </w:r>
          </w:p>
        </w:tc>
      </w:tr>
      <w:tr>
        <w:tc>
          <w:tcPr>
            <w:tcW w:type="dxa" w:w="1330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088"/>
          </w:tcPr>
          <w:p>
            <w:r>
              <w:rPr>
                <w:b w:val="0"/>
                <w:i w:val="0"/>
                <w:color w:val="2E6BA0"/>
                <w:sz w:val="20"/>
              </w:rPr>
              <w:t>#22</w:t>
            </w:r>
            <w:r>
              <w:rPr>
                <w:b w:val="0"/>
                <w:i w:val="0"/>
                <w:color w:val="22303C"/>
                <w:sz w:val="20"/>
              </w:rPr>
              <w:t xml:space="preserve"> / </w:t>
            </w:r>
            <w:r>
              <w:rPr>
                <w:b w:val="0"/>
                <w:i w:val="0"/>
                <w:color w:val="2E6BA0"/>
                <w:sz w:val="20"/>
              </w:rPr>
              <w:t>#74</w:t>
            </w:r>
          </w:p>
        </w:tc>
        <w:tc>
          <w:tcPr>
            <w:tcW w:type="dxa" w:w="7374"/>
          </w:tcPr>
          <w:p>
            <w:r>
              <w:rPr>
                <w:b w:val="0"/>
                <w:i w:val="0"/>
                <w:color w:val="22303C"/>
                <w:sz w:val="20"/>
              </w:rPr>
              <w:t>Website redesign / dark theme</w:t>
            </w:r>
          </w:p>
        </w:tc>
      </w:tr>
      <w:tr>
        <w:tc>
          <w:tcPr>
            <w:tcW w:type="dxa" w:w="1330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088"/>
          </w:tcPr>
          <w:p>
            <w:r>
              <w:rPr>
                <w:b w:val="0"/>
                <w:i w:val="0"/>
                <w:color w:val="2E6BA0"/>
                <w:sz w:val="20"/>
              </w:rPr>
              <w:t>#54</w:t>
            </w:r>
          </w:p>
        </w:tc>
        <w:tc>
          <w:tcPr>
            <w:tcW w:type="dxa" w:w="7374"/>
          </w:tcPr>
          <w:p>
            <w:r>
              <w:rPr>
                <w:b w:val="0"/>
                <w:i w:val="0"/>
                <w:color w:val="22303C"/>
                <w:sz w:val="20"/>
              </w:rPr>
              <w:t>Android app (investigation — repo, board &amp; sub-tasks created)</w:t>
            </w:r>
          </w:p>
        </w:tc>
      </w:tr>
      <w:tr>
        <w:tc>
          <w:tcPr>
            <w:tcW w:type="dxa" w:w="1330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088"/>
          </w:tcPr>
          <w:p>
            <w:r>
              <w:rPr>
                <w:b w:val="0"/>
                <w:i w:val="0"/>
                <w:color w:val="2E6BA0"/>
                <w:sz w:val="20"/>
              </w:rPr>
              <w:t>#110</w:t>
            </w:r>
          </w:p>
        </w:tc>
        <w:tc>
          <w:tcPr>
            <w:tcW w:type="dxa" w:w="7374"/>
          </w:tcPr>
          <w:p>
            <w:r>
              <w:rPr>
                <w:b w:val="0"/>
                <w:i w:val="0"/>
                <w:color w:val="22303C"/>
                <w:sz w:val="20"/>
              </w:rPr>
              <w:t>Merriam-Webster free API (blocked-on-PA workaround)</w:t>
            </w:r>
          </w:p>
        </w:tc>
      </w:tr>
    </w:tbl>
    <w:p>
      <w:pPr>
        <w:spacing w:after="40"/>
      </w:pPr>
    </w:p>
    <w:p>
      <w:pPr>
        <w:pBdr>
          <w:bottom w:val="single" w:sz="8" w:color="D9B13C"/>
        </w:pBdr>
      </w:pPr>
    </w:p>
    <w:p>
      <w:pPr>
        <w:spacing w:after="120"/>
      </w:pPr>
      <w:r>
        <w:rPr>
          <w:b w:val="0"/>
          <w:i/>
          <w:color w:val="22303C"/>
          <w:sz w:val="22"/>
        </w:rPr>
        <w:t>Report generated 24 July 2026 from GitHub PR, issue and commit data across the three repositories. Merged-PR window: 18 July 2026 (kuantorflow#116/#117) through 24 July 2026 (kuantorflow#149, kuantorflow_automation#21).</w:t>
      </w:r>
    </w:p>
    <w:sectPr w:rsidR="00FC693F" w:rsidRPr="0006063C" w:rsidSect="00034616">
      <w:pgSz w:w="12240" w:h="15840"/>
      <w:pgMar w:top="1080" w:right="1195" w:bottom="1080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30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6B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30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