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p>
    <w:p>
      <w:pPr>
        <w:spacing w:after="160"/>
      </w:pPr>
    </w:p>
    <w:p>
      <w:pPr>
        <w:spacing w:after="160"/>
      </w:pPr>
    </w:p>
    <w:p>
      <w:pPr>
        <w:spacing w:after="160"/>
      </w:pPr>
    </w:p>
    <w:p>
      <w:pPr>
        <w:spacing w:after="240"/>
        <w:jc w:val="center"/>
      </w:pPr>
      <w:r>
        <w:rPr>
          <w:b/>
          <w:color w:val="1F4E79"/>
          <w:sz w:val="72"/>
        </w:rPr>
        <w:t>KuantorWave</w:t>
      </w:r>
    </w:p>
    <w:p>
      <w:pPr>
        <w:spacing w:after="160"/>
        <w:jc w:val="center"/>
      </w:pPr>
      <w:r>
        <w:rPr>
          <w:b w:val="0"/>
          <w:color w:val="444444"/>
          <w:sz w:val="32"/>
        </w:rPr>
        <w:t>A Tutorial: What We Are Building and How</w:t>
      </w:r>
    </w:p>
    <w:p>
      <w:pPr>
        <w:spacing w:after="160"/>
        <w:jc w:val="center"/>
      </w:pPr>
      <w:r>
        <w:rPr>
          <w:b w:val="0"/>
          <w:color w:val="888888"/>
          <w:sz w:val="22"/>
        </w:rPr>
        <w:t>Core Implementation Phase 1 · July 2026</w:t>
      </w:r>
    </w:p>
    <w:p>
      <w:r>
        <w:br w:type="page"/>
      </w:r>
    </w:p>
    <w:p>
      <w:pPr>
        <w:pStyle w:val="Heading1"/>
      </w:pPr>
      <w:r>
        <w:t>Contents</w:t>
      </w:r>
    </w:p>
    <w:p>
      <w:pPr>
        <w:spacing w:after="80"/>
      </w:pPr>
      <w:r>
        <w:rPr>
          <w:b w:val="0"/>
          <w:sz w:val="22"/>
        </w:rPr>
        <w:t>1. What is KuantorWave?</w:t>
      </w:r>
    </w:p>
    <w:p>
      <w:pPr>
        <w:spacing w:after="80"/>
      </w:pPr>
      <w:r>
        <w:rPr>
          <w:b w:val="0"/>
          <w:sz w:val="22"/>
        </w:rPr>
        <w:t>2. Why the Core Is Written in C (and Not Pure Python)</w:t>
      </w:r>
    </w:p>
    <w:p>
      <w:pPr>
        <w:spacing w:after="80"/>
      </w:pPr>
      <w:r>
        <w:rPr>
          <w:b w:val="0"/>
          <w:sz w:val="22"/>
        </w:rPr>
        <w:t>3. The Architecture in Five Minutes</w:t>
      </w:r>
    </w:p>
    <w:p>
      <w:pPr>
        <w:spacing w:after="80"/>
      </w:pPr>
      <w:r>
        <w:rPr>
          <w:b w:val="0"/>
          <w:sz w:val="22"/>
        </w:rPr>
        <w:t>4. The Task Map</w:t>
      </w:r>
    </w:p>
    <w:p>
      <w:pPr>
        <w:spacing w:after="80"/>
      </w:pPr>
      <w:r>
        <w:rPr>
          <w:b w:val="0"/>
          <w:sz w:val="22"/>
        </w:rPr>
        <w:t>5. The Build Story</w:t>
      </w:r>
    </w:p>
    <w:p>
      <w:pPr>
        <w:spacing w:after="80"/>
      </w:pPr>
      <w:r>
        <w:rPr>
          <w:b w:val="0"/>
          <w:sz w:val="22"/>
        </w:rPr>
        <w:t>6. Where to Start Reading</w:t>
      </w:r>
    </w:p>
    <w:p>
      <w:r>
        <w:br w:type="page"/>
      </w:r>
    </w:p>
    <w:p>
      <w:pPr>
        <w:pStyle w:val="Heading1"/>
      </w:pPr>
      <w:r>
        <w:t>1. What is KuantorWave?</w:t>
      </w:r>
    </w:p>
    <w:p>
      <w:pPr>
        <w:spacing w:after="160"/>
      </w:pPr>
      <w:r>
        <w:rPr>
          <w:b w:val="0"/>
          <w:sz w:val="22"/>
        </w:rPr>
        <w:t>KuantorWave is a high-performance audio conversion engine: a compiled binary core with a clean Python interface. It converts between the common audio formats — M4A/AAC, MP3, and WAV — by decoding any input into raw PCM audio, optionally resampling it, and encoding it into the requested output format. It is the audio-focused sibling of KuantorFlow and follows the same philosophy: a powerful binary engine behind a simple, elegant API.</w:t>
      </w:r>
    </w:p>
    <w:p>
      <w:pPr>
        <w:spacing w:after="160"/>
      </w:pPr>
      <w:r>
        <w:rPr>
          <w:b w:val="0"/>
          <w:sz w:val="22"/>
        </w:rPr>
        <w:t>The project spans three GitHub repositories, each with a single responsibility:</w:t>
      </w:r>
    </w:p>
    <w:tbl>
      <w:tblPr>
        <w:tblStyle w:val="TableGrid"/>
        <w:tblW w:type="auto" w:w="0"/>
        <w:jc w:val="center"/>
        <w:tblLayout w:type="fixed"/>
        <w:tblLook w:firstColumn="1" w:firstRow="1" w:lastColumn="0" w:lastRow="0" w:noHBand="0" w:noVBand="1" w:val="04A0"/>
      </w:tblPr>
      <w:tblGrid>
        <w:gridCol w:w="2769"/>
        <w:gridCol w:w="2769"/>
        <w:gridCol w:w="2769"/>
      </w:tblGrid>
      <w:tr>
        <w:tc>
          <w:tcPr>
            <w:tcW w:type="dxa" w:w="2200"/>
            <w:shd w:val="clear" w:fill="DDE7F2"/>
          </w:tcPr>
          <w:p>
            <w:r>
              <w:rPr>
                <w:b/>
                <w:sz w:val="20"/>
              </w:rPr>
              <w:t>Repository</w:t>
            </w:r>
          </w:p>
        </w:tc>
        <w:tc>
          <w:tcPr>
            <w:tcW w:type="dxa" w:w="4400"/>
            <w:shd w:val="clear" w:fill="DDE7F2"/>
          </w:tcPr>
          <w:p>
            <w:r>
              <w:rPr>
                <w:b/>
                <w:sz w:val="20"/>
              </w:rPr>
              <w:t>Responsibility</w:t>
            </w:r>
          </w:p>
        </w:tc>
        <w:tc>
          <w:tcPr>
            <w:tcW w:type="dxa" w:w="2000"/>
            <w:shd w:val="clear" w:fill="DDE7F2"/>
          </w:tcPr>
          <w:p>
            <w:r>
              <w:rPr>
                <w:b/>
                <w:sz w:val="20"/>
              </w:rPr>
              <w:t>Language</w:t>
            </w:r>
          </w:p>
        </w:tc>
      </w:tr>
      <w:tr>
        <w:tc>
          <w:tcPr>
            <w:tcW w:type="dxa" w:w="2200"/>
          </w:tcPr>
          <w:p>
            <w:r>
              <w:rPr>
                <w:b/>
                <w:sz w:val="20"/>
              </w:rPr>
              <w:t>kuantorwave</w:t>
            </w:r>
          </w:p>
        </w:tc>
        <w:tc>
          <w:tcPr>
            <w:tcW w:type="dxa" w:w="4400"/>
          </w:tcPr>
          <w:p>
            <w:r>
              <w:rPr>
                <w:sz w:val="20"/>
              </w:rPr>
              <w:t>The compiled core: decoding, encoding, resampling, format detection, metadata. Ships as a shared library (.so / .dll / .dylib).</w:t>
            </w:r>
          </w:p>
        </w:tc>
        <w:tc>
          <w:tcPr>
            <w:tcW w:type="dxa" w:w="2000"/>
          </w:tcPr>
          <w:p>
            <w:r>
              <w:rPr>
                <w:sz w:val="20"/>
              </w:rPr>
              <w:t>C</w:t>
            </w:r>
          </w:p>
        </w:tc>
      </w:tr>
      <w:tr>
        <w:tc>
          <w:tcPr>
            <w:tcW w:type="dxa" w:w="2200"/>
          </w:tcPr>
          <w:p>
            <w:r>
              <w:rPr>
                <w:b/>
                <w:sz w:val="20"/>
              </w:rPr>
              <w:t>kuantorwave_cli</w:t>
            </w:r>
          </w:p>
        </w:tc>
        <w:tc>
          <w:tcPr>
            <w:tcW w:type="dxa" w:w="4400"/>
          </w:tcPr>
          <w:p>
            <w:r>
              <w:rPr>
                <w:sz w:val="20"/>
              </w:rPr>
              <w:t>The outer Python layer: a core_api wrapper package binding the binary, plus the kuantorwave command-line tool.</w:t>
            </w:r>
          </w:p>
        </w:tc>
        <w:tc>
          <w:tcPr>
            <w:tcW w:type="dxa" w:w="2000"/>
          </w:tcPr>
          <w:p>
            <w:r>
              <w:rPr>
                <w:sz w:val="20"/>
              </w:rPr>
              <w:t>Python</w:t>
            </w:r>
          </w:p>
        </w:tc>
      </w:tr>
      <w:tr>
        <w:tc>
          <w:tcPr>
            <w:tcW w:type="dxa" w:w="2200"/>
          </w:tcPr>
          <w:p>
            <w:r>
              <w:rPr>
                <w:b/>
                <w:sz w:val="20"/>
              </w:rPr>
              <w:t>kw_tests</w:t>
            </w:r>
          </w:p>
        </w:tc>
        <w:tc>
          <w:tcPr>
            <w:tcW w:type="dxa" w:w="4400"/>
          </w:tcPr>
          <w:p>
            <w:r>
              <w:rPr>
                <w:sz w:val="20"/>
              </w:rPr>
              <w:t>The cross-repo regression suite: end-to-end conversion tests exercising core + wrapper + CLI together.</w:t>
            </w:r>
          </w:p>
        </w:tc>
        <w:tc>
          <w:tcPr>
            <w:tcW w:type="dxa" w:w="2000"/>
          </w:tcPr>
          <w:p>
            <w:r>
              <w:rPr>
                <w:sz w:val="20"/>
              </w:rPr>
              <w:t>Python (pytest)</w:t>
            </w:r>
          </w:p>
        </w:tc>
      </w:tr>
    </w:tbl>
    <w:p>
      <w:pPr>
        <w:spacing w:after="160"/>
      </w:pPr>
    </w:p>
    <w:p>
      <w:pPr>
        <w:spacing w:after="160"/>
      </w:pPr>
      <w:r>
        <w:rPr>
          <w:b w:val="0"/>
          <w:sz w:val="22"/>
        </w:rPr>
        <w:t>Everything difficult lives in the core. Python never touches codec internals — it opens no audio files itself and simply orchestrates calls across a small, stable C API of eleven functions.</w:t>
      </w:r>
    </w:p>
    <w:p>
      <w:pPr>
        <w:pStyle w:val="Heading1"/>
      </w:pPr>
      <w:r>
        <w:t>2. Why the Core Is Written in C (and Not Pure Python)</w:t>
      </w:r>
    </w:p>
    <w:p>
      <w:pPr>
        <w:spacing w:after="160"/>
      </w:pPr>
      <w:r>
        <w:rPr>
          <w:b w:val="0"/>
          <w:sz w:val="22"/>
        </w:rPr>
        <w:t>A fair question: Python is the project's user-facing language, so why not write everything in it? Two reasons — one about the nature of the work, one about the ecosystem.</w:t>
      </w:r>
    </w:p>
    <w:p>
      <w:pPr>
        <w:pStyle w:val="Heading2"/>
      </w:pPr>
      <w:r>
        <w:t>2.1 The arithmetic of audio</w:t>
      </w:r>
    </w:p>
    <w:p>
      <w:pPr>
        <w:spacing w:after="160"/>
      </w:pPr>
      <w:r>
        <w:rPr>
          <w:b w:val="0"/>
          <w:sz w:val="22"/>
        </w:rPr>
        <w:t>Audio transcoding is per-sample number crunching. CD-quality stereo audio carries 44,100 samples per second per channel, and an MP3 or AAC codec pushes every one of them through filter banks, modified discrete cosine transforms, quantisation, and Huffman coding. A three-minute song is roughly sixteen million samples — and every single one takes multiple passes through tight numeric loops.</w:t>
      </w:r>
    </w:p>
    <w:p>
      <w:pPr>
        <w:spacing w:after="160"/>
      </w:pPr>
      <w:r>
        <w:rPr>
          <w:b w:val="0"/>
          <w:sz w:val="22"/>
        </w:rPr>
        <w:t>Tight numeric loops are exactly where interpreted Python is weakest: the same loop runs roughly 50–100 times slower than compiled C, because every iteration pays for dynamic dispatch, object boxing, and reference counting. In practice that is the difference between converting a song in a fraction of a second and taking minutes per file. For a tool whose whole purpose is fast, reliable conversion, the interpreter is the wrong place for the inner loop.</w:t>
      </w:r>
    </w:p>
    <w:p>
      <w:pPr>
        <w:pStyle w:val="Heading2"/>
      </w:pPr>
      <w:r>
        <w:t>2.2 The codec ecosystem is C</w:t>
      </w:r>
    </w:p>
    <w:p>
      <w:pPr>
        <w:spacing w:after="160"/>
      </w:pPr>
      <w:r>
        <w:rPr>
          <w:b w:val="0"/>
          <w:sz w:val="22"/>
        </w:rPr>
        <w:t>Every production codec in existence is compiled code: LAME (MP3), FDK-AAC and FFmpeg's encoders (AAC), libopus, libvorbis — all C. Consequently, every Python audio package you have ever used (pydub, librosa, soundfile) is a thin wrapper over a compiled library underneath. “Audio processing in Python” always means “Python steering C”; the only question is whose C it is. KuantorWave makes that explicit: we own the engine, and Python stays what it is best at — a clean orchestration and interface layer.</w:t>
      </w:r>
    </w:p>
    <w:p>
      <w:pPr>
        <w:pStyle w:val="Heading2"/>
      </w:pPr>
      <w:r>
        <w:t>2.3 The honest caveat</w:t>
      </w:r>
    </w:p>
    <w:p>
      <w:pPr>
        <w:spacing w:after="160"/>
      </w:pPr>
      <w:r>
        <w:rPr>
          <w:b w:val="0"/>
          <w:sz w:val="22"/>
        </w:rPr>
        <w:t>If the only goal were converting files, nobody would write a codec core at all — twenty lines of Python calling ffmpeg as a subprocess would do it. The custom core is justified by what this project actually is: building and owning the engine itself — full control over the pipeline, no external process dependency, an embeddable C API, and the same architectural exercise that shaped KuantorFlow. There is also a pragmatic middle path, recorded as an open option: the core can link proven codec libraries (LAME, minimp3, FDK-AAC) inside our own architecture rather than re-deriving DSP from scratch. The API and module structure stay identical either way; only the internals of the decoder and encoder modules change.</w:t>
      </w:r>
    </w:p>
    <w:p>
      <w:pPr>
        <w:pStyle w:val="Heading1"/>
      </w:pPr>
      <w:r>
        <w:t>3. The Architecture in Five Minutes</w:t>
      </w:r>
    </w:p>
    <w:p>
      <w:pPr>
        <w:spacing w:after="160"/>
      </w:pPr>
      <w:r>
        <w:rPr>
          <w:b w:val="0"/>
          <w:sz w:val="22"/>
        </w:rPr>
        <w:t>The core's central idea is a pivot format. Every decoder produces the same thing — a PCM buffer of raw interleaved samples — and every encoder consumes the same thing. No codec ever talks to another codec directly. Converting between N input and M output formats therefore needs N decoders plus M encoders, not N×M converters.</w:t>
      </w:r>
    </w:p>
    <w:p>
      <w:pPr>
        <w:spacing w:after="160"/>
        <w:shd w:val="clear" w:fill="F2F2F2"/>
      </w:pPr>
      <w:r>
        <w:rPr>
          <w:rFonts w:ascii="Consolas" w:hAnsi="Consolas"/>
          <w:sz w:val="20"/>
        </w:rPr>
        <w:t>input file → format detection → decoder → PCM buffer → [resampler] → encoder → output file</w:t>
      </w:r>
    </w:p>
    <w:p>
      <w:pPr>
        <w:spacing w:after="160"/>
      </w:pPr>
      <w:r>
        <w:rPr>
          <w:b w:val="0"/>
          <w:sz w:val="22"/>
        </w:rPr>
        <w:t>The public API is a single C header, include/kuantorwave.h, with eleven functions: engine lifecycle (kw_load_engine, kw_unload_engine, kw_version, kw_abi_version), the operations (kw_detect_format, kw_decode, kw_encode, kw_convert, kw_get_metadata, kw_resample), and memory management (kw_pcm_alloc, kw_pcm_free) with kw_error_message for diagnostics. Every function returns an error code; results travel through out-parameters; nothing ever crosses the boundary by value.</w:t>
      </w:r>
    </w:p>
    <w:p>
      <w:pPr>
        <w:spacing w:after="160"/>
      </w:pPr>
      <w:r>
        <w:rPr>
          <w:b w:val="0"/>
          <w:sz w:val="22"/>
        </w:rPr>
        <w:t>Python binds this header with ctypes (Architecture Decision Record 0001). That keeps kuantorwave_cli a pure Python package — installing it never needs a compiler, and it works with any Python version, because ctypes binds at runtime. The marshalling overhead of ctypes is irrelevant here: calls are file-granular (one kw_convert per file), not per-sample.</w:t>
      </w:r>
    </w:p>
    <w:p>
      <w:pPr>
        <w:pStyle w:val="Heading1"/>
      </w:pPr>
      <w:r>
        <w:t>4. The Task Map</w:t>
      </w:r>
    </w:p>
    <w:p>
      <w:pPr>
        <w:spacing w:after="160"/>
      </w:pPr>
      <w:r>
        <w:rPr>
          <w:b w:val="0"/>
          <w:sz w:val="22"/>
        </w:rPr>
        <w:t>The initial implementation ticket (kuantorwave#1) was broken down in kuantorwave#2 into ten atomic sub-tasks, each its own GitHub issue under the “Core Implementation Phase 1” milestone. Together with this tutorial's own ticket, the full map is:</w:t>
      </w:r>
    </w:p>
    <w:tbl>
      <w:tblPr>
        <w:tblStyle w:val="TableGrid"/>
        <w:tblW w:type="auto" w:w="0"/>
        <w:jc w:val="center"/>
        <w:tblLayout w:type="fixed"/>
        <w:tblLook w:firstColumn="1" w:firstRow="1" w:lastColumn="0" w:lastRow="0" w:noHBand="0" w:noVBand="1" w:val="04A0"/>
      </w:tblPr>
      <w:tblGrid>
        <w:gridCol w:w="2769"/>
        <w:gridCol w:w="2769"/>
        <w:gridCol w:w="2769"/>
      </w:tblGrid>
      <w:tr>
        <w:tc>
          <w:tcPr>
            <w:tcW w:type="dxa" w:w="1400"/>
            <w:shd w:val="clear" w:fill="DDE7F2"/>
          </w:tcPr>
          <w:p>
            <w:r>
              <w:rPr>
                <w:b/>
                <w:sz w:val="20"/>
              </w:rPr>
              <w:t>Issue</w:t>
            </w:r>
          </w:p>
        </w:tc>
        <w:tc>
          <w:tcPr>
            <w:tcW w:type="dxa" w:w="5400"/>
            <w:shd w:val="clear" w:fill="DDE7F2"/>
          </w:tcPr>
          <w:p>
            <w:r>
              <w:rPr>
                <w:b/>
                <w:sz w:val="20"/>
              </w:rPr>
              <w:t>What it delivers</w:t>
            </w:r>
          </w:p>
        </w:tc>
        <w:tc>
          <w:tcPr>
            <w:tcW w:type="dxa" w:w="1800"/>
            <w:shd w:val="clear" w:fill="DDE7F2"/>
          </w:tcPr>
          <w:p>
            <w:r>
              <w:rPr>
                <w:b/>
                <w:sz w:val="20"/>
              </w:rPr>
              <w:t>Status</w:t>
            </w:r>
          </w:p>
        </w:tc>
      </w:tr>
      <w:tr>
        <w:tc>
          <w:tcPr>
            <w:tcW w:type="dxa" w:w="1400"/>
          </w:tcPr>
          <w:p>
            <w:r>
              <w:rPr>
                <w:b/>
                <w:sz w:val="20"/>
              </w:rPr>
              <w:t>#5</w:t>
            </w:r>
          </w:p>
        </w:tc>
        <w:tc>
          <w:tcPr>
            <w:tcW w:type="dxa" w:w="5400"/>
          </w:tcPr>
          <w:p>
            <w:r>
              <w:rPr>
                <w:sz w:val="20"/>
              </w:rPr>
              <w:t>Core architecture: module map, data flow, the public C header, and the ctypes binding decision.</w:t>
            </w:r>
          </w:p>
        </w:tc>
        <w:tc>
          <w:tcPr>
            <w:tcW w:type="dxa" w:w="1800"/>
          </w:tcPr>
          <w:p>
            <w:r>
              <w:rPr>
                <w:sz w:val="20"/>
              </w:rPr>
              <w:t>Done (PR #12)</w:t>
            </w:r>
          </w:p>
        </w:tc>
      </w:tr>
      <w:tr>
        <w:tc>
          <w:tcPr>
            <w:tcW w:type="dxa" w:w="1400"/>
          </w:tcPr>
          <w:p>
            <w:r>
              <w:rPr>
                <w:b/>
                <w:sz w:val="20"/>
              </w:rPr>
              <w:t>#6</w:t>
            </w:r>
          </w:p>
        </w:tc>
        <w:tc>
          <w:tcPr>
            <w:tcW w:type="dxa" w:w="5400"/>
          </w:tcPr>
          <w:p>
            <w:r>
              <w:rPr>
                <w:sz w:val="20"/>
              </w:rPr>
              <w:t>Format detection: identify MP3 / M4A / WAV from magic bytes, never trusting the file extension.</w:t>
            </w:r>
          </w:p>
        </w:tc>
        <w:tc>
          <w:tcPr>
            <w:tcW w:type="dxa" w:w="1800"/>
          </w:tcPr>
          <w:p>
            <w:r>
              <w:rPr>
                <w:sz w:val="20"/>
              </w:rPr>
              <w:t>Done (PR #13)</w:t>
            </w:r>
          </w:p>
        </w:tc>
      </w:tr>
      <w:tr>
        <w:tc>
          <w:tcPr>
            <w:tcW w:type="dxa" w:w="1400"/>
          </w:tcPr>
          <w:p>
            <w:r>
              <w:rPr>
                <w:b/>
                <w:sz w:val="20"/>
              </w:rPr>
              <w:t>#7</w:t>
            </w:r>
          </w:p>
        </w:tc>
        <w:tc>
          <w:tcPr>
            <w:tcW w:type="dxa" w:w="5400"/>
          </w:tcPr>
          <w:p>
            <w:r>
              <w:rPr>
                <w:sz w:val="20"/>
              </w:rPr>
              <w:t>PCM buffer subsystem: the unified raw-audio pivot type and its memory lifecycle.</w:t>
            </w:r>
          </w:p>
        </w:tc>
        <w:tc>
          <w:tcPr>
            <w:tcW w:type="dxa" w:w="1800"/>
          </w:tcPr>
          <w:p>
            <w:r>
              <w:rPr>
                <w:sz w:val="20"/>
              </w:rPr>
              <w:t>Next up</w:t>
            </w:r>
          </w:p>
        </w:tc>
      </w:tr>
      <w:tr>
        <w:tc>
          <w:tcPr>
            <w:tcW w:type="dxa" w:w="1400"/>
          </w:tcPr>
          <w:p>
            <w:r>
              <w:rPr>
                <w:b/>
                <w:sz w:val="20"/>
              </w:rPr>
              <w:t>#8</w:t>
            </w:r>
          </w:p>
        </w:tc>
        <w:tc>
          <w:tcPr>
            <w:tcW w:type="dxa" w:w="5400"/>
          </w:tcPr>
          <w:p>
            <w:r>
              <w:rPr>
                <w:sz w:val="20"/>
              </w:rPr>
              <w:t>Decoder module: AAC (M4A), MP3, and WAV into PCM.</w:t>
            </w:r>
          </w:p>
        </w:tc>
        <w:tc>
          <w:tcPr>
            <w:tcW w:type="dxa" w:w="1800"/>
          </w:tcPr>
          <w:p>
            <w:r>
              <w:rPr>
                <w:sz w:val="20"/>
              </w:rPr>
              <w:t>To do</w:t>
            </w:r>
          </w:p>
        </w:tc>
      </w:tr>
      <w:tr>
        <w:tc>
          <w:tcPr>
            <w:tcW w:type="dxa" w:w="1400"/>
          </w:tcPr>
          <w:p>
            <w:r>
              <w:rPr>
                <w:b/>
                <w:sz w:val="20"/>
              </w:rPr>
              <w:t>#9</w:t>
            </w:r>
          </w:p>
        </w:tc>
        <w:tc>
          <w:tcPr>
            <w:tcW w:type="dxa" w:w="5400"/>
          </w:tcPr>
          <w:p>
            <w:r>
              <w:rPr>
                <w:sz w:val="20"/>
              </w:rPr>
              <w:t>Encoder module: PCM into MP3 and AAC (M4A), with bitrate and sample-rate parameters.</w:t>
            </w:r>
          </w:p>
        </w:tc>
        <w:tc>
          <w:tcPr>
            <w:tcW w:type="dxa" w:w="1800"/>
          </w:tcPr>
          <w:p>
            <w:r>
              <w:rPr>
                <w:sz w:val="20"/>
              </w:rPr>
              <w:t>To do</w:t>
            </w:r>
          </w:p>
        </w:tc>
      </w:tr>
      <w:tr>
        <w:tc>
          <w:tcPr>
            <w:tcW w:type="dxa" w:w="1400"/>
          </w:tcPr>
          <w:p>
            <w:r>
              <w:rPr>
                <w:b/>
                <w:sz w:val="20"/>
              </w:rPr>
              <w:t>#10</w:t>
            </w:r>
          </w:p>
        </w:tc>
        <w:tc>
          <w:tcPr>
            <w:tcW w:type="dxa" w:w="5400"/>
          </w:tcPr>
          <w:p>
            <w:r>
              <w:rPr>
                <w:sz w:val="20"/>
              </w:rPr>
              <w:t>Resampling engine: 44.1 kHz ↔ 48 kHz sample-rate conversion on PCM buffers.</w:t>
            </w:r>
          </w:p>
        </w:tc>
        <w:tc>
          <w:tcPr>
            <w:tcW w:type="dxa" w:w="1800"/>
          </w:tcPr>
          <w:p>
            <w:r>
              <w:rPr>
                <w:sz w:val="20"/>
              </w:rPr>
              <w:t>To do</w:t>
            </w:r>
          </w:p>
        </w:tc>
      </w:tr>
      <w:tr>
        <w:tc>
          <w:tcPr>
            <w:tcW w:type="dxa" w:w="1400"/>
          </w:tcPr>
          <w:p>
            <w:r>
              <w:rPr>
                <w:b/>
                <w:sz w:val="20"/>
              </w:rPr>
              <w:t>#11</w:t>
            </w:r>
          </w:p>
        </w:tc>
        <w:tc>
          <w:tcPr>
            <w:tcW w:type="dxa" w:w="5400"/>
          </w:tcPr>
          <w:p>
            <w:r>
              <w:rPr>
                <w:sz w:val="20"/>
              </w:rPr>
              <w:t>Metadata extraction: duration, bitrate, sample rate, channels — from headers, without decoding.</w:t>
            </w:r>
          </w:p>
        </w:tc>
        <w:tc>
          <w:tcPr>
            <w:tcW w:type="dxa" w:w="1800"/>
          </w:tcPr>
          <w:p>
            <w:r>
              <w:rPr>
                <w:sz w:val="20"/>
              </w:rPr>
              <w:t>To do</w:t>
            </w:r>
          </w:p>
        </w:tc>
      </w:tr>
      <w:tr>
        <w:tc>
          <w:tcPr>
            <w:tcW w:type="dxa" w:w="1400"/>
          </w:tcPr>
          <w:p>
            <w:r>
              <w:rPr>
                <w:b/>
                <w:sz w:val="20"/>
              </w:rPr>
              <w:t>cli#1</w:t>
            </w:r>
          </w:p>
        </w:tc>
        <w:tc>
          <w:tcPr>
            <w:tcW w:type="dxa" w:w="5400"/>
          </w:tcPr>
          <w:p>
            <w:r>
              <w:rPr>
                <w:sz w:val="20"/>
              </w:rPr>
              <w:t>Python wrapper (kuantorwave_cli): the core_api package binding the binary via ctypes.</w:t>
            </w:r>
          </w:p>
        </w:tc>
        <w:tc>
          <w:tcPr>
            <w:tcW w:type="dxa" w:w="1800"/>
          </w:tcPr>
          <w:p>
            <w:r>
              <w:rPr>
                <w:sz w:val="20"/>
              </w:rPr>
              <w:t>To do</w:t>
            </w:r>
          </w:p>
        </w:tc>
      </w:tr>
      <w:tr>
        <w:tc>
          <w:tcPr>
            <w:tcW w:type="dxa" w:w="1400"/>
          </w:tcPr>
          <w:p>
            <w:r>
              <w:rPr>
                <w:b/>
                <w:sz w:val="20"/>
              </w:rPr>
              <w:t>cli#2</w:t>
            </w:r>
          </w:p>
        </w:tc>
        <w:tc>
          <w:tcPr>
            <w:tcW w:type="dxa" w:w="5400"/>
          </w:tcPr>
          <w:p>
            <w:r>
              <w:rPr>
                <w:sz w:val="20"/>
              </w:rPr>
              <w:t>CLI tool (kuantorwave_cli): the kuantorwave convert / metadata commands.</w:t>
            </w:r>
          </w:p>
        </w:tc>
        <w:tc>
          <w:tcPr>
            <w:tcW w:type="dxa" w:w="1800"/>
          </w:tcPr>
          <w:p>
            <w:r>
              <w:rPr>
                <w:sz w:val="20"/>
              </w:rPr>
              <w:t>To do</w:t>
            </w:r>
          </w:p>
        </w:tc>
      </w:tr>
      <w:tr>
        <w:tc>
          <w:tcPr>
            <w:tcW w:type="dxa" w:w="1400"/>
          </w:tcPr>
          <w:p>
            <w:r>
              <w:rPr>
                <w:b/>
                <w:sz w:val="20"/>
              </w:rPr>
              <w:t>kw_tests#1</w:t>
            </w:r>
          </w:p>
        </w:tc>
        <w:tc>
          <w:tcPr>
            <w:tcW w:type="dxa" w:w="5400"/>
          </w:tcPr>
          <w:p>
            <w:r>
              <w:rPr>
                <w:sz w:val="20"/>
              </w:rPr>
              <w:t>Regression suite (kw_tests): end-to-end conversion tests across the whole stack.</w:t>
            </w:r>
          </w:p>
        </w:tc>
        <w:tc>
          <w:tcPr>
            <w:tcW w:type="dxa" w:w="1800"/>
          </w:tcPr>
          <w:p>
            <w:r>
              <w:rPr>
                <w:sz w:val="20"/>
              </w:rPr>
              <w:t>To do</w:t>
            </w:r>
          </w:p>
        </w:tc>
      </w:tr>
      <w:tr>
        <w:tc>
          <w:tcPr>
            <w:tcW w:type="dxa" w:w="1400"/>
          </w:tcPr>
          <w:p>
            <w:r>
              <w:rPr>
                <w:b/>
                <w:sz w:val="20"/>
              </w:rPr>
              <w:t>#14</w:t>
            </w:r>
          </w:p>
        </w:tc>
        <w:tc>
          <w:tcPr>
            <w:tcW w:type="dxa" w:w="5400"/>
          </w:tcPr>
          <w:p>
            <w:r>
              <w:rPr>
                <w:sz w:val="20"/>
              </w:rPr>
              <w:t>This tutorial document.</w:t>
            </w:r>
          </w:p>
        </w:tc>
        <w:tc>
          <w:tcPr>
            <w:tcW w:type="dxa" w:w="1800"/>
          </w:tcPr>
          <w:p>
            <w:r>
              <w:rPr>
                <w:sz w:val="20"/>
              </w:rPr>
              <w:t>In progress</w:t>
            </w:r>
          </w:p>
        </w:tc>
      </w:tr>
    </w:tbl>
    <w:p>
      <w:pPr>
        <w:spacing w:after="160"/>
      </w:pPr>
    </w:p>
    <w:p>
      <w:pPr>
        <w:spacing w:after="160"/>
      </w:pPr>
      <w:r>
        <w:rPr>
          <w:b w:val="0"/>
          <w:sz w:val="22"/>
        </w:rPr>
        <w:t>Issues #5, #6, and #7 sit in the “Highest Prio” column of the KuantorWave Development board: they are the foundation layer that everything else builds on. All ten sub-tasks are linked as sub-issues of kuantorwave#1, so progress is visible in one place.</w:t>
      </w:r>
    </w:p>
    <w:p>
      <w:pPr>
        <w:pStyle w:val="Heading1"/>
      </w:pPr>
      <w:r>
        <w:t>5. The Build Story</w:t>
      </w:r>
    </w:p>
    <w:p>
      <w:pPr>
        <w:spacing w:after="160"/>
      </w:pPr>
      <w:r>
        <w:rPr>
          <w:b w:val="0"/>
          <w:sz w:val="22"/>
        </w:rPr>
        <w:t>The order of work follows the dependency structure of the pipeline — each stage creates the contract the next stage implements against.</w:t>
      </w:r>
    </w:p>
    <w:p>
      <w:pPr>
        <w:pStyle w:val="Heading2"/>
      </w:pPr>
      <w:r>
        <w:t>5.1 First, the contract (#5 — merged)</w:t>
      </w:r>
    </w:p>
    <w:p>
      <w:pPr>
        <w:spacing w:after="160"/>
      </w:pPr>
      <w:r>
        <w:rPr>
          <w:b w:val="0"/>
          <w:sz w:val="22"/>
        </w:rPr>
        <w:t>Before any module was written, the architecture task produced the public header, the architecture document, and the binding decision. This is deliberate: with the eleven-function contract fixed, every later task has an exact definition of done, and the Python wrapper can be developed against the header without waiting for the core to be finished.</w:t>
      </w:r>
    </w:p>
    <w:p>
      <w:pPr>
        <w:pStyle w:val="Heading2"/>
      </w:pPr>
      <w:r>
        <w:t>5.2 Then, eyes and hands (#6 — merged, #7 — next)</w:t>
      </w:r>
    </w:p>
    <w:p>
      <w:pPr>
        <w:spacing w:after="160"/>
      </w:pPr>
      <w:r>
        <w:rPr>
          <w:b w:val="0"/>
          <w:sz w:val="22"/>
        </w:rPr>
        <w:t>Format detection (#6) is the pipeline's front door: it reads magic bytes — the RIFF/WAVE markers of WAV files, the ftyp box of MP4/M4A containers, MP3 frame sync words behind optional ID3v2 tags — and dispatches everything downstream. It shipped together with the project's first CMake build and a CI gate that compiles and tests on Linux, Windows, and macOS on every push, which is how all later C work is verified. The PCM buffer subsystem (#7) follows: it is the currency every other module trades in, so it must exist before any decoder or encoder can be written.</w:t>
      </w:r>
    </w:p>
    <w:p>
      <w:pPr>
        <w:pStyle w:val="Heading2"/>
      </w:pPr>
      <w:r>
        <w:t>5.3 Then, the pipeline organs (#8, #9, #10, #11)</w:t>
      </w:r>
    </w:p>
    <w:p>
      <w:pPr>
        <w:spacing w:after="160"/>
      </w:pPr>
      <w:r>
        <w:rPr>
          <w:b w:val="0"/>
          <w:sz w:val="22"/>
        </w:rPr>
        <w:t>With detection and PCM in place, the four processing modules can proceed independently — even in parallel: decoders (#8) turn compressed audio into PCM, encoders (#9) turn PCM back into MP3 or M4A, the resampler (#10) converts between 44.1 and 48 kHz, and metadata extraction (#11) reads duration and bitrate straight from headers. Each lands with its own unit tests behind the CI gate. When #8 and #9 are done, kw_convert works end-to-end for the first time.</w:t>
      </w:r>
    </w:p>
    <w:p>
      <w:pPr>
        <w:pStyle w:val="Heading2"/>
      </w:pPr>
      <w:r>
        <w:t>5.4 Then, the Python face (cli#1, cli#2)</w:t>
      </w:r>
    </w:p>
    <w:p>
      <w:pPr>
        <w:spacing w:after="160"/>
      </w:pPr>
      <w:r>
        <w:rPr>
          <w:b w:val="0"/>
          <w:sz w:val="22"/>
        </w:rPr>
        <w:t>The wrapper package binds the finished binary with ctypes and translates error codes into Python exceptions; the CLI adds the kuantorwave convert and kuantorwave metadata commands on top. Only at this point does a user-facing product exist: kuantorwave convert input.m4a output.mp3.</w:t>
      </w:r>
    </w:p>
    <w:p>
      <w:pPr>
        <w:pStyle w:val="Heading2"/>
      </w:pPr>
      <w:r>
        <w:t>5.5 Finally, the proof (kw_tests#1)</w:t>
      </w:r>
    </w:p>
    <w:p>
      <w:pPr>
        <w:spacing w:after="160"/>
      </w:pPr>
      <w:r>
        <w:rPr>
          <w:b w:val="0"/>
          <w:sz w:val="22"/>
        </w:rPr>
        <w:t>The regression suite closes the loop: real fixture files, round-trip conversions in both directions, validity checks on the output, metadata preservation, resampling scenarios, and error cases. It covers every acceptance criterion of the original ticket — when it is green, Phase 1 is done.</w:t>
      </w:r>
    </w:p>
    <w:p>
      <w:pPr>
        <w:pStyle w:val="Heading1"/>
      </w:pPr>
      <w:r>
        <w:t>6. Where to Start Reading</w:t>
      </w:r>
    </w:p>
    <w:p>
      <w:pPr>
        <w:pStyle w:val="ListBullet"/>
        <w:spacing w:after="120"/>
      </w:pPr>
      <w:r>
        <w:rPr>
          <w:b/>
        </w:rPr>
        <w:t>include/kuantorwave.h</w:t>
      </w:r>
      <w:r>
        <w:rPr>
          <w:b w:val="0"/>
        </w:rPr>
        <w:t xml:space="preserve"> — the whole public API with its contract rules in the comments. Twenty minutes, and you understand the system.</w:t>
      </w:r>
    </w:p>
    <w:p>
      <w:pPr>
        <w:pStyle w:val="ListBullet"/>
        <w:spacing w:after="120"/>
      </w:pPr>
      <w:r>
        <w:rPr>
          <w:b/>
        </w:rPr>
        <w:t>docs/architecture.md</w:t>
      </w:r>
      <w:r>
        <w:rPr>
          <w:b w:val="0"/>
        </w:rPr>
        <w:t xml:space="preserve"> — module map, data-flow diagram, error-handling strategy, threading model.</w:t>
      </w:r>
    </w:p>
    <w:p>
      <w:pPr>
        <w:pStyle w:val="ListBullet"/>
        <w:spacing w:after="120"/>
      </w:pPr>
      <w:r>
        <w:rPr>
          <w:b/>
        </w:rPr>
        <w:t>docs/decisions/0001-python-binding-mechanism.md</w:t>
      </w:r>
      <w:r>
        <w:rPr>
          <w:b w:val="0"/>
        </w:rPr>
        <w:t xml:space="preserve"> — why ctypes won over cffi and a CPython extension.</w:t>
      </w:r>
    </w:p>
    <w:p>
      <w:pPr>
        <w:pStyle w:val="ListBullet"/>
        <w:spacing w:after="120"/>
      </w:pPr>
      <w:r>
        <w:rPr>
          <w:b/>
        </w:rPr>
        <w:t>core/src/detect/kw_detect.c</w:t>
      </w:r>
      <w:r>
        <w:rPr>
          <w:b w:val="0"/>
        </w:rPr>
        <w:t xml:space="preserve"> — the first real module; small enough to read in one sitting, and its tests in tests/test_detect.c show the project's testing style.</w:t>
      </w:r>
    </w:p>
    <w:p>
      <w:pPr>
        <w:pStyle w:val="ListBullet"/>
        <w:spacing w:after="120"/>
      </w:pPr>
      <w:r>
        <w:rPr>
          <w:b/>
        </w:rPr>
        <w:t>kuantorwave#2</w:t>
      </w:r>
      <w:r>
        <w:rPr>
          <w:b w:val="0"/>
        </w:rPr>
        <w:t xml:space="preserve"> — the breakdown issue; its closing comment holds the full cross-linked task list.</w:t>
      </w:r>
    </w:p>
    <w:sectPr w:rsidR="00FC693F" w:rsidRPr="0006063C" w:rsidSect="0003461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Calibr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Calibr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