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40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F3864"/>
          <w:spacing w:val="0"/>
          <w:position w:val="0"/>
          <w:sz w:val="40"/>
          <w:shd w:fill="auto" w:val="clear"/>
        </w:rPr>
        <w:t xml:space="preserve">IT4IT &amp; Reflective Summary</w:t>
      </w:r>
    </w:p>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555555"/>
          <w:spacing w:val="0"/>
          <w:position w:val="0"/>
          <w:sz w:val="26"/>
          <w:shd w:fill="auto" w:val="clear"/>
        </w:rPr>
        <w:t xml:space="preserve">Almaty Tender Analyzer </w:t>
      </w:r>
      <w:r>
        <w:rPr>
          <w:rFonts w:ascii="Arial" w:hAnsi="Arial" w:cs="Arial" w:eastAsia="Arial"/>
          <w:color w:val="555555"/>
          <w:spacing w:val="0"/>
          <w:position w:val="0"/>
          <w:sz w:val="26"/>
          <w:shd w:fill="auto" w:val="clear"/>
        </w:rPr>
        <w:t xml:space="preserve">—</w:t>
      </w:r>
      <w:r>
        <w:rPr>
          <w:rFonts w:ascii="Arial" w:hAnsi="Arial" w:cs="Arial" w:eastAsia="Arial"/>
          <w:color w:val="555555"/>
          <w:spacing w:val="0"/>
          <w:position w:val="0"/>
          <w:sz w:val="26"/>
          <w:shd w:fill="auto" w:val="clear"/>
        </w:rPr>
        <w:t xml:space="preserve"> AI-Powered SME Tool</w:t>
      </w:r>
    </w:p>
    <w:p>
      <w:pPr>
        <w:spacing w:before="300" w:after="12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Part 1: IT4IT Value Stream Mapping</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Almaty Tender Analyzer was designed and structured around the four IT4IT value streams to validate it as a viable business product, not just a technical exercise.</w:t>
      </w:r>
    </w:p>
    <w:p>
      <w:pPr>
        <w:spacing w:before="240" w:after="80" w:line="240"/>
        <w:ind w:right="0" w:left="0" w:firstLine="0"/>
        <w:jc w:val="left"/>
        <w:rPr>
          <w:rFonts w:ascii="Arial" w:hAnsi="Arial" w:cs="Arial" w:eastAsia="Arial"/>
          <w:b/>
          <w:color w:val="2E5090"/>
          <w:spacing w:val="0"/>
          <w:position w:val="0"/>
          <w:sz w:val="26"/>
          <w:shd w:fill="auto" w:val="clear"/>
        </w:rPr>
      </w:pPr>
      <w:r>
        <w:rPr>
          <w:rFonts w:ascii="Arial" w:hAnsi="Arial" w:cs="Arial" w:eastAsia="Arial"/>
          <w:b/>
          <w:color w:val="2E5090"/>
          <w:spacing w:val="0"/>
          <w:position w:val="0"/>
          <w:sz w:val="26"/>
          <w:shd w:fill="auto" w:val="clear"/>
        </w:rPr>
        <w:t xml:space="preserve">1.1 Strategy to Portfolio (S2P)</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Problem Statement:</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Construction SMEs in Almaty spend up to 3 working days reviewing a single tender lot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often 100+ pages of dense legal and technical PDF documentation. Critical risks such as hidden penalties, licensing requirements, and ambiguous deadlines are buried in unstructured text. This leads to missed opportunities, compliance failures, and inaccurate cost calculations.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Why AI is the right investment:</w:t>
      </w:r>
    </w:p>
    <w:p>
      <w:pPr>
        <w:numPr>
          <w:ilvl w:val="0"/>
          <w:numId w:val="7"/>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Manual review is slow, expensive, and error-prone for non-legal staff.</w:t>
      </w:r>
    </w:p>
    <w:p>
      <w:pPr>
        <w:numPr>
          <w:ilvl w:val="0"/>
          <w:numId w:val="7"/>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LLMs (Large Language Models) are specifically capable at information extraction from unstructured text.</w:t>
      </w:r>
    </w:p>
    <w:p>
      <w:pPr>
        <w:numPr>
          <w:ilvl w:val="0"/>
          <w:numId w:val="7"/>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90% reduction in initial document scoring time translates directly into competitive advantage and reduced operational risk.</w:t>
      </w:r>
    </w:p>
    <w:p>
      <w:pPr>
        <w:numPr>
          <w:ilvl w:val="0"/>
          <w:numId w:val="7"/>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tool is low-infrastructure: no servers, no databases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just a Streamlit interface and an API call.</w:t>
      </w:r>
    </w:p>
    <w:p>
      <w:pPr>
        <w:spacing w:before="240" w:after="80" w:line="240"/>
        <w:ind w:right="0" w:left="0" w:firstLine="0"/>
        <w:jc w:val="left"/>
        <w:rPr>
          <w:rFonts w:ascii="Arial" w:hAnsi="Arial" w:cs="Arial" w:eastAsia="Arial"/>
          <w:b/>
          <w:color w:val="2E5090"/>
          <w:spacing w:val="0"/>
          <w:position w:val="0"/>
          <w:sz w:val="26"/>
          <w:shd w:fill="auto" w:val="clear"/>
        </w:rPr>
      </w:pPr>
      <w:r>
        <w:rPr>
          <w:rFonts w:ascii="Arial" w:hAnsi="Arial" w:cs="Arial" w:eastAsia="Arial"/>
          <w:b/>
          <w:color w:val="2E5090"/>
          <w:spacing w:val="0"/>
          <w:position w:val="0"/>
          <w:sz w:val="26"/>
          <w:shd w:fill="auto" w:val="clear"/>
        </w:rPr>
        <w:t xml:space="preserve">1.2 Requirement to Deploy (R2D)</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development process was managed using an Agentic Architecture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student acted as Product Architect, directing Gemini 2.0 Flash and Claude 3.5 Sonnet as AI coding agents.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Key architectural decisions made by the Architect:</w:t>
      </w:r>
    </w:p>
    <w:p>
      <w:pPr>
        <w:numPr>
          <w:ilvl w:val="0"/>
          <w:numId w:val="10"/>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Strict separation of concerns: app.py (UI only) vs processor.py (all business logic). Zero business logic in the Streamlit layer.</w:t>
      </w:r>
    </w:p>
    <w:p>
      <w:pPr>
        <w:numPr>
          <w:ilvl w:val="0"/>
          <w:numId w:val="10"/>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Kazakhstan-specific system prompt engineering: GSL level classification (Level 1/2/3), working-day normalization of deadlines, hidden penalty detection.</w:t>
      </w:r>
    </w:p>
    <w:p>
      <w:pPr>
        <w:numPr>
          <w:ilvl w:val="0"/>
          <w:numId w:val="10"/>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JSON reliability layer: multi-stage sanitizer using regex to strip markdown wrappers (```json) from model output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 common failure mode of LLMs.</w:t>
      </w:r>
    </w:p>
    <w:p>
      <w:pPr>
        <w:numPr>
          <w:ilvl w:val="0"/>
          <w:numId w:val="10"/>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Error handling by category: OCR-detected scans, ResourceExhausted (quota), invalid API key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each returns a user-readable message, not a stack trace.</w:t>
      </w:r>
    </w:p>
    <w:p>
      <w:pPr>
        <w:numPr>
          <w:ilvl w:val="0"/>
          <w:numId w:val="10"/>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Explicit API key injection: api_key passed as function parameter, never hardcoded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security-first design.</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Antigravity Session Logs document 5 iterative phases: Architecture Definition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Core Logic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UI/UX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Stability Engineering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Productization.</w:t>
      </w:r>
    </w:p>
    <w:p>
      <w:pPr>
        <w:spacing w:before="240" w:after="80" w:line="240"/>
        <w:ind w:right="0" w:left="0" w:firstLine="0"/>
        <w:jc w:val="left"/>
        <w:rPr>
          <w:rFonts w:ascii="Arial" w:hAnsi="Arial" w:cs="Arial" w:eastAsia="Arial"/>
          <w:b/>
          <w:color w:val="2E5090"/>
          <w:spacing w:val="0"/>
          <w:position w:val="0"/>
          <w:sz w:val="26"/>
          <w:shd w:fill="auto" w:val="clear"/>
        </w:rPr>
      </w:pPr>
      <w:r>
        <w:rPr>
          <w:rFonts w:ascii="Arial" w:hAnsi="Arial" w:cs="Arial" w:eastAsia="Arial"/>
          <w:b/>
          <w:color w:val="2E5090"/>
          <w:spacing w:val="0"/>
          <w:position w:val="0"/>
          <w:sz w:val="26"/>
          <w:shd w:fill="auto" w:val="clear"/>
        </w:rPr>
        <w:t xml:space="preserve">1.3 Request to Fulfill (R2F)</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tool is delivered as a Streamlit web application. The consumption model for the SME client:</w:t>
      </w:r>
    </w:p>
    <w:p>
      <w:pPr>
        <w:numPr>
          <w:ilvl w:val="0"/>
          <w:numId w:val="14"/>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Tender department staff access the tool via a browser link (Streamlit Cloud or local deployment).</w:t>
      </w:r>
    </w:p>
    <w:p>
      <w:pPr>
        <w:numPr>
          <w:ilvl w:val="0"/>
          <w:numId w:val="14"/>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User enters their own Gemini API key (free tier available at aistudio.google.com).</w:t>
      </w:r>
    </w:p>
    <w:p>
      <w:pPr>
        <w:numPr>
          <w:ilvl w:val="0"/>
          <w:numId w:val="14"/>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User uploads a text-based PDF of the tender document.</w:t>
      </w:r>
    </w:p>
    <w:p>
      <w:pPr>
        <w:numPr>
          <w:ilvl w:val="0"/>
          <w:numId w:val="14"/>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Within 30 seconds, a structured risk dashboard is returned: Risk Score (0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100), Hidden Penalties, Deadlines, GSL Licenses, Material Requirements.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technical knowledge is required from the end user. The interface is designed for non-legal, non-technical tender department staff.</w:t>
      </w:r>
    </w:p>
    <w:p>
      <w:pPr>
        <w:spacing w:before="240" w:after="80" w:line="240"/>
        <w:ind w:right="0" w:left="0" w:firstLine="0"/>
        <w:jc w:val="left"/>
        <w:rPr>
          <w:rFonts w:ascii="Arial" w:hAnsi="Arial" w:cs="Arial" w:eastAsia="Arial"/>
          <w:b/>
          <w:color w:val="2E5090"/>
          <w:spacing w:val="0"/>
          <w:position w:val="0"/>
          <w:sz w:val="26"/>
          <w:shd w:fill="auto" w:val="clear"/>
        </w:rPr>
      </w:pPr>
      <w:r>
        <w:rPr>
          <w:rFonts w:ascii="Arial" w:hAnsi="Arial" w:cs="Arial" w:eastAsia="Arial"/>
          <w:b/>
          <w:color w:val="2E5090"/>
          <w:spacing w:val="0"/>
          <w:position w:val="0"/>
          <w:sz w:val="26"/>
          <w:shd w:fill="auto" w:val="clear"/>
        </w:rPr>
        <w:t xml:space="preserve">1.4 Detect to Correct (D2C)</w:t>
      </w:r>
    </w:p>
    <w:tbl>
      <w:tblPr/>
      <w:tblGrid>
        <w:gridCol w:w="2800"/>
        <w:gridCol w:w="6226"/>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eef2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Monitoring Dimension</w:t>
            </w:r>
          </w:p>
        </w:tc>
        <w:tc>
          <w:tcPr>
            <w:tcW w:w="6226" w:type="dxa"/>
            <w:tcBorders>
              <w:top w:val="single" w:color="cccccc" w:sz="1"/>
              <w:left w:val="single" w:color="cccccc" w:sz="1"/>
              <w:bottom w:val="single" w:color="cccccc" w:sz="1"/>
              <w:right w:val="single" w:color="cccccc" w:sz="1"/>
            </w:tcBorders>
            <w:shd w:color="000000" w:fill="eef2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Implementation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FinOps (Token Cost)</w:t>
            </w:r>
          </w:p>
        </w:tc>
        <w:tc>
          <w:tcPr>
            <w:tcW w:w="622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Gemini API usage monitored via Google AI Studio Dashboard. Free tier: 15 RPM, 1M tokens/day. Users supply their own key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no platform-side cost.</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eef2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Hallucination Control</w:t>
            </w:r>
          </w:p>
        </w:tc>
        <w:tc>
          <w:tcPr>
            <w:tcW w:w="6226" w:type="dxa"/>
            <w:tcBorders>
              <w:top w:val="single" w:color="cccccc" w:sz="1"/>
              <w:left w:val="single" w:color="cccccc" w:sz="1"/>
              <w:bottom w:val="single" w:color="cccccc" w:sz="1"/>
              <w:right w:val="single" w:color="cccccc" w:sz="1"/>
            </w:tcBorders>
            <w:shd w:color="000000" w:fill="eef2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System prompt enforces strict JSON schema. All fields have fallback: "</w:t>
            </w:r>
            <w:r>
              <w:rPr>
                <w:rFonts w:ascii="Arial" w:hAnsi="Arial" w:cs="Arial" w:eastAsia="Arial"/>
                <w:color w:val="auto"/>
                <w:spacing w:val="0"/>
                <w:position w:val="0"/>
                <w:sz w:val="20"/>
                <w:shd w:fill="auto" w:val="clear"/>
              </w:rPr>
              <w:t xml:space="preserve">Не указано" if data absent. Future: citation feature linking AI output to source paragraph.</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Error Handling</w:t>
            </w:r>
          </w:p>
        </w:tc>
        <w:tc>
          <w:tcPr>
            <w:tcW w:w="622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4 error categories handled: OCR scan detection, API quota exceeded, invalid API key, malformed JSON. All surface as user-readable messages.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eef2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Input Validation</w:t>
            </w:r>
          </w:p>
        </w:tc>
        <w:tc>
          <w:tcPr>
            <w:tcW w:w="6226" w:type="dxa"/>
            <w:tcBorders>
              <w:top w:val="single" w:color="cccccc" w:sz="1"/>
              <w:left w:val="single" w:color="cccccc" w:sz="1"/>
              <w:bottom w:val="single" w:color="cccccc" w:sz="1"/>
              <w:right w:val="single" w:color="cccccc" w:sz="1"/>
            </w:tcBorders>
            <w:shd w:color="000000" w:fill="eef2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PDF text extraction validated before API call. Empty text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user-friendly OCR warning. Text truncated at 30,000 chars to prevent token overflow.</w:t>
            </w:r>
          </w:p>
        </w:tc>
      </w:tr>
    </w:tbl>
    <w:p>
      <w:pPr>
        <w:spacing w:before="400" w:after="0" w:line="240"/>
        <w:ind w:right="0" w:left="0" w:firstLine="0"/>
        <w:jc w:val="left"/>
        <w:rPr>
          <w:rFonts w:ascii="Arial" w:hAnsi="Arial" w:cs="Arial" w:eastAsia="Arial"/>
          <w:color w:val="auto"/>
          <w:spacing w:val="0"/>
          <w:position w:val="0"/>
          <w:sz w:val="22"/>
          <w:shd w:fill="auto" w:val="clear"/>
        </w:rPr>
      </w:pPr>
    </w:p>
    <w:p>
      <w:pPr>
        <w:spacing w:before="300" w:after="12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Part 2: Reflective Summary</w:t>
      </w:r>
    </w:p>
    <w:p>
      <w:pPr>
        <w:spacing w:before="240" w:after="80" w:line="240"/>
        <w:ind w:right="0" w:left="0" w:firstLine="0"/>
        <w:jc w:val="left"/>
        <w:rPr>
          <w:rFonts w:ascii="Arial" w:hAnsi="Arial" w:cs="Arial" w:eastAsia="Arial"/>
          <w:b/>
          <w:color w:val="2E5090"/>
          <w:spacing w:val="0"/>
          <w:position w:val="0"/>
          <w:sz w:val="26"/>
          <w:shd w:fill="auto" w:val="clear"/>
        </w:rPr>
      </w:pPr>
      <w:r>
        <w:rPr>
          <w:rFonts w:ascii="Arial" w:hAnsi="Arial" w:cs="Arial" w:eastAsia="Arial"/>
          <w:b/>
          <w:color w:val="2E5090"/>
          <w:spacing w:val="0"/>
          <w:position w:val="0"/>
          <w:sz w:val="26"/>
          <w:shd w:fill="auto" w:val="clear"/>
        </w:rPr>
        <w:t xml:space="preserve">What it was like to manage an AI agent rather than write code</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Managing an AI coding agent as a Product Architect was a fundamentally different experience from traditional programming. The primary shift was from thinking in syntax to thinking in architecture and constraints.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an Architect, the core skill was not knowing how to write the code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it was knowing what the code needed to do, what constraints it needed to respect, and how to communicate those requirements unambiguously to the AI agent. Every prompt was a product requirement document, compressed into a few sentences.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most interesting aspect was that the AI excelled at boilerplate implementation but required very precise direction on edge cases. Left to its own defaults, it would produce working code that failed in production scenarios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for example, not handling the ```json markdown wrapper that Gemini itself adds to its own responses, or hardcoding the API key at module import time rather than accepting it as a parameter.</w:t>
      </w:r>
    </w:p>
    <w:p>
      <w:pPr>
        <w:spacing w:before="240" w:after="80" w:line="240"/>
        <w:ind w:right="0" w:left="0" w:firstLine="0"/>
        <w:jc w:val="left"/>
        <w:rPr>
          <w:rFonts w:ascii="Arial" w:hAnsi="Arial" w:cs="Arial" w:eastAsia="Arial"/>
          <w:b/>
          <w:color w:val="2E5090"/>
          <w:spacing w:val="0"/>
          <w:position w:val="0"/>
          <w:sz w:val="26"/>
          <w:shd w:fill="auto" w:val="clear"/>
        </w:rPr>
      </w:pPr>
      <w:r>
        <w:rPr>
          <w:rFonts w:ascii="Arial" w:hAnsi="Arial" w:cs="Arial" w:eastAsia="Arial"/>
          <w:b/>
          <w:color w:val="2E5090"/>
          <w:spacing w:val="0"/>
          <w:position w:val="0"/>
          <w:sz w:val="26"/>
          <w:shd w:fill="auto" w:val="clear"/>
        </w:rPr>
        <w:t xml:space="preserve">The hardest architectural bottlenecks to explain to the AI</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Three specific bottlenecks required the most iterative direction:</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1. JSON Reliability</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AI agent's first implementation used json.loads() directly on the model response. This broke immediately because Gemini wraps JSON in markdown code blocks. Explaining this required giving the agent a concrete example of the failure mode, not just describing the problem abstractly. The solution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 regex-based sanitizer with a fallback regex search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only emerged after two rounds of iterative troubleshooting prompts.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2. API Key Architecture</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agent's default pattern was to call genai.configure() at module import time with a hardcoded placeholder. This created a race condition: the Streamlit UI configured the key correctly, but the processor module had already initialized with the wrong key. Explaining the concept of 'explicit dependency injection vs global state' required framing it in terms of 'what happens if two users with different API keys use the tool simultaneously'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 concrete scenario the agent could reason about.</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3. Kazakhstan-Specific Legal Context</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Getting the AI to produce a system prompt that correctly referenced Kazakhstan's GSL licensing framework (Level 1/2/3) required domain research and precise terminology. Generic prompts produced generic output. Specificity in the system prompt was the difference between a useful tool and a generic PDF summarizer.</w:t>
      </w:r>
    </w:p>
    <w:p>
      <w:pPr>
        <w:spacing w:before="240" w:after="80" w:line="240"/>
        <w:ind w:right="0" w:left="0" w:firstLine="0"/>
        <w:jc w:val="left"/>
        <w:rPr>
          <w:rFonts w:ascii="Arial" w:hAnsi="Arial" w:cs="Arial" w:eastAsia="Arial"/>
          <w:b/>
          <w:color w:val="2E5090"/>
          <w:spacing w:val="0"/>
          <w:position w:val="0"/>
          <w:sz w:val="26"/>
          <w:shd w:fill="auto" w:val="clear"/>
        </w:rPr>
      </w:pPr>
      <w:r>
        <w:rPr>
          <w:rFonts w:ascii="Arial" w:hAnsi="Arial" w:cs="Arial" w:eastAsia="Arial"/>
          <w:b/>
          <w:color w:val="2E5090"/>
          <w:spacing w:val="0"/>
          <w:position w:val="0"/>
          <w:sz w:val="26"/>
          <w:shd w:fill="auto" w:val="clear"/>
        </w:rPr>
        <w:t xml:space="preserve">Key Insight</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role of Product Architect in an agentic development workflow is not passive. It requires deep understanding of the problem domain, the ability to anticipate failure modes before they occur, and the skill to translate architectural intent into prompts that constrain the AI toward correct behavior. The AI handles implementation velocity; the Architect handles correctness and design integrity.</w:t>
      </w:r>
    </w:p>
    <w:p>
      <w:pPr>
        <w:spacing w:before="40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888888"/>
          <w:spacing w:val="0"/>
          <w:position w:val="0"/>
          <w:sz w:val="18"/>
          <w:shd w:fill="auto" w:val="clear"/>
        </w:rPr>
        <w:t xml:space="preserve">Almaty Tender Analyzer v1.0  |  SIS Week 12 Mini-Project  |  2025</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7">
    <w:abstractNumId w:val="12"/>
  </w:num>
  <w:num w:numId="10">
    <w:abstractNumId w:val="6"/>
  </w:num>
  <w:num w:numId="1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