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34AB7"/>
          <w:sz w:val="44"/>
          <w:szCs w:val="44"/>
        </w:rPr>
        <w:t xml:space="preserve">STACK TECHNIQUE</w:t>
      </w:r>
    </w:p>
    <w:p>
      <w:pPr>
        <w:spacing w:after="600"/>
        <w:jc w:val="center"/>
      </w:pPr>
      <w:r>
        <w:rPr>
          <w:color w:val="0F6E56"/>
          <w:sz w:val="30"/>
          <w:szCs w:val="30"/>
        </w:rPr>
        <w:t xml:space="preserve">Simulateur USSD FinZuu — Application mobile</w:t>
      </w:r>
    </w:p>
    <w:p>
      <w:pPr>
        <w:spacing w:after="120"/>
        <w:jc w:val="center"/>
      </w:pPr>
      <w:r>
        <w:rPr>
          <w:b w:val="false"/>
          <w:bCs w:val="false"/>
          <w:i w:val="false"/>
          <w:iCs w:val="false"/>
          <w:sz w:val="22"/>
          <w:szCs w:val="22"/>
        </w:rPr>
        <w:t xml:space="preserve">Référence : FZ-STACK-SIMUSSD-2026-001</w:t>
      </w:r>
    </w:p>
    <w:p>
      <w:pPr>
        <w:spacing w:after="120"/>
        <w:jc w:val="center"/>
      </w:pPr>
      <w:r>
        <w:rPr>
          <w:b w:val="false"/>
          <w:bCs w:val="false"/>
          <w:i w:val="false"/>
          <w:iCs w:val="false"/>
          <w:sz w:val="22"/>
          <w:szCs w:val="22"/>
        </w:rPr>
        <w:t xml:space="preserve">Version 1.0 — 23 août 2026</w:t>
      </w:r>
    </w:p>
    <w:p>
      <w:pPr>
        <w:spacing w:after="120"/>
        <w:jc w:val="center"/>
      </w:pPr>
      <w:r>
        <w:rPr>
          <w:b w:val="false"/>
          <w:bCs w:val="false"/>
          <w:i w:val="false"/>
          <w:iCs w:val="false"/>
          <w:sz w:val="22"/>
          <w:szCs w:val="22"/>
        </w:rPr>
        <w:t xml:space="preserve">Auteur : Kuate Abdel Yaniv, QA Lead — FinZuu SAS</w:t>
      </w:r>
    </w:p>
    <w:p>
      <w:pPr>
        <w:spacing w:after="120"/>
        <w:jc w:val="center"/>
      </w:pPr>
      <w:r>
        <w:rPr>
          <w:b w:val="false"/>
          <w:bCs w:val="false"/>
          <w:i/>
          <w:iCs/>
          <w:sz w:val="22"/>
          <w:szCs w:val="22"/>
        </w:rPr>
        <w:t xml:space="preserve">Document complémentaire au cahier des charges FZ-CDC-SIMUSSD-2026-001</w:t>
      </w:r>
    </w:p>
    <w:p>
      <w:r>
        <w:br w:type="page"/>
      </w:r>
    </w:p>
    <w:p>
      <w:pPr>
        <w:pStyle w:val="Heading1"/>
        <w:spacing w:after="140" w:before="280"/>
      </w:pPr>
      <w:r>
        <w:rPr>
          <w:color w:val="534AB7"/>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color w:val="534AB7"/>
        </w:rPr>
        <w:t xml:space="preserve">1. Objet</w:t>
      </w:r>
    </w:p>
    <w:p>
      <w:pPr>
        <w:spacing w:after="120"/>
        <w:jc w:val="both"/>
      </w:pPr>
      <w:r>
        <w:rPr>
          <w:b w:val="false"/>
          <w:bCs w:val="false"/>
          <w:i w:val="false"/>
          <w:iCs w:val="false"/>
          <w:sz w:val="22"/>
          <w:szCs w:val="22"/>
        </w:rPr>
        <w:t xml:space="preserve">Le cahier des charges FZ-CDC-SIMUSSD-2026-001 définit ce que le simulateur doit faire. Le présent document définit comment il sera construit : choix de la technologie, architecture applicative, environnement de développement et chaîne de production.</w:t>
      </w:r>
    </w:p>
    <w:p>
      <w:pPr>
        <w:spacing w:after="120"/>
        <w:jc w:val="both"/>
      </w:pPr>
      <w:r>
        <w:rPr>
          <w:b w:val="false"/>
          <w:bCs w:val="false"/>
          <w:i w:val="false"/>
          <w:iCs w:val="false"/>
          <w:sz w:val="22"/>
          <w:szCs w:val="22"/>
        </w:rPr>
        <w:t xml:space="preserve">La séparation des deux documents est délibérée. Le cahier des charges engage le besoin et survit aux évolutions techniques ; la stack technique engage la mise en œuvre et peut être révisée sans renégocier le besoin.</w:t>
      </w:r>
    </w:p>
    <w:p>
      <w:pPr>
        <w:pStyle w:val="Heading1"/>
        <w:spacing w:after="140" w:before="280"/>
      </w:pPr>
      <w:r>
        <w:rPr>
          <w:color w:val="534AB7"/>
        </w:rPr>
        <w:t xml:space="preserve">2. Choix de la technologie</w:t>
      </w:r>
    </w:p>
    <w:p>
      <w:pPr>
        <w:pStyle w:val="Heading2"/>
        <w:spacing w:after="140" w:before="280"/>
      </w:pPr>
      <w:r>
        <w:rPr>
          <w:color w:val="0F6E56"/>
        </w:rPr>
        <w:t xml:space="preserve">2.1 Décision</w:t>
      </w:r>
    </w:p>
    <w:p>
      <w:pPr>
        <w:spacing w:after="120"/>
        <w:jc w:val="both"/>
      </w:pPr>
      <w:r>
        <w:rPr>
          <w:b/>
          <w:bCs/>
          <w:i w:val="false"/>
          <w:iCs w:val="false"/>
          <w:sz w:val="22"/>
          <w:szCs w:val="22"/>
        </w:rPr>
        <w:t xml:space="preserve">Le simulateur est développé en React Native, avec le langage TypeScript, pour les plateformes Android et iOS à partir d'une base de code unique.</w:t>
      </w:r>
    </w:p>
    <w:p>
      <w:pPr>
        <w:pStyle w:val="Heading2"/>
        <w:spacing w:after="140" w:before="280"/>
      </w:pPr>
      <w:r>
        <w:rPr>
          <w:color w:val="0F6E56"/>
        </w:rPr>
        <w:t xml:space="preserve">2.2 Contexte de la décision</w:t>
      </w:r>
    </w:p>
    <w:p>
      <w:pPr>
        <w:spacing w:after="120"/>
        <w:jc w:val="both"/>
      </w:pPr>
      <w:r>
        <w:rPr>
          <w:b w:val="false"/>
          <w:bCs w:val="false"/>
          <w:i w:val="false"/>
          <w:iCs w:val="false"/>
          <w:sz w:val="22"/>
          <w:szCs w:val="22"/>
        </w:rPr>
        <w:t xml:space="preserve">Deux analyses successives ont précédé cette décision. La première recommandait un développement natif Android en Kotlin, au motif de reproduire à l'identique le dialogue système USSD en employant le composant natif plutôt qu'une imitation. La seconde, après que la Direction eut précisé qu'une part significative des partenaires est équipée d'iOS, recommandait Flutter.</w:t>
      </w:r>
    </w:p>
    <w:p>
      <w:pPr>
        <w:spacing w:after="120"/>
        <w:jc w:val="both"/>
      </w:pPr>
      <w:r>
        <w:rPr>
          <w:b w:val="false"/>
          <w:bCs w:val="false"/>
          <w:i w:val="false"/>
          <w:iCs w:val="false"/>
          <w:sz w:val="22"/>
          <w:szCs w:val="22"/>
        </w:rPr>
        <w:t xml:space="preserve">La Direction a arbitré en faveur de React Native. Cet arbitrage est retenu et fondé : React Native offre les mêmes garanties que Flutter sur ce projet — base de code unique, rendu identique sur les deux plateformes, conservation intégrale des fonctionnalités et du design spécifiés — tout en reposant sur un écosystème dont les compétences sont nettement plus répandues. La reprise ultérieure du code par un tiers en est facilitée.</w:t>
      </w:r>
    </w:p>
    <w:p>
      <w:pPr>
        <w:spacing w:after="120"/>
        <w:jc w:val="both"/>
      </w:pPr>
      <w:r>
        <w:rPr>
          <w:b w:val="false"/>
          <w:bCs w:val="false"/>
          <w:i/>
          <w:iCs/>
          <w:sz w:val="22"/>
          <w:szCs w:val="22"/>
        </w:rPr>
        <w:t xml:space="preserve">L'argument qui fondait le choix de Kotlin — l'emploi du dialogue système natif — reste caduc quelle que soit la solution multiplateforme retenue : iOS ne dispose d'aucun dialogue USSD système à reproduire.</w:t>
      </w:r>
    </w:p>
    <w:p>
      <w:pPr>
        <w:pStyle w:val="Heading2"/>
        <w:spacing w:after="140" w:before="280"/>
      </w:pPr>
      <w:r>
        <w:rPr>
          <w:color w:val="0F6E56"/>
        </w:rPr>
        <w:t xml:space="preserve">2.3 Alternatives examinées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4800"/>
      </w:tblGrid>
      <w:tr>
        <w:trPr>
          <w:tblHeader/>
        </w:trPr>
        <w:tc>
          <w:tcPr>
            <w:tcW w:type="dxa" w:w="1900"/>
            <w:shd w:fill="534AB7" w:val="clear"/>
            <w:tcMar>
              <w:top w:type="dxa" w:w="80"/>
              <w:left w:type="dxa" w:w="110"/>
              <w:bottom w:type="dxa" w:w="80"/>
              <w:right w:type="dxa" w:w="110"/>
            </w:tcMar>
          </w:tcPr>
          <w:p>
            <w:r>
              <w:rPr>
                <w:b/>
                <w:bCs/>
                <w:color w:val="FFFFFF"/>
                <w:sz w:val="19"/>
                <w:szCs w:val="19"/>
              </w:rPr>
              <w:t xml:space="preserve">Technologie</w:t>
            </w:r>
          </w:p>
        </w:tc>
        <w:tc>
          <w:tcPr>
            <w:tcW w:type="dxa" w:w="1100"/>
            <w:shd w:fill="534AB7" w:val="clear"/>
            <w:tcMar>
              <w:top w:type="dxa" w:w="80"/>
              <w:left w:type="dxa" w:w="110"/>
              <w:bottom w:type="dxa" w:w="80"/>
              <w:right w:type="dxa" w:w="110"/>
            </w:tcMar>
          </w:tcPr>
          <w:p>
            <w:r>
              <w:rPr>
                <w:b/>
                <w:bCs/>
                <w:color w:val="FFFFFF"/>
                <w:sz w:val="19"/>
                <w:szCs w:val="19"/>
              </w:rPr>
              <w:t xml:space="preserve">Poids</w:t>
            </w:r>
          </w:p>
        </w:tc>
        <w:tc>
          <w:tcPr>
            <w:tcW w:type="dxa" w:w="1200"/>
            <w:shd w:fill="534AB7" w:val="clear"/>
            <w:tcMar>
              <w:top w:type="dxa" w:w="80"/>
              <w:left w:type="dxa" w:w="110"/>
              <w:bottom w:type="dxa" w:w="80"/>
              <w:right w:type="dxa" w:w="110"/>
            </w:tcMar>
          </w:tcPr>
          <w:p>
            <w:r>
              <w:rPr>
                <w:b/>
                <w:bCs/>
                <w:color w:val="FFFFFF"/>
                <w:sz w:val="19"/>
                <w:szCs w:val="19"/>
              </w:rPr>
              <w:t xml:space="preserve">Démarrage</w:t>
            </w:r>
          </w:p>
        </w:tc>
        <w:tc>
          <w:tcPr>
            <w:tcW w:type="dxa" w:w="4800"/>
            <w:shd w:fill="534AB7" w:val="clear"/>
            <w:tcMar>
              <w:top w:type="dxa" w:w="80"/>
              <w:left w:type="dxa" w:w="110"/>
              <w:bottom w:type="dxa" w:w="80"/>
              <w:right w:type="dxa" w:w="110"/>
            </w:tcMar>
          </w:tcPr>
          <w:p>
            <w:r>
              <w:rPr>
                <w:b/>
                <w:bCs/>
                <w:color w:val="FFFFFF"/>
                <w:sz w:val="19"/>
                <w:szCs w:val="19"/>
              </w:rPr>
              <w:t xml:space="preserve">Motif du rejet ou de la retenue</w:t>
            </w:r>
          </w:p>
        </w:tc>
      </w:tr>
      <w:tr>
        <w:tc>
          <w:tcPr>
            <w:tcW w:type="dxa" w:w="1900"/>
            <w:tcMar>
              <w:top w:type="dxa" w:w="80"/>
              <w:left w:type="dxa" w:w="110"/>
              <w:bottom w:type="dxa" w:w="80"/>
              <w:right w:type="dxa" w:w="110"/>
            </w:tcMar>
          </w:tcPr>
          <w:p>
            <w:r>
              <w:rPr>
                <w:b w:val="false"/>
                <w:bCs w:val="false"/>
                <w:color w:val="2C2C2A"/>
                <w:sz w:val="19"/>
                <w:szCs w:val="19"/>
              </w:rPr>
              <w:t xml:space="preserve">React Native</w:t>
            </w:r>
          </w:p>
        </w:tc>
        <w:tc>
          <w:tcPr>
            <w:tcW w:type="dxa" w:w="1100"/>
            <w:tcMar>
              <w:top w:type="dxa" w:w="80"/>
              <w:left w:type="dxa" w:w="110"/>
              <w:bottom w:type="dxa" w:w="80"/>
              <w:right w:type="dxa" w:w="110"/>
            </w:tcMar>
          </w:tcPr>
          <w:p>
            <w:r>
              <w:rPr>
                <w:b w:val="false"/>
                <w:bCs w:val="false"/>
                <w:color w:val="2C2C2A"/>
                <w:sz w:val="19"/>
                <w:szCs w:val="19"/>
              </w:rPr>
              <w:t xml:space="preserve">9–12 Mo</w:t>
            </w:r>
          </w:p>
        </w:tc>
        <w:tc>
          <w:tcPr>
            <w:tcW w:type="dxa" w:w="1200"/>
            <w:tcMar>
              <w:top w:type="dxa" w:w="80"/>
              <w:left w:type="dxa" w:w="110"/>
              <w:bottom w:type="dxa" w:w="80"/>
              <w:right w:type="dxa" w:w="110"/>
            </w:tcMar>
          </w:tcPr>
          <w:p>
            <w:r>
              <w:rPr>
                <w:b w:val="false"/>
                <w:bCs w:val="false"/>
                <w:color w:val="2C2C2A"/>
                <w:sz w:val="19"/>
                <w:szCs w:val="19"/>
              </w:rPr>
              <w:t xml:space="preserve">~700 ms</w:t>
            </w:r>
          </w:p>
        </w:tc>
        <w:tc>
          <w:tcPr>
            <w:tcW w:type="dxa" w:w="4800"/>
            <w:tcMar>
              <w:top w:type="dxa" w:w="80"/>
              <w:left w:type="dxa" w:w="110"/>
              <w:bottom w:type="dxa" w:w="80"/>
              <w:right w:type="dxa" w:w="110"/>
            </w:tcMar>
          </w:tcPr>
          <w:p>
            <w:r>
              <w:rPr>
                <w:b w:val="false"/>
                <w:bCs w:val="false"/>
                <w:color w:val="2C2C2A"/>
                <w:sz w:val="19"/>
                <w:szCs w:val="19"/>
              </w:rPr>
              <w:t xml:space="preserve">RETENUE — une base de code, deux plateformes ; écosystème JavaScript largement diffusé, reprise du code facilitée</w:t>
            </w:r>
          </w:p>
        </w:tc>
      </w:tr>
      <w:tr>
        <w:tc>
          <w:tcPr>
            <w:tcW w:type="dxa" w:w="1900"/>
            <w:shd w:fill="F1EFE8" w:val="clear"/>
            <w:tcMar>
              <w:top w:type="dxa" w:w="80"/>
              <w:left w:type="dxa" w:w="110"/>
              <w:bottom w:type="dxa" w:w="80"/>
              <w:right w:type="dxa" w:w="110"/>
            </w:tcMar>
          </w:tcPr>
          <w:p>
            <w:r>
              <w:rPr>
                <w:b w:val="false"/>
                <w:bCs w:val="false"/>
                <w:color w:val="2C2C2A"/>
                <w:sz w:val="19"/>
                <w:szCs w:val="19"/>
              </w:rPr>
              <w:t xml:space="preserve">Flutter</w:t>
            </w:r>
          </w:p>
        </w:tc>
        <w:tc>
          <w:tcPr>
            <w:tcW w:type="dxa" w:w="1100"/>
            <w:shd w:fill="F1EFE8" w:val="clear"/>
            <w:tcMar>
              <w:top w:type="dxa" w:w="80"/>
              <w:left w:type="dxa" w:w="110"/>
              <w:bottom w:type="dxa" w:w="80"/>
              <w:right w:type="dxa" w:w="110"/>
            </w:tcMar>
          </w:tcPr>
          <w:p>
            <w:r>
              <w:rPr>
                <w:b w:val="false"/>
                <w:bCs w:val="false"/>
                <w:color w:val="2C2C2A"/>
                <w:sz w:val="19"/>
                <w:szCs w:val="19"/>
              </w:rPr>
              <w:t xml:space="preserve">10–12 Mo</w:t>
            </w:r>
          </w:p>
        </w:tc>
        <w:tc>
          <w:tcPr>
            <w:tcW w:type="dxa" w:w="1200"/>
            <w:shd w:fill="F1EFE8" w:val="clear"/>
            <w:tcMar>
              <w:top w:type="dxa" w:w="80"/>
              <w:left w:type="dxa" w:w="110"/>
              <w:bottom w:type="dxa" w:w="80"/>
              <w:right w:type="dxa" w:w="110"/>
            </w:tcMar>
          </w:tcPr>
          <w:p>
            <w:r>
              <w:rPr>
                <w:b w:val="false"/>
                <w:bCs w:val="false"/>
                <w:color w:val="2C2C2A"/>
                <w:sz w:val="19"/>
                <w:szCs w:val="19"/>
              </w:rPr>
              <w:t xml:space="preserve">~600 ms</w:t>
            </w:r>
          </w:p>
        </w:tc>
        <w:tc>
          <w:tcPr>
            <w:tcW w:type="dxa" w:w="4800"/>
            <w:shd w:fill="F1EFE8" w:val="clear"/>
            <w:tcMar>
              <w:top w:type="dxa" w:w="80"/>
              <w:left w:type="dxa" w:w="110"/>
              <w:bottom w:type="dxa" w:w="80"/>
              <w:right w:type="dxa" w:w="110"/>
            </w:tcMar>
          </w:tcPr>
          <w:p>
            <w:r>
              <w:rPr>
                <w:b w:val="false"/>
                <w:bCs w:val="false"/>
                <w:color w:val="2C2C2A"/>
                <w:sz w:val="19"/>
                <w:szCs w:val="19"/>
              </w:rPr>
              <w:t xml:space="preserve">Écarté — équivalent sur le plan fonctionnel, mais compétences Dart plus rares</w:t>
            </w:r>
          </w:p>
        </w:tc>
      </w:tr>
      <w:tr>
        <w:tc>
          <w:tcPr>
            <w:tcW w:type="dxa" w:w="1900"/>
            <w:tcMar>
              <w:top w:type="dxa" w:w="80"/>
              <w:left w:type="dxa" w:w="110"/>
              <w:bottom w:type="dxa" w:w="80"/>
              <w:right w:type="dxa" w:w="110"/>
            </w:tcMar>
          </w:tcPr>
          <w:p>
            <w:r>
              <w:rPr>
                <w:b w:val="false"/>
                <w:bCs w:val="false"/>
                <w:color w:val="2C2C2A"/>
                <w:sz w:val="19"/>
                <w:szCs w:val="19"/>
              </w:rPr>
              <w:t xml:space="preserve">Kotlin natif</w:t>
            </w:r>
          </w:p>
        </w:tc>
        <w:tc>
          <w:tcPr>
            <w:tcW w:type="dxa" w:w="1100"/>
            <w:tcMar>
              <w:top w:type="dxa" w:w="80"/>
              <w:left w:type="dxa" w:w="110"/>
              <w:bottom w:type="dxa" w:w="80"/>
              <w:right w:type="dxa" w:w="110"/>
            </w:tcMar>
          </w:tcPr>
          <w:p>
            <w:r>
              <w:rPr>
                <w:b w:val="false"/>
                <w:bCs w:val="false"/>
                <w:color w:val="2C2C2A"/>
                <w:sz w:val="19"/>
                <w:szCs w:val="19"/>
              </w:rPr>
              <w:t xml:space="preserve">3–5 Mo</w:t>
            </w:r>
          </w:p>
        </w:tc>
        <w:tc>
          <w:tcPr>
            <w:tcW w:type="dxa" w:w="1200"/>
            <w:tcMar>
              <w:top w:type="dxa" w:w="80"/>
              <w:left w:type="dxa" w:w="110"/>
              <w:bottom w:type="dxa" w:w="80"/>
              <w:right w:type="dxa" w:w="110"/>
            </w:tcMar>
          </w:tcPr>
          <w:p>
            <w:r>
              <w:rPr>
                <w:b w:val="false"/>
                <w:bCs w:val="false"/>
                <w:color w:val="2C2C2A"/>
                <w:sz w:val="19"/>
                <w:szCs w:val="19"/>
              </w:rPr>
              <w:t xml:space="preserve">~200 ms</w:t>
            </w:r>
          </w:p>
        </w:tc>
        <w:tc>
          <w:tcPr>
            <w:tcW w:type="dxa" w:w="4800"/>
            <w:tcMar>
              <w:top w:type="dxa" w:w="80"/>
              <w:left w:type="dxa" w:w="110"/>
              <w:bottom w:type="dxa" w:w="80"/>
              <w:right w:type="dxa" w:w="110"/>
            </w:tcMar>
          </w:tcPr>
          <w:p>
            <w:r>
              <w:rPr>
                <w:b w:val="false"/>
                <w:bCs w:val="false"/>
                <w:color w:val="2C2C2A"/>
                <w:sz w:val="19"/>
                <w:szCs w:val="19"/>
              </w:rPr>
              <w:t xml:space="preserve">Écarté — Android uniquement ; imposerait un second développement en Swift pour iOS</w:t>
            </w:r>
          </w:p>
        </w:tc>
      </w:tr>
      <w:tr>
        <w:tc>
          <w:tcPr>
            <w:tcW w:type="dxa" w:w="1900"/>
            <w:shd w:fill="F1EFE8" w:val="clear"/>
            <w:tcMar>
              <w:top w:type="dxa" w:w="80"/>
              <w:left w:type="dxa" w:w="110"/>
              <w:bottom w:type="dxa" w:w="80"/>
              <w:right w:type="dxa" w:w="110"/>
            </w:tcMar>
          </w:tcPr>
          <w:p>
            <w:r>
              <w:rPr>
                <w:b w:val="false"/>
                <w:bCs w:val="false"/>
                <w:color w:val="2C2C2A"/>
                <w:sz w:val="19"/>
                <w:szCs w:val="19"/>
              </w:rPr>
              <w:t xml:space="preserve">Application web encapsulée</w:t>
            </w:r>
          </w:p>
        </w:tc>
        <w:tc>
          <w:tcPr>
            <w:tcW w:type="dxa" w:w="1100"/>
            <w:shd w:fill="F1EFE8" w:val="clear"/>
            <w:tcMar>
              <w:top w:type="dxa" w:w="80"/>
              <w:left w:type="dxa" w:w="110"/>
              <w:bottom w:type="dxa" w:w="80"/>
              <w:right w:type="dxa" w:w="110"/>
            </w:tcMar>
          </w:tcPr>
          <w:p>
            <w:r>
              <w:rPr>
                <w:b w:val="false"/>
                <w:bCs w:val="false"/>
                <w:color w:val="2C2C2A"/>
                <w:sz w:val="19"/>
                <w:szCs w:val="19"/>
              </w:rPr>
              <w:t xml:space="preserve">4–6 Mo</w:t>
            </w:r>
          </w:p>
        </w:tc>
        <w:tc>
          <w:tcPr>
            <w:tcW w:type="dxa" w:w="1200"/>
            <w:shd w:fill="F1EFE8" w:val="clear"/>
            <w:tcMar>
              <w:top w:type="dxa" w:w="80"/>
              <w:left w:type="dxa" w:w="110"/>
              <w:bottom w:type="dxa" w:w="80"/>
              <w:right w:type="dxa" w:w="110"/>
            </w:tcMar>
          </w:tcPr>
          <w:p>
            <w:r>
              <w:rPr>
                <w:b w:val="false"/>
                <w:bCs w:val="false"/>
                <w:color w:val="2C2C2A"/>
                <w:sz w:val="19"/>
                <w:szCs w:val="19"/>
              </w:rPr>
              <w:t xml:space="preserve">~900 ms</w:t>
            </w:r>
          </w:p>
        </w:tc>
        <w:tc>
          <w:tcPr>
            <w:tcW w:type="dxa" w:w="4800"/>
            <w:shd w:fill="F1EFE8" w:val="clear"/>
            <w:tcMar>
              <w:top w:type="dxa" w:w="80"/>
              <w:left w:type="dxa" w:w="110"/>
              <w:bottom w:type="dxa" w:w="80"/>
              <w:right w:type="dxa" w:w="110"/>
            </w:tcMar>
          </w:tcPr>
          <w:p>
            <w:r>
              <w:rPr>
                <w:b w:val="false"/>
                <w:bCs w:val="false"/>
                <w:color w:val="2C2C2A"/>
                <w:sz w:val="19"/>
                <w:szCs w:val="19"/>
              </w:rPr>
              <w:t xml:space="preserve">Rejeté — démarrage perceptible et rendu approximatif du clavier de composition</w:t>
            </w:r>
          </w:p>
        </w:tc>
      </w:tr>
    </w:tbl>
    <w:p>
      <w:pPr>
        <w:spacing w:after="160"/>
      </w:pPr>
    </w:p>
    <w:p>
      <w:pPr>
        <w:spacing w:after="120"/>
        <w:jc w:val="both"/>
      </w:pPr>
      <w:r>
        <w:rPr>
          <w:b w:val="false"/>
          <w:bCs w:val="false"/>
          <w:i w:val="false"/>
          <w:iCs w:val="false"/>
          <w:sz w:val="22"/>
          <w:szCs w:val="22"/>
        </w:rPr>
        <w:t xml:space="preserve">Le surcoût de React Native par rapport au natif — six mégaoctets et cinq cents millisecondes — reste dans les seuils fixés par les exigences ENF-01 et ENF-02. Il est jugé acceptable au regard du gain : une seule base de code au lieu de deux.</w:t>
      </w:r>
    </w:p>
    <w:p>
      <w:pPr>
        <w:pStyle w:val="Heading2"/>
        <w:spacing w:after="140" w:before="280"/>
      </w:pPr>
      <w:r>
        <w:rPr>
          <w:color w:val="0F6E56"/>
        </w:rPr>
        <w:t xml:space="preserve">2.4 Conséquence sur la conception des écrans</w:t>
      </w:r>
    </w:p>
    <w:p>
      <w:pPr>
        <w:spacing w:after="120"/>
        <w:jc w:val="both"/>
      </w:pPr>
      <w:r>
        <w:rPr>
          <w:b w:val="false"/>
          <w:bCs w:val="false"/>
          <w:i w:val="false"/>
          <w:iCs w:val="false"/>
          <w:sz w:val="22"/>
          <w:szCs w:val="22"/>
        </w:rPr>
        <w:t xml:space="preserve">Les écrans 6 et 7 du cahier des charges — les dialogues de session — ne peuvent plus reproduire le dialogue système Android, qui serait étranger sur un iPhone. Ils adoptent une présentation neutre : carte claire sur fond assombri, typographie sobre, actions discrètes. L'objectif reste le même — que le partenaire perçoive un dialogue système et non une application — mais il est atteint par la neutralité plutôt que par l'imitation.</w:t>
      </w:r>
    </w:p>
    <w:p>
      <w:r>
        <w:br w:type="page"/>
      </w:r>
    </w:p>
    <w:p>
      <w:pPr>
        <w:pStyle w:val="Heading1"/>
        <w:spacing w:after="140" w:before="280"/>
      </w:pPr>
      <w:r>
        <w:rPr>
          <w:color w:val="534AB7"/>
        </w:rPr>
        <w:t xml:space="preserve">3. Rendu sur les deux plateformes</w:t>
      </w:r>
    </w:p>
    <w:p>
      <w:pPr>
        <w:spacing w:after="120"/>
        <w:jc w:val="both"/>
      </w:pPr>
      <w:r>
        <w:rPr>
          <w:b w:val="false"/>
          <w:bCs w:val="false"/>
          <w:i w:val="false"/>
          <w:iCs w:val="false"/>
          <w:sz w:val="22"/>
          <w:szCs w:val="22"/>
        </w:rPr>
        <w:t xml:space="preserve">React Native décrit l'interface une seule fois et la projette sur les composants de chaque plateforme. Avec une feuille de style commune et sans branchement conditionnel, l'application présente un rendu identique sur Android et sur iOS, à l'exception des adaptations imposées par le matériel.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Élément</w:t>
            </w:r>
          </w:p>
        </w:tc>
        <w:tc>
          <w:tcPr>
            <w:tcW w:type="dxa" w:w="6400"/>
            <w:shd w:fill="534AB7" w:val="clear"/>
            <w:tcMar>
              <w:top w:type="dxa" w:w="80"/>
              <w:left w:type="dxa" w:w="110"/>
              <w:bottom w:type="dxa" w:w="80"/>
              <w:right w:type="dxa" w:w="110"/>
            </w:tcMar>
          </w:tcPr>
          <w:p>
            <w:r>
              <w:rPr>
                <w:b/>
                <w:bCs/>
                <w:color w:val="FFFFFF"/>
                <w:sz w:val="19"/>
                <w:szCs w:val="19"/>
              </w:rPr>
              <w:t xml:space="preserve">Traitement</w:t>
            </w:r>
          </w:p>
        </w:tc>
      </w:tr>
      <w:tr>
        <w:tc>
          <w:tcPr>
            <w:tcW w:type="dxa" w:w="2600"/>
            <w:tcMar>
              <w:top w:type="dxa" w:w="80"/>
              <w:left w:type="dxa" w:w="110"/>
              <w:bottom w:type="dxa" w:w="80"/>
              <w:right w:type="dxa" w:w="110"/>
            </w:tcMar>
          </w:tcPr>
          <w:p>
            <w:r>
              <w:rPr>
                <w:b w:val="false"/>
                <w:bCs w:val="false"/>
                <w:color w:val="2C2C2A"/>
                <w:sz w:val="19"/>
                <w:szCs w:val="19"/>
              </w:rPr>
              <w:t xml:space="preserve">Composants d'interface</w:t>
            </w:r>
          </w:p>
        </w:tc>
        <w:tc>
          <w:tcPr>
            <w:tcW w:type="dxa" w:w="6400"/>
            <w:tcMar>
              <w:top w:type="dxa" w:w="80"/>
              <w:left w:type="dxa" w:w="110"/>
              <w:bottom w:type="dxa" w:w="80"/>
              <w:right w:type="dxa" w:w="110"/>
            </w:tcMar>
          </w:tcPr>
          <w:p>
            <w:r>
              <w:rPr>
                <w:b w:val="false"/>
                <w:bCs w:val="false"/>
                <w:color w:val="2C2C2A"/>
                <w:sz w:val="19"/>
                <w:szCs w:val="19"/>
              </w:rPr>
              <w:t xml:space="preserve">Identiques — style commun, aucun branchement par plateforme</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Zone sûre</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Adaptée automatiquement à l'encoche et à la barre de gestes des iPhone récents</w:t>
            </w:r>
          </w:p>
        </w:tc>
      </w:tr>
      <w:tr>
        <w:tc>
          <w:tcPr>
            <w:tcW w:type="dxa" w:w="2600"/>
            <w:tcMar>
              <w:top w:type="dxa" w:w="80"/>
              <w:left w:type="dxa" w:w="110"/>
              <w:bottom w:type="dxa" w:w="80"/>
              <w:right w:type="dxa" w:w="110"/>
            </w:tcMar>
          </w:tcPr>
          <w:p>
            <w:r>
              <w:rPr>
                <w:b w:val="false"/>
                <w:bCs w:val="false"/>
                <w:color w:val="2C2C2A"/>
                <w:sz w:val="19"/>
                <w:szCs w:val="19"/>
              </w:rPr>
              <w:t xml:space="preserve">Barre d'état</w:t>
            </w:r>
          </w:p>
        </w:tc>
        <w:tc>
          <w:tcPr>
            <w:tcW w:type="dxa" w:w="6400"/>
            <w:tcMar>
              <w:top w:type="dxa" w:w="80"/>
              <w:left w:type="dxa" w:w="110"/>
              <w:bottom w:type="dxa" w:w="80"/>
              <w:right w:type="dxa" w:w="110"/>
            </w:tcMar>
          </w:tcPr>
          <w:p>
            <w:r>
              <w:rPr>
                <w:b w:val="false"/>
                <w:bCs w:val="false"/>
                <w:color w:val="2C2C2A"/>
                <w:sz w:val="19"/>
                <w:szCs w:val="19"/>
              </w:rPr>
              <w:t xml:space="preserve">Hauteur variable selon le terminal, gérée par le composant SafeArea</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Retour arrière</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Bouton système sur Android, geste latéral sur iOS — comportement identique</w:t>
            </w:r>
          </w:p>
        </w:tc>
      </w:tr>
      <w:tr>
        <w:tc>
          <w:tcPr>
            <w:tcW w:type="dxa" w:w="2600"/>
            <w:tcMar>
              <w:top w:type="dxa" w:w="80"/>
              <w:left w:type="dxa" w:w="110"/>
              <w:bottom w:type="dxa" w:w="80"/>
              <w:right w:type="dxa" w:w="110"/>
            </w:tcMar>
          </w:tcPr>
          <w:p>
            <w:r>
              <w:rPr>
                <w:b w:val="false"/>
                <w:bCs w:val="false"/>
                <w:color w:val="2C2C2A"/>
                <w:sz w:val="19"/>
                <w:szCs w:val="19"/>
              </w:rPr>
              <w:t xml:space="preserve">Police</w:t>
            </w:r>
          </w:p>
        </w:tc>
        <w:tc>
          <w:tcPr>
            <w:tcW w:type="dxa" w:w="6400"/>
            <w:tcMar>
              <w:top w:type="dxa" w:w="80"/>
              <w:left w:type="dxa" w:w="110"/>
              <w:bottom w:type="dxa" w:w="80"/>
              <w:right w:type="dxa" w:w="110"/>
            </w:tcMar>
          </w:tcPr>
          <w:p>
            <w:r>
              <w:rPr>
                <w:b w:val="false"/>
                <w:bCs w:val="false"/>
                <w:color w:val="2C2C2A"/>
                <w:sz w:val="19"/>
                <w:szCs w:val="19"/>
              </w:rPr>
              <w:t xml:space="preserve">Police embarquée dans l'application, afin d'éviter toute substitution système et garantir un rendu identique</w:t>
            </w:r>
          </w:p>
        </w:tc>
      </w:tr>
    </w:tbl>
    <w:p>
      <w:pPr>
        <w:spacing w:after="160"/>
      </w:pPr>
    </w:p>
    <w:p>
      <w:pPr>
        <w:spacing w:after="120"/>
        <w:jc w:val="both"/>
      </w:pPr>
      <w:r>
        <w:rPr>
          <w:b w:val="false"/>
          <w:bCs w:val="false"/>
          <w:i/>
          <w:iCs/>
          <w:sz w:val="22"/>
          <w:szCs w:val="22"/>
        </w:rPr>
        <w:t xml:space="preserve">Aucun branchement conditionnel par plateforme n'est prévu, hormis la gestion de la zone sûre. Un écran identique sur les deux terminaux est un objectif de conception, pas une contrainte subie. Toute divergence de rendu constatée entre Android et iOS est traitée comme un défaut.</w:t>
      </w:r>
    </w:p>
    <w:p>
      <w:r>
        <w:br w:type="page"/>
      </w:r>
    </w:p>
    <w:p>
      <w:pPr>
        <w:pStyle w:val="Heading1"/>
        <w:spacing w:after="140" w:before="280"/>
      </w:pPr>
      <w:r>
        <w:rPr>
          <w:color w:val="534AB7"/>
        </w:rPr>
        <w:t xml:space="preserve">4. Architecture applicative</w:t>
      </w:r>
    </w:p>
    <w:p>
      <w:pPr>
        <w:pStyle w:val="Heading2"/>
        <w:spacing w:after="140" w:before="280"/>
      </w:pPr>
      <w:r>
        <w:rPr>
          <w:color w:val="0F6E56"/>
        </w:rPr>
        <w:t xml:space="preserve">4.1 Découpage en couches</w:t>
      </w:r>
    </w:p>
    <w:p>
      <w:pPr>
        <w:spacing w:after="120"/>
        <w:jc w:val="both"/>
      </w:pPr>
      <w:r>
        <w:rPr>
          <w:b w:val="false"/>
          <w:bCs w:val="false"/>
          <w:i w:val="false"/>
          <w:iCs w:val="false"/>
          <w:sz w:val="22"/>
          <w:szCs w:val="22"/>
        </w:rPr>
        <w:t xml:space="preserve">Quatre couches, dépendances orientées vers le bas uniquement. Aucune couche ne connaît celle qui la surplombe.</w:t>
      </w:r>
    </w:p>
    <w:p>
      <w:pPr>
        <w:shd w:fill="F7F6F2" w:val="clear"/>
        <w:spacing w:after="0"/>
      </w:pPr>
      <w:r>
        <w:rPr>
          <w:rFonts w:ascii="Consolas" w:cs="Consolas" w:eastAsia="Consolas" w:hAnsi="Consolas"/>
          <w:color w:val="2C2C2A"/>
          <w:sz w:val="18"/>
          <w:szCs w:val="18"/>
        </w:rPr>
        <w:t xml:space="preserve">  Présentation      écrans, dialogues, clavier de composition</w:t>
      </w:r>
    </w:p>
    <w:p>
      <w:pPr>
        <w:shd w:fill="F7F6F2" w:val="clear"/>
        <w:spacing w:after="0"/>
      </w:pPr>
      <w:r>
        <w:rPr>
          <w:rFonts w:ascii="Consolas" w:cs="Consolas" w:eastAsia="Consolas" w:hAnsi="Consolas"/>
          <w:color w:val="2C2C2A"/>
          <w:sz w:val="18"/>
          <w:szCs w:val="18"/>
        </w:rPr>
        <w:t xml:space="preserve">        |</w:t>
      </w:r>
    </w:p>
    <w:p>
      <w:pPr>
        <w:shd w:fill="F7F6F2" w:val="clear"/>
        <w:spacing w:after="0"/>
      </w:pPr>
      <w:r>
        <w:rPr>
          <w:rFonts w:ascii="Consolas" w:cs="Consolas" w:eastAsia="Consolas" w:hAnsi="Consolas"/>
          <w:color w:val="2C2C2A"/>
          <w:sz w:val="18"/>
          <w:szCs w:val="18"/>
        </w:rPr>
        <w:t xml:space="preserve">  Coordination      état de session, cycle du bail, navigation</w:t>
      </w:r>
    </w:p>
    <w:p>
      <w:pPr>
        <w:shd w:fill="F7F6F2" w:val="clear"/>
        <w:spacing w:after="0"/>
      </w:pPr>
      <w:r>
        <w:rPr>
          <w:rFonts w:ascii="Consolas" w:cs="Consolas" w:eastAsia="Consolas" w:hAnsi="Consolas"/>
          <w:color w:val="2C2C2A"/>
          <w:sz w:val="18"/>
          <w:szCs w:val="18"/>
        </w:rPr>
        <w:t xml:space="preserve">        |</w:t>
      </w:r>
    </w:p>
    <w:p>
      <w:pPr>
        <w:shd w:fill="F7F6F2" w:val="clear"/>
        <w:spacing w:after="0"/>
      </w:pPr>
      <w:r>
        <w:rPr>
          <w:rFonts w:ascii="Consolas" w:cs="Consolas" w:eastAsia="Consolas" w:hAnsi="Consolas"/>
          <w:color w:val="2C2C2A"/>
          <w:sz w:val="18"/>
          <w:szCs w:val="18"/>
        </w:rPr>
        <w:t xml:space="preserve">  Accès distant     client HTTP, sérialisation, gestion des échecs</w:t>
      </w:r>
    </w:p>
    <w:p>
      <w:pPr>
        <w:shd w:fill="F7F6F2" w:val="clear"/>
        <w:spacing w:after="0"/>
      </w:pPr>
      <w:r>
        <w:rPr>
          <w:rFonts w:ascii="Consolas" w:cs="Consolas" w:eastAsia="Consolas" w:hAnsi="Consolas"/>
          <w:color w:val="2C2C2A"/>
          <w:sz w:val="18"/>
          <w:szCs w:val="18"/>
        </w:rPr>
        <w:t xml:space="preserve">        |</w:t>
      </w:r>
    </w:p>
    <w:p>
      <w:pPr>
        <w:shd w:fill="F7F6F2" w:val="clear"/>
        <w:spacing w:after="160"/>
      </w:pPr>
      <w:r>
        <w:rPr>
          <w:rFonts w:ascii="Consolas" w:cs="Consolas" w:eastAsia="Consolas" w:hAnsi="Consolas"/>
          <w:color w:val="2C2C2A"/>
          <w:sz w:val="18"/>
          <w:szCs w:val="18"/>
        </w:rPr>
        <w:t xml:space="preserve">  Persistance       stockage du bail sur l'appareil</w:t>
      </w:r>
    </w:p>
    <w:p>
      <w:pPr>
        <w:spacing w:after="120"/>
        <w:jc w:val="both"/>
      </w:pPr>
      <w:r>
        <w:rPr>
          <w:b w:val="false"/>
          <w:bCs w:val="false"/>
          <w:i w:val="false"/>
          <w:iCs w:val="false"/>
          <w:sz w:val="22"/>
          <w:szCs w:val="22"/>
        </w:rPr>
        <w:t xml:space="preserve">La couche de coordination est le seul point où l'application détient un état. Les couches de présentation et d'accès distant sont sans mémoire.</w:t>
      </w:r>
    </w:p>
    <w:p>
      <w:pPr>
        <w:pStyle w:val="Heading2"/>
        <w:spacing w:after="140" w:before="280"/>
      </w:pPr>
      <w:r>
        <w:rPr>
          <w:color w:val="0F6E56"/>
        </w:rPr>
        <w:t xml:space="preserve">4.2 Ce que chaque couche contient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00"/>
      </w:tblGrid>
      <w:tr>
        <w:trPr>
          <w:tblHeader/>
        </w:trPr>
        <w:tc>
          <w:tcPr>
            <w:tcW w:type="dxa" w:w="1700"/>
            <w:shd w:fill="534AB7" w:val="clear"/>
            <w:tcMar>
              <w:top w:type="dxa" w:w="80"/>
              <w:left w:type="dxa" w:w="110"/>
              <w:bottom w:type="dxa" w:w="80"/>
              <w:right w:type="dxa" w:w="110"/>
            </w:tcMar>
          </w:tcPr>
          <w:p>
            <w:r>
              <w:rPr>
                <w:b/>
                <w:bCs/>
                <w:color w:val="FFFFFF"/>
                <w:sz w:val="19"/>
                <w:szCs w:val="19"/>
              </w:rPr>
              <w:t xml:space="preserve">Couche</w:t>
            </w:r>
          </w:p>
        </w:tc>
        <w:tc>
          <w:tcPr>
            <w:tcW w:type="dxa" w:w="3900"/>
            <w:shd w:fill="534AB7" w:val="clear"/>
            <w:tcMar>
              <w:top w:type="dxa" w:w="80"/>
              <w:left w:type="dxa" w:w="110"/>
              <w:bottom w:type="dxa" w:w="80"/>
              <w:right w:type="dxa" w:w="110"/>
            </w:tcMar>
          </w:tcPr>
          <w:p>
            <w:r>
              <w:rPr>
                <w:b/>
                <w:bCs/>
                <w:color w:val="FFFFFF"/>
                <w:sz w:val="19"/>
                <w:szCs w:val="19"/>
              </w:rPr>
              <w:t xml:space="preserve">Responsabilité</w:t>
            </w:r>
          </w:p>
        </w:tc>
        <w:tc>
          <w:tcPr>
            <w:tcW w:type="dxa" w:w="3400"/>
            <w:shd w:fill="534AB7" w:val="clear"/>
            <w:tcMar>
              <w:top w:type="dxa" w:w="80"/>
              <w:left w:type="dxa" w:w="110"/>
              <w:bottom w:type="dxa" w:w="80"/>
              <w:right w:type="dxa" w:w="110"/>
            </w:tcMar>
          </w:tcPr>
          <w:p>
            <w:r>
              <w:rPr>
                <w:b/>
                <w:bCs/>
                <w:color w:val="FFFFFF"/>
                <w:sz w:val="19"/>
                <w:szCs w:val="19"/>
              </w:rPr>
              <w:t xml:space="preserve">Ne contient jamais</w:t>
            </w:r>
          </w:p>
        </w:tc>
      </w:tr>
      <w:tr>
        <w:tc>
          <w:tcPr>
            <w:tcW w:type="dxa" w:w="1700"/>
            <w:tcMar>
              <w:top w:type="dxa" w:w="80"/>
              <w:left w:type="dxa" w:w="110"/>
              <w:bottom w:type="dxa" w:w="80"/>
              <w:right w:type="dxa" w:w="110"/>
            </w:tcMar>
          </w:tcPr>
          <w:p>
            <w:r>
              <w:rPr>
                <w:b w:val="false"/>
                <w:bCs w:val="false"/>
                <w:color w:val="2C2C2A"/>
                <w:sz w:val="19"/>
                <w:szCs w:val="19"/>
              </w:rPr>
              <w:t xml:space="preserve">Présentation</w:t>
            </w:r>
          </w:p>
        </w:tc>
        <w:tc>
          <w:tcPr>
            <w:tcW w:type="dxa" w:w="3900"/>
            <w:tcMar>
              <w:top w:type="dxa" w:w="80"/>
              <w:left w:type="dxa" w:w="110"/>
              <w:bottom w:type="dxa" w:w="80"/>
              <w:right w:type="dxa" w:w="110"/>
            </w:tcMar>
          </w:tcPr>
          <w:p>
            <w:r>
              <w:rPr>
                <w:b w:val="false"/>
                <w:bCs w:val="false"/>
                <w:color w:val="2C2C2A"/>
                <w:sz w:val="19"/>
                <w:szCs w:val="19"/>
              </w:rPr>
              <w:t xml:space="preserve">Afficher le texte reçu, capter les saisies</w:t>
            </w:r>
          </w:p>
        </w:tc>
        <w:tc>
          <w:tcPr>
            <w:tcW w:type="dxa" w:w="3400"/>
            <w:tcMar>
              <w:top w:type="dxa" w:w="80"/>
              <w:left w:type="dxa" w:w="110"/>
              <w:bottom w:type="dxa" w:w="80"/>
              <w:right w:type="dxa" w:w="110"/>
            </w:tcMar>
          </w:tcPr>
          <w:p>
            <w:r>
              <w:rPr>
                <w:b w:val="false"/>
                <w:bCs w:val="false"/>
                <w:color w:val="2C2C2A"/>
                <w:sz w:val="19"/>
                <w:szCs w:val="19"/>
              </w:rPr>
              <w:t xml:space="preserve">Aucune règle métier, aucun libellé de menu</w:t>
            </w:r>
          </w:p>
        </w:tc>
      </w:tr>
      <w:tr>
        <w:tc>
          <w:tcPr>
            <w:tcW w:type="dxa" w:w="1700"/>
            <w:shd w:fill="F1EFE8" w:val="clear"/>
            <w:tcMar>
              <w:top w:type="dxa" w:w="80"/>
              <w:left w:type="dxa" w:w="110"/>
              <w:bottom w:type="dxa" w:w="80"/>
              <w:right w:type="dxa" w:w="110"/>
            </w:tcMar>
          </w:tcPr>
          <w:p>
            <w:r>
              <w:rPr>
                <w:b w:val="false"/>
                <w:bCs w:val="false"/>
                <w:color w:val="2C2C2A"/>
                <w:sz w:val="19"/>
                <w:szCs w:val="19"/>
              </w:rPr>
              <w:t xml:space="preserve">Coordination</w:t>
            </w:r>
          </w:p>
        </w:tc>
        <w:tc>
          <w:tcPr>
            <w:tcW w:type="dxa" w:w="3900"/>
            <w:shd w:fill="F1EFE8" w:val="clear"/>
            <w:tcMar>
              <w:top w:type="dxa" w:w="80"/>
              <w:left w:type="dxa" w:w="110"/>
              <w:bottom w:type="dxa" w:w="80"/>
              <w:right w:type="dxa" w:w="110"/>
            </w:tcMar>
          </w:tcPr>
          <w:p>
            <w:r>
              <w:rPr>
                <w:b w:val="false"/>
                <w:bCs w:val="false"/>
                <w:color w:val="2C2C2A"/>
                <w:sz w:val="19"/>
                <w:szCs w:val="19"/>
              </w:rPr>
              <w:t xml:space="preserve">Identifiant de session, échéance du bail, enchaînement des écrans</w:t>
            </w:r>
          </w:p>
        </w:tc>
        <w:tc>
          <w:tcPr>
            <w:tcW w:type="dxa" w:w="3400"/>
            <w:shd w:fill="F1EFE8" w:val="clear"/>
            <w:tcMar>
              <w:top w:type="dxa" w:w="80"/>
              <w:left w:type="dxa" w:w="110"/>
              <w:bottom w:type="dxa" w:w="80"/>
              <w:right w:type="dxa" w:w="110"/>
            </w:tcMar>
          </w:tcPr>
          <w:p>
            <w:r>
              <w:rPr>
                <w:b w:val="false"/>
                <w:bCs w:val="false"/>
                <w:color w:val="2C2C2A"/>
                <w:sz w:val="19"/>
                <w:szCs w:val="19"/>
              </w:rPr>
              <w:t xml:space="preserve">Aucun appel réseau direct</w:t>
            </w:r>
          </w:p>
        </w:tc>
      </w:tr>
      <w:tr>
        <w:tc>
          <w:tcPr>
            <w:tcW w:type="dxa" w:w="1700"/>
            <w:tcMar>
              <w:top w:type="dxa" w:w="80"/>
              <w:left w:type="dxa" w:w="110"/>
              <w:bottom w:type="dxa" w:w="80"/>
              <w:right w:type="dxa" w:w="110"/>
            </w:tcMar>
          </w:tcPr>
          <w:p>
            <w:r>
              <w:rPr>
                <w:b w:val="false"/>
                <w:bCs w:val="false"/>
                <w:color w:val="2C2C2A"/>
                <w:sz w:val="19"/>
                <w:szCs w:val="19"/>
              </w:rPr>
              <w:t xml:space="preserve">Accès distant</w:t>
            </w:r>
          </w:p>
        </w:tc>
        <w:tc>
          <w:tcPr>
            <w:tcW w:type="dxa" w:w="3900"/>
            <w:tcMar>
              <w:top w:type="dxa" w:w="80"/>
              <w:left w:type="dxa" w:w="110"/>
              <w:bottom w:type="dxa" w:w="80"/>
              <w:right w:type="dxa" w:w="110"/>
            </w:tcMar>
          </w:tcPr>
          <w:p>
            <w:r>
              <w:rPr>
                <w:b w:val="false"/>
                <w:bCs w:val="false"/>
                <w:color w:val="2C2C2A"/>
                <w:sz w:val="19"/>
                <w:szCs w:val="19"/>
              </w:rPr>
              <w:t xml:space="preserve">Appels aux services, traduction des échecs en états</w:t>
            </w:r>
          </w:p>
        </w:tc>
        <w:tc>
          <w:tcPr>
            <w:tcW w:type="dxa" w:w="3400"/>
            <w:tcMar>
              <w:top w:type="dxa" w:w="80"/>
              <w:left w:type="dxa" w:w="110"/>
              <w:bottom w:type="dxa" w:w="80"/>
              <w:right w:type="dxa" w:w="110"/>
            </w:tcMar>
          </w:tcPr>
          <w:p>
            <w:r>
              <w:rPr>
                <w:b w:val="false"/>
                <w:bCs w:val="false"/>
                <w:color w:val="2C2C2A"/>
                <w:sz w:val="19"/>
                <w:szCs w:val="19"/>
              </w:rPr>
              <w:t xml:space="preserve">Aucune décision de navigation</w:t>
            </w:r>
          </w:p>
        </w:tc>
      </w:tr>
      <w:tr>
        <w:tc>
          <w:tcPr>
            <w:tcW w:type="dxa" w:w="1700"/>
            <w:shd w:fill="F1EFE8" w:val="clear"/>
            <w:tcMar>
              <w:top w:type="dxa" w:w="80"/>
              <w:left w:type="dxa" w:w="110"/>
              <w:bottom w:type="dxa" w:w="80"/>
              <w:right w:type="dxa" w:w="110"/>
            </w:tcMar>
          </w:tcPr>
          <w:p>
            <w:r>
              <w:rPr>
                <w:b w:val="false"/>
                <w:bCs w:val="false"/>
                <w:color w:val="2C2C2A"/>
                <w:sz w:val="19"/>
                <w:szCs w:val="19"/>
              </w:rPr>
              <w:t xml:space="preserve">Persistance</w:t>
            </w:r>
          </w:p>
        </w:tc>
        <w:tc>
          <w:tcPr>
            <w:tcW w:type="dxa" w:w="3900"/>
            <w:shd w:fill="F1EFE8" w:val="clear"/>
            <w:tcMar>
              <w:top w:type="dxa" w:w="80"/>
              <w:left w:type="dxa" w:w="110"/>
              <w:bottom w:type="dxa" w:w="80"/>
              <w:right w:type="dxa" w:w="110"/>
            </w:tcMar>
          </w:tcPr>
          <w:p>
            <w:r>
              <w:rPr>
                <w:b w:val="false"/>
                <w:bCs w:val="false"/>
                <w:color w:val="2C2C2A"/>
                <w:sz w:val="19"/>
                <w:szCs w:val="19"/>
              </w:rPr>
              <w:t xml:space="preserve">Numéro attribué et date d'échéance</w:t>
            </w:r>
          </w:p>
        </w:tc>
        <w:tc>
          <w:tcPr>
            <w:tcW w:type="dxa" w:w="3400"/>
            <w:shd w:fill="F1EFE8" w:val="clear"/>
            <w:tcMar>
              <w:top w:type="dxa" w:w="80"/>
              <w:left w:type="dxa" w:w="110"/>
              <w:bottom w:type="dxa" w:w="80"/>
              <w:right w:type="dxa" w:w="110"/>
            </w:tcMar>
          </w:tcPr>
          <w:p>
            <w:r>
              <w:rPr>
                <w:b w:val="false"/>
                <w:bCs w:val="false"/>
                <w:color w:val="2C2C2A"/>
                <w:sz w:val="19"/>
                <w:szCs w:val="19"/>
              </w:rPr>
              <w:t xml:space="preserve">Aucune donnée personnelle autre que le numéro</w:t>
            </w:r>
          </w:p>
        </w:tc>
      </w:tr>
    </w:tbl>
    <w:p>
      <w:pPr>
        <w:spacing w:after="160"/>
      </w:pPr>
    </w:p>
    <w:p>
      <w:pPr>
        <w:spacing w:after="120"/>
        <w:jc w:val="both"/>
      </w:pPr>
      <w:r>
        <w:rPr>
          <w:b w:val="false"/>
          <w:bCs w:val="false"/>
          <w:i/>
          <w:iCs/>
          <w:sz w:val="22"/>
          <w:szCs w:val="22"/>
        </w:rPr>
        <w:t xml:space="preserve">Le respect de l'invariant INV-SIM-03 — aucune logique métier embarquée — se vérifie par une revue de la couche de présentation : elle ne doit contenir aucune chaîne de caractères correspondant à un libellé de menu.</w:t>
      </w:r>
    </w:p>
    <w:p>
      <w:pPr>
        <w:pStyle w:val="Heading2"/>
        <w:spacing w:after="140" w:before="280"/>
      </w:pPr>
      <w:r>
        <w:rPr>
          <w:color w:val="0F6E56"/>
        </w:rPr>
        <w:t xml:space="preserve">4.3 État local conservé</w:t>
      </w:r>
    </w:p>
    <w:p>
      <w:pPr>
        <w:spacing w:after="120"/>
        <w:jc w:val="both"/>
      </w:pPr>
      <w:r>
        <w:rPr>
          <w:b w:val="false"/>
          <w:bCs w:val="false"/>
          <w:i w:val="false"/>
          <w:iCs w:val="false"/>
          <w:sz w:val="22"/>
          <w:szCs w:val="22"/>
        </w:rPr>
        <w:t xml:space="preserve">L'application ne conserve que trois informations, toutes liées au bail. Aucune donnée de session USSD n'est stockée : la session vit côté serveur.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Donnée</w:t>
            </w:r>
          </w:p>
        </w:tc>
        <w:tc>
          <w:tcPr>
            <w:tcW w:type="dxa" w:w="2400"/>
            <w:shd w:fill="534AB7" w:val="clear"/>
            <w:tcMar>
              <w:top w:type="dxa" w:w="80"/>
              <w:left w:type="dxa" w:w="110"/>
              <w:bottom w:type="dxa" w:w="80"/>
              <w:right w:type="dxa" w:w="110"/>
            </w:tcMar>
          </w:tcPr>
          <w:p>
            <w:r>
              <w:rPr>
                <w:b/>
                <w:bCs/>
                <w:color w:val="FFFFFF"/>
                <w:sz w:val="19"/>
                <w:szCs w:val="19"/>
              </w:rPr>
              <w:t xml:space="preserve">Type</w:t>
            </w:r>
          </w:p>
        </w:tc>
        <w:tc>
          <w:tcPr>
            <w:tcW w:type="dxa" w:w="4000"/>
            <w:shd w:fill="534AB7" w:val="clear"/>
            <w:tcMar>
              <w:top w:type="dxa" w:w="80"/>
              <w:left w:type="dxa" w:w="110"/>
              <w:bottom w:type="dxa" w:w="80"/>
              <w:right w:type="dxa" w:w="110"/>
            </w:tcMar>
          </w:tcPr>
          <w:p>
            <w:r>
              <w:rPr>
                <w:b/>
                <w:bCs/>
                <w:color w:val="FFFFFF"/>
                <w:sz w:val="19"/>
                <w:szCs w:val="19"/>
              </w:rPr>
              <w:t xml:space="preserve">Durée de vie</w:t>
            </w:r>
          </w:p>
        </w:tc>
      </w:tr>
      <w:tr>
        <w:tc>
          <w:tcPr>
            <w:tcW w:type="dxa" w:w="2600"/>
            <w:tcMar>
              <w:top w:type="dxa" w:w="80"/>
              <w:left w:type="dxa" w:w="110"/>
              <w:bottom w:type="dxa" w:w="80"/>
              <w:right w:type="dxa" w:w="110"/>
            </w:tcMar>
          </w:tcPr>
          <w:p>
            <w:r>
              <w:rPr>
                <w:b w:val="false"/>
                <w:bCs w:val="false"/>
                <w:color w:val="2C2C2A"/>
                <w:sz w:val="19"/>
                <w:szCs w:val="19"/>
              </w:rPr>
              <w:t xml:space="preserve">Numéro attribué</w:t>
            </w:r>
          </w:p>
        </w:tc>
        <w:tc>
          <w:tcPr>
            <w:tcW w:type="dxa" w:w="2400"/>
            <w:tcMar>
              <w:top w:type="dxa" w:w="80"/>
              <w:left w:type="dxa" w:w="110"/>
              <w:bottom w:type="dxa" w:w="80"/>
              <w:right w:type="dxa" w:w="110"/>
            </w:tcMar>
          </w:tcPr>
          <w:p>
            <w:r>
              <w:rPr>
                <w:b w:val="false"/>
                <w:bCs w:val="false"/>
                <w:color w:val="2C2C2A"/>
                <w:sz w:val="19"/>
                <w:szCs w:val="19"/>
              </w:rPr>
              <w:t xml:space="preserve">Chaîne</w:t>
            </w:r>
          </w:p>
        </w:tc>
        <w:tc>
          <w:tcPr>
            <w:tcW w:type="dxa" w:w="4000"/>
            <w:tcMar>
              <w:top w:type="dxa" w:w="80"/>
              <w:left w:type="dxa" w:w="110"/>
              <w:bottom w:type="dxa" w:w="80"/>
              <w:right w:type="dxa" w:w="110"/>
            </w:tcMar>
          </w:tcPr>
          <w:p>
            <w:r>
              <w:rPr>
                <w:b w:val="false"/>
                <w:bCs w:val="false"/>
                <w:color w:val="2C2C2A"/>
                <w:sz w:val="19"/>
                <w:szCs w:val="19"/>
              </w:rPr>
              <w:t xml:space="preserve">Sept jours à compter de l'attribution</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Date d'échéance</w:t>
            </w:r>
          </w:p>
        </w:tc>
        <w:tc>
          <w:tcPr>
            <w:tcW w:type="dxa" w:w="2400"/>
            <w:shd w:fill="F1EFE8" w:val="clear"/>
            <w:tcMar>
              <w:top w:type="dxa" w:w="80"/>
              <w:left w:type="dxa" w:w="110"/>
              <w:bottom w:type="dxa" w:w="80"/>
              <w:right w:type="dxa" w:w="110"/>
            </w:tcMar>
          </w:tcPr>
          <w:p>
            <w:r>
              <w:rPr>
                <w:b w:val="false"/>
                <w:bCs w:val="false"/>
                <w:color w:val="2C2C2A"/>
                <w:sz w:val="19"/>
                <w:szCs w:val="19"/>
              </w:rPr>
              <w:t xml:space="preserve">Horodatage</w:t>
            </w:r>
          </w:p>
        </w:tc>
        <w:tc>
          <w:tcPr>
            <w:tcW w:type="dxa" w:w="4000"/>
            <w:shd w:fill="F1EFE8" w:val="clear"/>
            <w:tcMar>
              <w:top w:type="dxa" w:w="80"/>
              <w:left w:type="dxa" w:w="110"/>
              <w:bottom w:type="dxa" w:w="80"/>
              <w:right w:type="dxa" w:w="110"/>
            </w:tcMar>
          </w:tcPr>
          <w:p>
            <w:r>
              <w:rPr>
                <w:b w:val="false"/>
                <w:bCs w:val="false"/>
                <w:color w:val="2C2C2A"/>
                <w:sz w:val="19"/>
                <w:szCs w:val="19"/>
              </w:rPr>
              <w:t xml:space="preserve">Sept jours</w:t>
            </w:r>
          </w:p>
        </w:tc>
      </w:tr>
      <w:tr>
        <w:tc>
          <w:tcPr>
            <w:tcW w:type="dxa" w:w="2600"/>
            <w:tcMar>
              <w:top w:type="dxa" w:w="80"/>
              <w:left w:type="dxa" w:w="110"/>
              <w:bottom w:type="dxa" w:w="80"/>
              <w:right w:type="dxa" w:w="110"/>
            </w:tcMar>
          </w:tcPr>
          <w:p>
            <w:r>
              <w:rPr>
                <w:b w:val="false"/>
                <w:bCs w:val="false"/>
                <w:color w:val="2C2C2A"/>
                <w:sz w:val="19"/>
                <w:szCs w:val="19"/>
              </w:rPr>
              <w:t xml:space="preserve">Identifiant de session</w:t>
            </w:r>
          </w:p>
        </w:tc>
        <w:tc>
          <w:tcPr>
            <w:tcW w:type="dxa" w:w="2400"/>
            <w:tcMar>
              <w:top w:type="dxa" w:w="80"/>
              <w:left w:type="dxa" w:w="110"/>
              <w:bottom w:type="dxa" w:w="80"/>
              <w:right w:type="dxa" w:w="110"/>
            </w:tcMar>
          </w:tcPr>
          <w:p>
            <w:r>
              <w:rPr>
                <w:b w:val="false"/>
                <w:bCs w:val="false"/>
                <w:color w:val="2C2C2A"/>
                <w:sz w:val="19"/>
                <w:szCs w:val="19"/>
              </w:rPr>
              <w:t xml:space="preserve">Chaîne</w:t>
            </w:r>
          </w:p>
        </w:tc>
        <w:tc>
          <w:tcPr>
            <w:tcW w:type="dxa" w:w="4000"/>
            <w:tcMar>
              <w:top w:type="dxa" w:w="80"/>
              <w:left w:type="dxa" w:w="110"/>
              <w:bottom w:type="dxa" w:w="80"/>
              <w:right w:type="dxa" w:w="110"/>
            </w:tcMar>
          </w:tcPr>
          <w:p>
            <w:r>
              <w:rPr>
                <w:b w:val="false"/>
                <w:bCs w:val="false"/>
                <w:color w:val="2C2C2A"/>
                <w:sz w:val="19"/>
                <w:szCs w:val="19"/>
              </w:rPr>
              <w:t xml:space="preserve">Le temps d'une session, jamais persisté</w:t>
            </w:r>
          </w:p>
        </w:tc>
      </w:tr>
    </w:tbl>
    <w:p>
      <w:pPr>
        <w:spacing w:after="160"/>
      </w:pPr>
    </w:p>
    <w:p>
      <w:pPr>
        <w:spacing w:after="120"/>
        <w:jc w:val="both"/>
      </w:pPr>
      <w:r>
        <w:rPr>
          <w:b w:val="false"/>
          <w:bCs w:val="false"/>
          <w:i w:val="false"/>
          <w:iCs w:val="false"/>
          <w:sz w:val="22"/>
          <w:szCs w:val="22"/>
        </w:rPr>
        <w:t xml:space="preserve">À chaque lancement, l'application compare la date d'échéance à l'heure courante. Si l'échéance est dépassée, l'état local est effacé et l'usager est reconduit vers la phase d'attribution, conformément à l'exigence EF-15.</w:t>
      </w:r>
    </w:p>
    <w:p>
      <w:r>
        <w:br w:type="page"/>
      </w:r>
    </w:p>
    <w:p>
      <w:pPr>
        <w:pStyle w:val="Heading1"/>
        <w:spacing w:after="140" w:before="280"/>
      </w:pPr>
      <w:r>
        <w:rPr>
          <w:color w:val="534AB7"/>
        </w:rPr>
        <w:t xml:space="preserve">5. Contrats externes</w:t>
      </w:r>
    </w:p>
    <w:p>
      <w:pPr>
        <w:spacing w:after="120"/>
        <w:jc w:val="both"/>
      </w:pPr>
      <w:r>
        <w:rPr>
          <w:b w:val="false"/>
          <w:bCs w:val="false"/>
          <w:i w:val="false"/>
          <w:iCs w:val="false"/>
          <w:sz w:val="22"/>
          <w:szCs w:val="22"/>
        </w:rPr>
        <w:t xml:space="preserve">L'application communique avec deux services. Elle n'en connaît aucun autre.</w:t>
      </w:r>
    </w:p>
    <w:p>
      <w:pPr>
        <w:pStyle w:val="Heading2"/>
        <w:spacing w:after="140" w:before="280"/>
      </w:pPr>
      <w:r>
        <w:rPr>
          <w:color w:val="0F6E56"/>
        </w:rPr>
        <w:t xml:space="preserve">5.1 Service d'attribution</w:t>
      </w:r>
    </w:p>
    <w:p>
      <w:pPr>
        <w:spacing w:after="120"/>
        <w:jc w:val="both"/>
      </w:pPr>
      <w:r>
        <w:rPr>
          <w:b w:val="false"/>
          <w:bCs w:val="false"/>
          <w:i w:val="false"/>
          <w:iCs w:val="false"/>
          <w:sz w:val="22"/>
          <w:szCs w:val="22"/>
        </w:rPr>
        <w:t xml:space="preserve">Sollicité une seule fois par bail, lors de la phase d'attribution. Ce service n'existe pas à ce jour ; sa réalisation relève du périmètre du Loader et constitue une dépendance bloquante.</w:t>
      </w:r>
    </w:p>
    <w:p>
      <w:pPr>
        <w:spacing w:after="120"/>
        <w:jc w:val="both"/>
      </w:pPr>
      <w:r>
        <w:rPr>
          <w:b w:val="false"/>
          <w:bCs w:val="false"/>
          <w:i w:val="false"/>
          <w:iCs w:val="false"/>
          <w:sz w:val="22"/>
          <w:szCs w:val="22"/>
        </w:rPr>
        <w:t xml:space="preserve">L'application transmet les trois critères de profil et attend en retour un numéro de téléphone correspondant à un client enregistré, marqué comme attribué pour la durée du bail.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34AB7" w:val="clear"/>
            <w:tcMar>
              <w:top w:type="dxa" w:w="80"/>
              <w:left w:type="dxa" w:w="110"/>
              <w:bottom w:type="dxa" w:w="80"/>
              <w:right w:type="dxa" w:w="110"/>
            </w:tcMar>
          </w:tcPr>
          <w:p>
            <w:r>
              <w:rPr>
                <w:b/>
                <w:bCs/>
                <w:color w:val="FFFFFF"/>
                <w:sz w:val="19"/>
                <w:szCs w:val="19"/>
              </w:rPr>
              <w:t xml:space="preserve">Transmis</w:t>
            </w:r>
          </w:p>
        </w:tc>
        <w:tc>
          <w:tcPr>
            <w:tcW w:type="dxa" w:w="4500"/>
            <w:shd w:fill="534AB7" w:val="clear"/>
            <w:tcMar>
              <w:top w:type="dxa" w:w="80"/>
              <w:left w:type="dxa" w:w="110"/>
              <w:bottom w:type="dxa" w:w="80"/>
              <w:right w:type="dxa" w:w="110"/>
            </w:tcMar>
          </w:tcPr>
          <w:p>
            <w:r>
              <w:rPr>
                <w:b/>
                <w:bCs/>
                <w:color w:val="FFFFFF"/>
                <w:sz w:val="19"/>
                <w:szCs w:val="19"/>
              </w:rPr>
              <w:t xml:space="preserve">Attendu en retour</w:t>
            </w:r>
          </w:p>
        </w:tc>
      </w:tr>
      <w:tr>
        <w:tc>
          <w:tcPr>
            <w:tcW w:type="dxa" w:w="4500"/>
            <w:tcMar>
              <w:top w:type="dxa" w:w="80"/>
              <w:left w:type="dxa" w:w="110"/>
              <w:bottom w:type="dxa" w:w="80"/>
              <w:right w:type="dxa" w:w="110"/>
            </w:tcMar>
          </w:tcPr>
          <w:p>
            <w:r>
              <w:rPr>
                <w:b w:val="false"/>
                <w:bCs w:val="false"/>
                <w:color w:val="2C2C2A"/>
                <w:sz w:val="19"/>
                <w:szCs w:val="19"/>
              </w:rPr>
              <w:t xml:space="preserve">Pays, genre, catégorie</w:t>
            </w:r>
          </w:p>
        </w:tc>
        <w:tc>
          <w:tcPr>
            <w:tcW w:type="dxa" w:w="4500"/>
            <w:tcMar>
              <w:top w:type="dxa" w:w="80"/>
              <w:left w:type="dxa" w:w="110"/>
              <w:bottom w:type="dxa" w:w="80"/>
              <w:right w:type="dxa" w:w="110"/>
            </w:tcMar>
          </w:tcPr>
          <w:p>
            <w:r>
              <w:rPr>
                <w:b w:val="false"/>
                <w:bCs w:val="false"/>
                <w:color w:val="2C2C2A"/>
                <w:sz w:val="19"/>
                <w:szCs w:val="19"/>
              </w:rPr>
              <w:t xml:space="preserve">Numéro de téléphone, date d'échéance du bail</w:t>
            </w:r>
          </w:p>
        </w:tc>
      </w:tr>
    </w:tbl>
    <w:p>
      <w:pPr>
        <w:spacing w:after="160"/>
      </w:pPr>
    </w:p>
    <w:p>
      <w:pPr>
        <w:pStyle w:val="Heading2"/>
        <w:spacing w:after="140" w:before="280"/>
      </w:pPr>
      <w:r>
        <w:rPr>
          <w:color w:val="0F6E56"/>
        </w:rPr>
        <w:t xml:space="preserve">5.2 Service USSD</w:t>
      </w:r>
    </w:p>
    <w:p>
      <w:pPr>
        <w:spacing w:after="120"/>
        <w:jc w:val="both"/>
      </w:pPr>
      <w:r>
        <w:rPr>
          <w:b w:val="false"/>
          <w:bCs w:val="false"/>
          <w:i w:val="false"/>
          <w:iCs w:val="false"/>
          <w:sz w:val="22"/>
          <w:szCs w:val="22"/>
        </w:rPr>
        <w:t xml:space="preserve">Sollicité à chaque saisie de l'usager, pendant toute la durée d'une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34AB7" w:val="clear"/>
            <w:tcMar>
              <w:top w:type="dxa" w:w="80"/>
              <w:left w:type="dxa" w:w="110"/>
              <w:bottom w:type="dxa" w:w="80"/>
              <w:right w:type="dxa" w:w="110"/>
            </w:tcMar>
          </w:tcPr>
          <w:p>
            <w:r>
              <w:rPr>
                <w:b/>
                <w:bCs/>
                <w:color w:val="FFFFFF"/>
                <w:sz w:val="19"/>
                <w:szCs w:val="19"/>
              </w:rPr>
              <w:t xml:space="preserve">Champ transmis</w:t>
            </w:r>
          </w:p>
        </w:tc>
        <w:tc>
          <w:tcPr>
            <w:tcW w:type="dxa" w:w="6400"/>
            <w:shd w:fill="534AB7" w:val="clear"/>
            <w:tcMar>
              <w:top w:type="dxa" w:w="80"/>
              <w:left w:type="dxa" w:w="110"/>
              <w:bottom w:type="dxa" w:w="80"/>
              <w:right w:type="dxa" w:w="110"/>
            </w:tcMar>
          </w:tcPr>
          <w:p>
            <w:r>
              <w:rPr>
                <w:b/>
                <w:bCs/>
                <w:color w:val="FFFFFF"/>
                <w:sz w:val="19"/>
                <w:szCs w:val="19"/>
              </w:rPr>
              <w:t xml:space="preserve">Contenu</w:t>
            </w:r>
          </w:p>
        </w:tc>
      </w:tr>
      <w:tr>
        <w:tc>
          <w:tcPr>
            <w:tcW w:type="dxa" w:w="2600"/>
            <w:tcMar>
              <w:top w:type="dxa" w:w="80"/>
              <w:left w:type="dxa" w:w="110"/>
              <w:bottom w:type="dxa" w:w="80"/>
              <w:right w:type="dxa" w:w="110"/>
            </w:tcMar>
          </w:tcPr>
          <w:p>
            <w:r>
              <w:rPr>
                <w:b w:val="false"/>
                <w:bCs w:val="false"/>
                <w:color w:val="2C2C2A"/>
                <w:sz w:val="19"/>
                <w:szCs w:val="19"/>
              </w:rPr>
              <w:t xml:space="preserve">Identifiant de session</w:t>
            </w:r>
          </w:p>
        </w:tc>
        <w:tc>
          <w:tcPr>
            <w:tcW w:type="dxa" w:w="6400"/>
            <w:tcMar>
              <w:top w:type="dxa" w:w="80"/>
              <w:left w:type="dxa" w:w="110"/>
              <w:bottom w:type="dxa" w:w="80"/>
              <w:right w:type="dxa" w:w="110"/>
            </w:tcMar>
          </w:tcPr>
          <w:p>
            <w:r>
              <w:rPr>
                <w:b w:val="false"/>
                <w:bCs w:val="false"/>
                <w:color w:val="2C2C2A"/>
                <w:sz w:val="19"/>
                <w:szCs w:val="19"/>
              </w:rPr>
              <w:t xml:space="preserve">Généré par l'application, renouvelé à chaque composition</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Numéro de téléphone</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Repris de l'état local, jamais saisi par l'usager</w:t>
            </w:r>
          </w:p>
        </w:tc>
      </w:tr>
      <w:tr>
        <w:tc>
          <w:tcPr>
            <w:tcW w:type="dxa" w:w="2600"/>
            <w:tcMar>
              <w:top w:type="dxa" w:w="80"/>
              <w:left w:type="dxa" w:w="110"/>
              <w:bottom w:type="dxa" w:w="80"/>
              <w:right w:type="dxa" w:w="110"/>
            </w:tcMar>
          </w:tcPr>
          <w:p>
            <w:r>
              <w:rPr>
                <w:b w:val="false"/>
                <w:bCs w:val="false"/>
                <w:color w:val="2C2C2A"/>
                <w:sz w:val="19"/>
                <w:szCs w:val="19"/>
              </w:rPr>
              <w:t xml:space="preserve">Saisie</w:t>
            </w:r>
          </w:p>
        </w:tc>
        <w:tc>
          <w:tcPr>
            <w:tcW w:type="dxa" w:w="6400"/>
            <w:tcMar>
              <w:top w:type="dxa" w:w="80"/>
              <w:left w:type="dxa" w:w="110"/>
              <w:bottom w:type="dxa" w:w="80"/>
              <w:right w:type="dxa" w:w="110"/>
            </w:tcMar>
          </w:tcPr>
          <w:p>
            <w:r>
              <w:rPr>
                <w:b w:val="false"/>
                <w:bCs w:val="false"/>
                <w:color w:val="2C2C2A"/>
                <w:sz w:val="19"/>
                <w:szCs w:val="19"/>
              </w:rPr>
              <w:t xml:space="preserve">Le code composé, puis chaque touche sélectionnée</w:t>
            </w:r>
          </w:p>
        </w:tc>
      </w:tr>
      <w:tr>
        <w:tc>
          <w:tcPr>
            <w:tcW w:type="dxa" w:w="2600"/>
            <w:shd w:fill="F1EFE8" w:val="clear"/>
            <w:tcMar>
              <w:top w:type="dxa" w:w="80"/>
              <w:left w:type="dxa" w:w="110"/>
              <w:bottom w:type="dxa" w:w="80"/>
              <w:right w:type="dxa" w:w="110"/>
            </w:tcMar>
          </w:tcPr>
          <w:p>
            <w:r>
              <w:rPr>
                <w:b w:val="false"/>
                <w:bCs w:val="false"/>
                <w:color w:val="2C2C2A"/>
                <w:sz w:val="19"/>
                <w:szCs w:val="19"/>
              </w:rPr>
              <w:t xml:space="preserve">Indicateur d'ouverture</w:t>
            </w:r>
          </w:p>
        </w:tc>
        <w:tc>
          <w:tcPr>
            <w:tcW w:type="dxa" w:w="6400"/>
            <w:shd w:fill="F1EFE8" w:val="clear"/>
            <w:tcMar>
              <w:top w:type="dxa" w:w="80"/>
              <w:left w:type="dxa" w:w="110"/>
              <w:bottom w:type="dxa" w:w="80"/>
              <w:right w:type="dxa" w:w="110"/>
            </w:tcMar>
          </w:tcPr>
          <w:p>
            <w:r>
              <w:rPr>
                <w:b w:val="false"/>
                <w:bCs w:val="false"/>
                <w:color w:val="2C2C2A"/>
                <w:sz w:val="19"/>
                <w:szCs w:val="19"/>
              </w:rPr>
              <w:t xml:space="preserve">Distingue la première requête des suivantes</w:t>
            </w:r>
          </w:p>
        </w:tc>
      </w:tr>
    </w:tbl>
    <w:p>
      <w:pPr>
        <w:spacing w:after="160"/>
      </w:pPr>
    </w:p>
    <w:p>
      <w:pPr>
        <w:spacing w:after="120"/>
        <w:jc w:val="both"/>
      </w:pPr>
      <w:r>
        <w:rPr>
          <w:b w:val="false"/>
          <w:bCs w:val="false"/>
          <w:i w:val="false"/>
          <w:iCs w:val="false"/>
          <w:sz w:val="22"/>
          <w:szCs w:val="22"/>
        </w:rPr>
        <w:t xml:space="preserve">La réponse est un texte simple, préfixé d'un marqueur indiquant si la session se poursuit ou s'achève. L'application retire ce marqueur et affiche le reste sans transformation, conformément à l'invariant INV-SIM-05.</w:t>
      </w:r>
    </w:p>
    <w:p>
      <w:r>
        <w:br w:type="page"/>
      </w:r>
    </w:p>
    <w:p>
      <w:pPr>
        <w:pStyle w:val="Heading1"/>
        <w:spacing w:after="140" w:before="280"/>
      </w:pPr>
      <w:r>
        <w:rPr>
          <w:color w:val="534AB7"/>
        </w:rPr>
        <w:t xml:space="preserve">6. Environnement de développement</w:t>
      </w:r>
    </w:p>
    <w:p>
      <w:pPr>
        <w:pStyle w:val="Heading2"/>
        <w:spacing w:after="140" w:before="280"/>
      </w:pPr>
      <w:r>
        <w:rPr>
          <w:color w:val="0F6E56"/>
        </w:rPr>
        <w:t xml:space="preserve">6.1 Contrainte identifiée</w:t>
      </w:r>
    </w:p>
    <w:p>
      <w:pPr>
        <w:spacing w:after="120"/>
        <w:jc w:val="both"/>
      </w:pPr>
      <w:r>
        <w:rPr>
          <w:b w:val="false"/>
          <w:bCs w:val="false"/>
          <w:i w:val="false"/>
          <w:iCs w:val="false"/>
          <w:sz w:val="22"/>
          <w:szCs w:val="22"/>
        </w:rPr>
        <w:t xml:space="preserve">L'environnement de travail habituel du projet repose sur WSL2 sous Windows. Cet environnement ne convient pas au développement mobile, pour deux raisons vérifiées :</w:t>
      </w:r>
    </w:p>
    <w:p>
      <w:pPr>
        <w:pStyle w:val="ListParagraph"/>
        <w:numPr>
          <w:ilvl w:val="0"/>
          <w:numId w:val="1"/>
        </w:numPr>
        <w:spacing w:after="80"/>
      </w:pPr>
      <w:r>
        <w:rPr>
          <w:sz w:val="22"/>
          <w:szCs w:val="22"/>
        </w:rPr>
        <w:t xml:space="preserve">WSL2 n'expose pas les ports USB de la machine hôte. Un téléphone branché n'est pas visible depuis WSL, ce qui interdit le déploiement direct sur un terminal réel.</w:t>
      </w:r>
    </w:p>
    <w:p>
      <w:pPr>
        <w:pStyle w:val="ListParagraph"/>
        <w:numPr>
          <w:ilvl w:val="0"/>
          <w:numId w:val="1"/>
        </w:numPr>
        <w:spacing w:after="80"/>
      </w:pPr>
      <w:r>
        <w:rPr>
          <w:sz w:val="22"/>
          <w:szCs w:val="22"/>
        </w:rPr>
        <w:t xml:space="preserve">L'émulateur Android exécuté dans WSL2 ne bénéficie d'aucune accélération matérielle. Ses performances le rendent inexploitable.</w:t>
      </w:r>
    </w:p>
    <w:p>
      <w:pPr>
        <w:pStyle w:val="Heading2"/>
        <w:spacing w:after="140" w:before="280"/>
      </w:pPr>
      <w:r>
        <w:rPr>
          <w:color w:val="0F6E56"/>
        </w:rPr>
        <w:t xml:space="preserve">6.2 Configuration retenue</w:t>
      </w:r>
    </w:p>
    <w:p>
      <w:pPr>
        <w:spacing w:after="120"/>
        <w:jc w:val="both"/>
      </w:pPr>
      <w:r>
        <w:rPr>
          <w:b w:val="false"/>
          <w:bCs w:val="false"/>
          <w:i w:val="false"/>
          <w:iCs w:val="false"/>
          <w:sz w:val="22"/>
          <w:szCs w:val="22"/>
        </w:rPr>
        <w:t xml:space="preserve">Node.js, le nécessaire React Native et les outils Android sont installés sur Windows. Le dossier du projet est placé sur le système de fichiers Windows, où il reste accessible depuis WSL par le point de montage habituel.</w:t>
      </w:r>
    </w:p>
    <w:p>
      <w:pPr>
        <w:shd w:fill="F7F6F2" w:val="clear"/>
        <w:spacing w:after="0"/>
      </w:pPr>
      <w:r>
        <w:rPr>
          <w:rFonts w:ascii="Consolas" w:cs="Consolas" w:eastAsia="Consolas" w:hAnsi="Consolas"/>
          <w:color w:val="2C2C2A"/>
          <w:sz w:val="18"/>
          <w:szCs w:val="18"/>
        </w:rPr>
        <w:t xml:space="preserve">Projet          C:\dev\simulateur-ussd</w:t>
      </w:r>
    </w:p>
    <w:p>
      <w:pPr>
        <w:shd w:fill="F7F6F2" w:val="clear"/>
        <w:spacing w:after="0"/>
      </w:pPr>
      <w:r>
        <w:rPr>
          <w:rFonts w:ascii="Consolas" w:cs="Consolas" w:eastAsia="Consolas" w:hAnsi="Consolas"/>
          <w:color w:val="2C2C2A"/>
          <w:sz w:val="18"/>
          <w:szCs w:val="18"/>
        </w:rPr>
        <w:t xml:space="preserve">Vu depuis WSL   /mnt/c/dev/simulateur-ussd</w:t>
      </w:r>
    </w:p>
    <w:p>
      <w:pPr>
        <w:shd w:fill="F7F6F2" w:val="clear"/>
        <w:spacing w:after="0"/>
      </w:pPr>
      <w:r>
        <w:rPr>
          <w:rFonts w:ascii="Consolas" w:cs="Consolas" w:eastAsia="Consolas" w:hAnsi="Consolas"/>
          <w:color w:val="2C2C2A"/>
          <w:sz w:val="18"/>
          <w:szCs w:val="18"/>
        </w:rPr>
        <w:t xml:space="preserve"> </w:t>
      </w:r>
    </w:p>
    <w:p>
      <w:pPr>
        <w:shd w:fill="F7F6F2" w:val="clear"/>
        <w:spacing w:after="0"/>
      </w:pPr>
      <w:r>
        <w:rPr>
          <w:rFonts w:ascii="Consolas" w:cs="Consolas" w:eastAsia="Consolas" w:hAnsi="Consolas"/>
          <w:color w:val="2C2C2A"/>
          <w:sz w:val="18"/>
          <w:szCs w:val="18"/>
        </w:rPr>
        <w:t xml:space="preserve">Édition         Claude Code, depuis WSL</w:t>
      </w:r>
    </w:p>
    <w:p>
      <w:pPr>
        <w:shd w:fill="F7F6F2" w:val="clear"/>
        <w:spacing w:after="0"/>
      </w:pPr>
      <w:r>
        <w:rPr>
          <w:rFonts w:ascii="Consolas" w:cs="Consolas" w:eastAsia="Consolas" w:hAnsi="Consolas"/>
          <w:color w:val="2C2C2A"/>
          <w:sz w:val="18"/>
          <w:szCs w:val="18"/>
        </w:rPr>
        <w:t xml:space="preserve">Compilation     PowerShell, sur Windows</w:t>
      </w:r>
    </w:p>
    <w:p>
      <w:pPr>
        <w:shd w:fill="F7F6F2" w:val="clear"/>
        <w:spacing w:after="160"/>
      </w:pPr>
      <w:r>
        <w:rPr>
          <w:rFonts w:ascii="Consolas" w:cs="Consolas" w:eastAsia="Consolas" w:hAnsi="Consolas"/>
          <w:color w:val="2C2C2A"/>
          <w:sz w:val="18"/>
          <w:szCs w:val="18"/>
        </w:rPr>
        <w:t xml:space="preserve">Déploiement     téléphone Android en USB</w:t>
      </w:r>
    </w:p>
    <w:p>
      <w:pPr>
        <w:spacing w:after="120"/>
        <w:jc w:val="both"/>
      </w:pPr>
      <w:r>
        <w:rPr>
          <w:b w:val="false"/>
          <w:bCs w:val="false"/>
          <w:i w:val="false"/>
          <w:iCs w:val="false"/>
          <w:sz w:val="22"/>
          <w:szCs w:val="22"/>
        </w:rPr>
        <w:t xml:space="preserve">Cette disposition préserve la chaîne de travail existante : l'agent d'implémentation continue d'opérer depuis WSL, tandis que la compilation et le déploiement s'exécutent sur Windows, où le matériel est accessible.</w:t>
      </w:r>
    </w:p>
    <w:p>
      <w:pPr>
        <w:pStyle w:val="Heading2"/>
        <w:spacing w:after="140" w:before="280"/>
      </w:pPr>
      <w:r>
        <w:rPr>
          <w:color w:val="0F6E56"/>
        </w:rPr>
        <w:t xml:space="preserve">6.3 Terminal de test</w:t>
      </w:r>
    </w:p>
    <w:p>
      <w:pPr>
        <w:spacing w:after="120"/>
        <w:jc w:val="both"/>
      </w:pPr>
      <w:r>
        <w:rPr>
          <w:b w:val="false"/>
          <w:bCs w:val="false"/>
          <w:i w:val="false"/>
          <w:iCs w:val="false"/>
          <w:sz w:val="22"/>
          <w:szCs w:val="22"/>
        </w:rPr>
        <w:t xml:space="preserve">Aucun émulateur n'est requis. Un téléphone Android physique, connecté en USB avec le débogage activé, reçoit l'application en quelques secondes et permet de juger l'expérience réelle — ce qu'un émulateur ne restitue jamais fidèlement pour une application dont l'objet est de reproduire un parcours téléphonique.</w:t>
      </w:r>
    </w:p>
    <w:p>
      <w:pPr>
        <w:pStyle w:val="Heading2"/>
        <w:spacing w:after="140" w:before="280"/>
      </w:pPr>
      <w:r>
        <w:rPr>
          <w:color w:val="0F6E56"/>
        </w:rPr>
        <w:t xml:space="preserve">6.4 Outillage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00"/>
      </w:tblGrid>
      <w:tr>
        <w:trPr>
          <w:tblHeader/>
        </w:trPr>
        <w:tc>
          <w:tcPr>
            <w:tcW w:type="dxa" w:w="2900"/>
            <w:shd w:fill="534AB7" w:val="clear"/>
            <w:tcMar>
              <w:top w:type="dxa" w:w="80"/>
              <w:left w:type="dxa" w:w="110"/>
              <w:bottom w:type="dxa" w:w="80"/>
              <w:right w:type="dxa" w:w="110"/>
            </w:tcMar>
          </w:tcPr>
          <w:p>
            <w:r>
              <w:rPr>
                <w:b/>
                <w:bCs/>
                <w:color w:val="FFFFFF"/>
                <w:sz w:val="19"/>
                <w:szCs w:val="19"/>
              </w:rPr>
              <w:t xml:space="preserve">Outil</w:t>
            </w:r>
          </w:p>
        </w:tc>
        <w:tc>
          <w:tcPr>
            <w:tcW w:type="dxa" w:w="3300"/>
            <w:shd w:fill="534AB7" w:val="clear"/>
            <w:tcMar>
              <w:top w:type="dxa" w:w="80"/>
              <w:left w:type="dxa" w:w="110"/>
              <w:bottom w:type="dxa" w:w="80"/>
              <w:right w:type="dxa" w:w="110"/>
            </w:tcMar>
          </w:tcPr>
          <w:p>
            <w:r>
              <w:rPr>
                <w:b/>
                <w:bCs/>
                <w:color w:val="FFFFFF"/>
                <w:sz w:val="19"/>
                <w:szCs w:val="19"/>
              </w:rPr>
              <w:t xml:space="preserve">Rôle</w:t>
            </w:r>
          </w:p>
        </w:tc>
        <w:tc>
          <w:tcPr>
            <w:tcW w:type="dxa" w:w="2800"/>
            <w:shd w:fill="534AB7" w:val="clear"/>
            <w:tcMar>
              <w:top w:type="dxa" w:w="80"/>
              <w:left w:type="dxa" w:w="110"/>
              <w:bottom w:type="dxa" w:w="80"/>
              <w:right w:type="dxa" w:w="110"/>
            </w:tcMar>
          </w:tcPr>
          <w:p>
            <w:r>
              <w:rPr>
                <w:b/>
                <w:bCs/>
                <w:color w:val="FFFFFF"/>
                <w:sz w:val="19"/>
                <w:szCs w:val="19"/>
              </w:rPr>
              <w:t xml:space="preserve">Emplacement</w:t>
            </w:r>
          </w:p>
        </w:tc>
      </w:tr>
      <w:tr>
        <w:tc>
          <w:tcPr>
            <w:tcW w:type="dxa" w:w="2900"/>
            <w:tcMar>
              <w:top w:type="dxa" w:w="80"/>
              <w:left w:type="dxa" w:w="110"/>
              <w:bottom w:type="dxa" w:w="80"/>
              <w:right w:type="dxa" w:w="110"/>
            </w:tcMar>
          </w:tcPr>
          <w:p>
            <w:r>
              <w:rPr>
                <w:b w:val="false"/>
                <w:bCs w:val="false"/>
                <w:color w:val="2C2C2A"/>
                <w:sz w:val="19"/>
                <w:szCs w:val="19"/>
              </w:rPr>
              <w:t xml:space="preserve">Node.js et gestionnaire de paquets</w:t>
            </w:r>
          </w:p>
        </w:tc>
        <w:tc>
          <w:tcPr>
            <w:tcW w:type="dxa" w:w="3300"/>
            <w:tcMar>
              <w:top w:type="dxa" w:w="80"/>
              <w:left w:type="dxa" w:w="110"/>
              <w:bottom w:type="dxa" w:w="80"/>
              <w:right w:type="dxa" w:w="110"/>
            </w:tcMar>
          </w:tcPr>
          <w:p>
            <w:r>
              <w:rPr>
                <w:b w:val="false"/>
                <w:bCs w:val="false"/>
                <w:color w:val="2C2C2A"/>
                <w:sz w:val="19"/>
                <w:szCs w:val="19"/>
              </w:rPr>
              <w:t xml:space="preserve">Exécution de la chaîne d'outils</w:t>
            </w:r>
          </w:p>
        </w:tc>
        <w:tc>
          <w:tcPr>
            <w:tcW w:type="dxa" w:w="2800"/>
            <w:tcMar>
              <w:top w:type="dxa" w:w="80"/>
              <w:left w:type="dxa" w:w="110"/>
              <w:bottom w:type="dxa" w:w="80"/>
              <w:right w:type="dxa" w:w="110"/>
            </w:tcMar>
          </w:tcPr>
          <w:p>
            <w:r>
              <w:rPr>
                <w:b w:val="false"/>
                <w:bCs w:val="false"/>
                <w:color w:val="2C2C2A"/>
                <w:sz w:val="19"/>
                <w:szCs w:val="19"/>
              </w:rPr>
              <w:t xml:space="preserve">Windows</w:t>
            </w:r>
          </w:p>
        </w:tc>
      </w:tr>
      <w:tr>
        <w:tc>
          <w:tcPr>
            <w:tcW w:type="dxa" w:w="2900"/>
            <w:shd w:fill="F1EFE8" w:val="clear"/>
            <w:tcMar>
              <w:top w:type="dxa" w:w="80"/>
              <w:left w:type="dxa" w:w="110"/>
              <w:bottom w:type="dxa" w:w="80"/>
              <w:right w:type="dxa" w:w="110"/>
            </w:tcMar>
          </w:tcPr>
          <w:p>
            <w:r>
              <w:rPr>
                <w:b w:val="false"/>
                <w:bCs w:val="false"/>
                <w:color w:val="2C2C2A"/>
                <w:sz w:val="19"/>
                <w:szCs w:val="19"/>
              </w:rPr>
              <w:t xml:space="preserve">Outils en ligne de commande Android</w:t>
            </w:r>
          </w:p>
        </w:tc>
        <w:tc>
          <w:tcPr>
            <w:tcW w:type="dxa" w:w="3300"/>
            <w:shd w:fill="F1EFE8" w:val="clear"/>
            <w:tcMar>
              <w:top w:type="dxa" w:w="80"/>
              <w:left w:type="dxa" w:w="110"/>
              <w:bottom w:type="dxa" w:w="80"/>
              <w:right w:type="dxa" w:w="110"/>
            </w:tcMar>
          </w:tcPr>
          <w:p>
            <w:r>
              <w:rPr>
                <w:b w:val="false"/>
                <w:bCs w:val="false"/>
                <w:color w:val="2C2C2A"/>
                <w:sz w:val="19"/>
                <w:szCs w:val="19"/>
              </w:rPr>
              <w:t xml:space="preserve">Compilation, signature et déploiement</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Windows</w:t>
            </w:r>
          </w:p>
        </w:tc>
      </w:tr>
      <w:tr>
        <w:tc>
          <w:tcPr>
            <w:tcW w:type="dxa" w:w="2900"/>
            <w:tcMar>
              <w:top w:type="dxa" w:w="80"/>
              <w:left w:type="dxa" w:w="110"/>
              <w:bottom w:type="dxa" w:w="80"/>
              <w:right w:type="dxa" w:w="110"/>
            </w:tcMar>
          </w:tcPr>
          <w:p>
            <w:r>
              <w:rPr>
                <w:b w:val="false"/>
                <w:bCs w:val="false"/>
                <w:color w:val="2C2C2A"/>
                <w:sz w:val="19"/>
                <w:szCs w:val="19"/>
              </w:rPr>
              <w:t xml:space="preserve">Éditeur avec prise en charge TypeScript</w:t>
            </w:r>
          </w:p>
        </w:tc>
        <w:tc>
          <w:tcPr>
            <w:tcW w:type="dxa" w:w="3300"/>
            <w:tcMar>
              <w:top w:type="dxa" w:w="80"/>
              <w:left w:type="dxa" w:w="110"/>
              <w:bottom w:type="dxa" w:w="80"/>
              <w:right w:type="dxa" w:w="110"/>
            </w:tcMar>
          </w:tcPr>
          <w:p>
            <w:r>
              <w:rPr>
                <w:b w:val="false"/>
                <w:bCs w:val="false"/>
                <w:color w:val="2C2C2A"/>
                <w:sz w:val="19"/>
                <w:szCs w:val="19"/>
              </w:rPr>
              <w:t xml:space="preserve">Édition, complétion, débogage</w:t>
            </w:r>
          </w:p>
        </w:tc>
        <w:tc>
          <w:tcPr>
            <w:tcW w:type="dxa" w:w="2800"/>
            <w:tcMar>
              <w:top w:type="dxa" w:w="80"/>
              <w:left w:type="dxa" w:w="110"/>
              <w:bottom w:type="dxa" w:w="80"/>
              <w:right w:type="dxa" w:w="110"/>
            </w:tcMar>
          </w:tcPr>
          <w:p>
            <w:r>
              <w:rPr>
                <w:b w:val="false"/>
                <w:bCs w:val="false"/>
                <w:color w:val="2C2C2A"/>
                <w:sz w:val="19"/>
                <w:szCs w:val="19"/>
              </w:rPr>
              <w:t xml:space="preserve">Windows</w:t>
            </w:r>
          </w:p>
        </w:tc>
      </w:tr>
      <w:tr>
        <w:tc>
          <w:tcPr>
            <w:tcW w:type="dxa" w:w="2900"/>
            <w:shd w:fill="F1EFE8" w:val="clear"/>
            <w:tcMar>
              <w:top w:type="dxa" w:w="80"/>
              <w:left w:type="dxa" w:w="110"/>
              <w:bottom w:type="dxa" w:w="80"/>
              <w:right w:type="dxa" w:w="110"/>
            </w:tcMar>
          </w:tcPr>
          <w:p>
            <w:r>
              <w:rPr>
                <w:b w:val="false"/>
                <w:bCs w:val="false"/>
                <w:color w:val="2C2C2A"/>
                <w:sz w:val="19"/>
                <w:szCs w:val="19"/>
              </w:rPr>
              <w:t xml:space="preserve">Agent d'implémentation</w:t>
            </w:r>
          </w:p>
        </w:tc>
        <w:tc>
          <w:tcPr>
            <w:tcW w:type="dxa" w:w="3300"/>
            <w:shd w:fill="F1EFE8" w:val="clear"/>
            <w:tcMar>
              <w:top w:type="dxa" w:w="80"/>
              <w:left w:type="dxa" w:w="110"/>
              <w:bottom w:type="dxa" w:w="80"/>
              <w:right w:type="dxa" w:w="110"/>
            </w:tcMar>
          </w:tcPr>
          <w:p>
            <w:r>
              <w:rPr>
                <w:b w:val="false"/>
                <w:bCs w:val="false"/>
                <w:color w:val="2C2C2A"/>
                <w:sz w:val="19"/>
                <w:szCs w:val="19"/>
              </w:rPr>
              <w:t xml:space="preserve">Écriture du code</w:t>
            </w:r>
          </w:p>
        </w:tc>
        <w:tc>
          <w:tcPr>
            <w:tcW w:type="dxa" w:w="2800"/>
            <w:shd w:fill="F1EFE8" w:val="clear"/>
            <w:tcMar>
              <w:top w:type="dxa" w:w="80"/>
              <w:left w:type="dxa" w:w="110"/>
              <w:bottom w:type="dxa" w:w="80"/>
              <w:right w:type="dxa" w:w="110"/>
            </w:tcMar>
          </w:tcPr>
          <w:p>
            <w:r>
              <w:rPr>
                <w:b w:val="false"/>
                <w:bCs w:val="false"/>
                <w:color w:val="2C2C2A"/>
                <w:sz w:val="19"/>
                <w:szCs w:val="19"/>
              </w:rPr>
              <w:t xml:space="preserve">WSL, via le point de montage</w:t>
            </w:r>
          </w:p>
        </w:tc>
      </w:tr>
    </w:tbl>
    <w:p>
      <w:r>
        <w:br w:type="page"/>
      </w:r>
    </w:p>
    <w:p>
      <w:pPr>
        <w:pStyle w:val="Heading1"/>
        <w:spacing w:after="140" w:before="280"/>
      </w:pPr>
      <w:r>
        <w:rPr>
          <w:color w:val="534AB7"/>
        </w:rPr>
        <w:t xml:space="preserve">7. Chaîne de production</w:t>
      </w:r>
    </w:p>
    <w:p>
      <w:pPr>
        <w:pStyle w:val="Heading2"/>
        <w:spacing w:after="140" w:before="280"/>
      </w:pPr>
      <w:r>
        <w:rPr>
          <w:color w:val="0F6E56"/>
        </w:rPr>
        <w:t xml:space="preserve">7.1 Android</w:t>
      </w:r>
    </w:p>
    <w:p>
      <w:pPr>
        <w:spacing w:after="120"/>
        <w:jc w:val="both"/>
      </w:pPr>
      <w:r>
        <w:rPr>
          <w:b w:val="false"/>
          <w:bCs w:val="false"/>
          <w:i w:val="false"/>
          <w:iCs w:val="false"/>
          <w:sz w:val="22"/>
          <w:szCs w:val="22"/>
        </w:rPr>
        <w:t xml:space="preserve">La production du paquet Android ne présente aucune difficulté particulière. Le paquet obtenu s'installe directement sur un terminal, sans passer par un magasin d'applications, sous réserve que l'utilisateur autorise les sources externes.</w:t>
      </w:r>
    </w:p>
    <w:p>
      <w:pPr>
        <w:shd w:fill="F7F6F2" w:val="clear"/>
        <w:spacing w:after="160"/>
      </w:pPr>
      <w:r>
        <w:rPr>
          <w:rFonts w:ascii="Consolas" w:cs="Consolas" w:eastAsia="Consolas" w:hAnsi="Consolas"/>
          <w:color w:val="2C2C2A"/>
          <w:sz w:val="18"/>
          <w:szCs w:val="18"/>
        </w:rPr>
        <w:t xml:space="preserve">npx react-native build-android --mode=release</w:t>
      </w:r>
    </w:p>
    <w:p>
      <w:pPr>
        <w:spacing w:after="120"/>
        <w:jc w:val="both"/>
      </w:pPr>
      <w:r>
        <w:rPr>
          <w:b w:val="false"/>
          <w:bCs w:val="false"/>
          <w:i w:val="false"/>
          <w:iCs w:val="false"/>
          <w:sz w:val="22"/>
          <w:szCs w:val="22"/>
        </w:rPr>
        <w:t xml:space="preserve">La séparation des paquets par architecture matérielle, activée dans la configuration de compilation, réduit le poids d'environ trente pour cent. Le paquet destiné aux terminaux récents est celui de l'architecture arm64.</w:t>
      </w:r>
    </w:p>
    <w:p>
      <w:pPr>
        <w:pStyle w:val="Heading2"/>
        <w:spacing w:after="140" w:before="280"/>
      </w:pPr>
      <w:r>
        <w:rPr>
          <w:color w:val="0F6E56"/>
        </w:rPr>
        <w:t xml:space="preserve">7.2 iOS — contrainte structurelle</w:t>
      </w:r>
    </w:p>
    <w:p>
      <w:pPr>
        <w:spacing w:after="120"/>
        <w:jc w:val="both"/>
      </w:pPr>
      <w:r>
        <w:rPr>
          <w:b/>
          <w:bCs/>
          <w:i w:val="false"/>
          <w:iCs w:val="false"/>
          <w:sz w:val="22"/>
          <w:szCs w:val="22"/>
        </w:rPr>
        <w:t xml:space="preserve">La production du paquet iOS est soumise à deux contraintes imposées par Apple. Elles sont indépendantes du cadre de développement retenu : ni React Native, ni Flutter, ni un développement natif ne les lèvent.</w:t>
      </w:r>
    </w:p>
    <w:p>
      <w:pPr>
        <w:pStyle w:val="ListParagraph"/>
        <w:numPr>
          <w:ilvl w:val="0"/>
          <w:numId w:val="1"/>
        </w:numPr>
        <w:spacing w:after="80"/>
      </w:pPr>
      <w:r>
        <w:rPr>
          <w:sz w:val="22"/>
          <w:szCs w:val="22"/>
        </w:rPr>
        <w:t xml:space="preserve">La compilation exige macOS. L'atelier de développement Apple ne s'exécute sur aucun autre système. Une machine Apple, ou un service de compilation distante, est indispensable.</w:t>
      </w:r>
    </w:p>
    <w:p>
      <w:pPr>
        <w:pStyle w:val="ListParagraph"/>
        <w:numPr>
          <w:ilvl w:val="0"/>
          <w:numId w:val="1"/>
        </w:numPr>
        <w:spacing w:after="80"/>
      </w:pPr>
      <w:r>
        <w:rPr>
          <w:sz w:val="22"/>
          <w:szCs w:val="22"/>
        </w:rPr>
        <w:t xml:space="preserve">L'exécution exige une signature Apple. Contrairement à Android, iOS refuse toute application non signée. Un paquet transmis par messagerie ne s'installe pas.</w:t>
      </w:r>
    </w:p>
    <w:p>
      <w:pPr>
        <w:spacing w:after="160"/>
      </w:pPr>
    </w:p>
    <w:p>
      <w:pPr>
        <w:spacing w:after="120"/>
        <w:jc w:val="both"/>
      </w:pPr>
      <w:r>
        <w:rPr>
          <w:b w:val="false"/>
          <w:bCs w:val="false"/>
          <w:i w:val="false"/>
          <w:iCs w:val="false"/>
          <w:sz w:val="22"/>
          <w:szCs w:val="22"/>
        </w:rPr>
        <w:t xml:space="preserve">Trois voies de distribution existent, dont une seule est réaliste ici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534AB7" w:val="clear"/>
            <w:tcMar>
              <w:top w:type="dxa" w:w="80"/>
              <w:left w:type="dxa" w:w="110"/>
              <w:bottom w:type="dxa" w:w="80"/>
              <w:right w:type="dxa" w:w="110"/>
            </w:tcMar>
          </w:tcPr>
          <w:p>
            <w:r>
              <w:rPr>
                <w:b/>
                <w:bCs/>
                <w:color w:val="FFFFFF"/>
                <w:sz w:val="19"/>
                <w:szCs w:val="19"/>
              </w:rPr>
              <w:t xml:space="preserve">Voie</w:t>
            </w:r>
          </w:p>
        </w:tc>
        <w:tc>
          <w:tcPr>
            <w:tcW w:type="dxa" w:w="4400"/>
            <w:shd w:fill="534AB7" w:val="clear"/>
            <w:tcMar>
              <w:top w:type="dxa" w:w="80"/>
              <w:left w:type="dxa" w:w="110"/>
              <w:bottom w:type="dxa" w:w="80"/>
              <w:right w:type="dxa" w:w="110"/>
            </w:tcMar>
          </w:tcPr>
          <w:p>
            <w:r>
              <w:rPr>
                <w:b/>
                <w:bCs/>
                <w:color w:val="FFFFFF"/>
                <w:sz w:val="19"/>
                <w:szCs w:val="19"/>
              </w:rPr>
              <w:t xml:space="preserve">Contrainte</w:t>
            </w:r>
          </w:p>
        </w:tc>
        <w:tc>
          <w:tcPr>
            <w:tcW w:type="dxa" w:w="2200"/>
            <w:shd w:fill="534AB7" w:val="clear"/>
            <w:tcMar>
              <w:top w:type="dxa" w:w="80"/>
              <w:left w:type="dxa" w:w="110"/>
              <w:bottom w:type="dxa" w:w="80"/>
              <w:right w:type="dxa" w:w="110"/>
            </w:tcMar>
          </w:tcPr>
          <w:p>
            <w:r>
              <w:rPr>
                <w:b/>
                <w:bCs/>
                <w:color w:val="FFFFFF"/>
                <w:sz w:val="19"/>
                <w:szCs w:val="19"/>
              </w:rPr>
              <w:t xml:space="preserve">Verdict</w:t>
            </w:r>
          </w:p>
        </w:tc>
      </w:tr>
      <w:tr>
        <w:tc>
          <w:tcPr>
            <w:tcW w:type="dxa" w:w="2400"/>
            <w:tcMar>
              <w:top w:type="dxa" w:w="80"/>
              <w:left w:type="dxa" w:w="110"/>
              <w:bottom w:type="dxa" w:w="80"/>
              <w:right w:type="dxa" w:w="110"/>
            </w:tcMar>
          </w:tcPr>
          <w:p>
            <w:r>
              <w:rPr>
                <w:b w:val="false"/>
                <w:bCs w:val="false"/>
                <w:color w:val="2C2C2A"/>
                <w:sz w:val="19"/>
                <w:szCs w:val="19"/>
              </w:rPr>
              <w:t xml:space="preserve">Programme de test Apple</w:t>
            </w:r>
          </w:p>
        </w:tc>
        <w:tc>
          <w:tcPr>
            <w:tcW w:type="dxa" w:w="4400"/>
            <w:tcMar>
              <w:top w:type="dxa" w:w="80"/>
              <w:left w:type="dxa" w:w="110"/>
              <w:bottom w:type="dxa" w:w="80"/>
              <w:right w:type="dxa" w:w="110"/>
            </w:tcMar>
          </w:tcPr>
          <w:p>
            <w:r>
              <w:rPr>
                <w:b w:val="false"/>
                <w:bCs w:val="false"/>
                <w:color w:val="2C2C2A"/>
                <w:sz w:val="19"/>
                <w:szCs w:val="19"/>
              </w:rPr>
              <w:t xml:space="preserve">Compte développeur annuel ; invitation nominative par courriel ; examen de la première soumission sous vingt-quatre heures</w:t>
            </w:r>
          </w:p>
        </w:tc>
        <w:tc>
          <w:tcPr>
            <w:tcW w:type="dxa" w:w="2200"/>
            <w:tcMar>
              <w:top w:type="dxa" w:w="80"/>
              <w:left w:type="dxa" w:w="110"/>
              <w:bottom w:type="dxa" w:w="80"/>
              <w:right w:type="dxa" w:w="110"/>
            </w:tcMar>
          </w:tcPr>
          <w:p>
            <w:r>
              <w:rPr>
                <w:b w:val="false"/>
                <w:bCs w:val="false"/>
                <w:color w:val="2C2C2A"/>
                <w:sz w:val="19"/>
                <w:szCs w:val="19"/>
              </w:rPr>
              <w:t xml:space="preserve">RETENUE</w:t>
            </w:r>
          </w:p>
        </w:tc>
      </w:tr>
      <w:tr>
        <w:tc>
          <w:tcPr>
            <w:tcW w:type="dxa" w:w="2400"/>
            <w:shd w:fill="F1EFE8" w:val="clear"/>
            <w:tcMar>
              <w:top w:type="dxa" w:w="80"/>
              <w:left w:type="dxa" w:w="110"/>
              <w:bottom w:type="dxa" w:w="80"/>
              <w:right w:type="dxa" w:w="110"/>
            </w:tcMar>
          </w:tcPr>
          <w:p>
            <w:r>
              <w:rPr>
                <w:b w:val="false"/>
                <w:bCs w:val="false"/>
                <w:color w:val="2C2C2A"/>
                <w:sz w:val="19"/>
                <w:szCs w:val="19"/>
              </w:rPr>
              <w:t xml:space="preserve">Distribution restreinte</w:t>
            </w:r>
          </w:p>
        </w:tc>
        <w:tc>
          <w:tcPr>
            <w:tcW w:type="dxa" w:w="4400"/>
            <w:shd w:fill="F1EFE8" w:val="clear"/>
            <w:tcMar>
              <w:top w:type="dxa" w:w="80"/>
              <w:left w:type="dxa" w:w="110"/>
              <w:bottom w:type="dxa" w:w="80"/>
              <w:right w:type="dxa" w:w="110"/>
            </w:tcMar>
          </w:tcPr>
          <w:p>
            <w:r>
              <w:rPr>
                <w:b w:val="false"/>
                <w:bCs w:val="false"/>
                <w:color w:val="2C2C2A"/>
                <w:sz w:val="19"/>
                <w:szCs w:val="19"/>
              </w:rPr>
              <w:t xml:space="preserve">Identifiant matériel de chaque appareil requis avant compilation ; cent appareils au maximum</w:t>
            </w:r>
          </w:p>
        </w:tc>
        <w:tc>
          <w:tcPr>
            <w:tcW w:type="dxa" w:w="2200"/>
            <w:shd w:fill="F1EFE8" w:val="clear"/>
            <w:tcMar>
              <w:top w:type="dxa" w:w="80"/>
              <w:left w:type="dxa" w:w="110"/>
              <w:bottom w:type="dxa" w:w="80"/>
              <w:right w:type="dxa" w:w="110"/>
            </w:tcMar>
          </w:tcPr>
          <w:p>
            <w:r>
              <w:rPr>
                <w:b w:val="false"/>
                <w:bCs w:val="false"/>
                <w:color w:val="2C2C2A"/>
                <w:sz w:val="19"/>
                <w:szCs w:val="19"/>
              </w:rPr>
              <w:t xml:space="preserve">Écartée — incompatible avec une remise le jour même</w:t>
            </w:r>
          </w:p>
        </w:tc>
      </w:tr>
      <w:tr>
        <w:tc>
          <w:tcPr>
            <w:tcW w:type="dxa" w:w="2400"/>
            <w:tcMar>
              <w:top w:type="dxa" w:w="80"/>
              <w:left w:type="dxa" w:w="110"/>
              <w:bottom w:type="dxa" w:w="80"/>
              <w:right w:type="dxa" w:w="110"/>
            </w:tcMar>
          </w:tcPr>
          <w:p>
            <w:r>
              <w:rPr>
                <w:b w:val="false"/>
                <w:bCs w:val="false"/>
                <w:color w:val="2C2C2A"/>
                <w:sz w:val="19"/>
                <w:szCs w:val="19"/>
              </w:rPr>
              <w:t xml:space="preserve">Certificat d'entreprise</w:t>
            </w:r>
          </w:p>
        </w:tc>
        <w:tc>
          <w:tcPr>
            <w:tcW w:type="dxa" w:w="4400"/>
            <w:tcMar>
              <w:top w:type="dxa" w:w="80"/>
              <w:left w:type="dxa" w:w="110"/>
              <w:bottom w:type="dxa" w:w="80"/>
              <w:right w:type="dxa" w:w="110"/>
            </w:tcMar>
          </w:tcPr>
          <w:p>
            <w:r>
              <w:rPr>
                <w:b w:val="false"/>
                <w:bCs w:val="false"/>
                <w:color w:val="2C2C2A"/>
                <w:sz w:val="19"/>
                <w:szCs w:val="19"/>
              </w:rPr>
              <w:t xml:space="preserve">Accordé de façon restrictive par Apple</w:t>
            </w:r>
          </w:p>
        </w:tc>
        <w:tc>
          <w:tcPr>
            <w:tcW w:type="dxa" w:w="2200"/>
            <w:tcMar>
              <w:top w:type="dxa" w:w="80"/>
              <w:left w:type="dxa" w:w="110"/>
              <w:bottom w:type="dxa" w:w="80"/>
              <w:right w:type="dxa" w:w="110"/>
            </w:tcMar>
          </w:tcPr>
          <w:p>
            <w:r>
              <w:rPr>
                <w:b w:val="false"/>
                <w:bCs w:val="false"/>
                <w:color w:val="2C2C2A"/>
                <w:sz w:val="19"/>
                <w:szCs w:val="19"/>
              </w:rPr>
              <w:t xml:space="preserve">Écartée — hors de portée</w:t>
            </w:r>
          </w:p>
        </w:tc>
      </w:tr>
    </w:tbl>
    <w:p>
      <w:pPr>
        <w:spacing w:after="160"/>
      </w:pPr>
    </w:p>
    <w:p>
      <w:pPr>
        <w:spacing w:after="120"/>
        <w:jc w:val="both"/>
      </w:pPr>
      <w:r>
        <w:rPr>
          <w:b/>
          <w:bCs/>
          <w:i w:val="false"/>
          <w:iCs w:val="false"/>
          <w:sz w:val="22"/>
          <w:szCs w:val="22"/>
        </w:rPr>
        <w:t xml:space="preserve">Conséquence opérationnelle : les invitations destinées aux partenaires équipés d'iPhone doivent être préparées à l'avance. Une application ne peut pas être remise le jour même à un partenaire rencontré sur place.</w:t>
      </w:r>
    </w:p>
    <w:p>
      <w:pPr>
        <w:pStyle w:val="Heading2"/>
        <w:spacing w:after="140" w:before="280"/>
      </w:pPr>
      <w:r>
        <w:rPr>
          <w:color w:val="0F6E56"/>
        </w:rPr>
        <w:t xml:space="preserve">7.3 Séquencement proposé</w:t>
      </w:r>
    </w:p>
    <w:p>
      <w:pPr>
        <w:spacing w:after="120"/>
        <w:jc w:val="both"/>
      </w:pPr>
      <w:r>
        <w:rPr>
          <w:b w:val="false"/>
          <w:bCs w:val="false"/>
          <w:i w:val="false"/>
          <w:iCs w:val="false"/>
          <w:sz w:val="22"/>
          <w:szCs w:val="22"/>
        </w:rPr>
        <w:t xml:space="preserve">Le développement produit d'emblée une base de code compatible avec les deux plateformes. La production effective du paquet iOS est différée jusqu'à l'ouverture d'un compte développeur et l'accès à une machine de compilation.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534AB7" w:val="clear"/>
            <w:tcMar>
              <w:top w:type="dxa" w:w="80"/>
              <w:left w:type="dxa" w:w="110"/>
              <w:bottom w:type="dxa" w:w="80"/>
              <w:right w:type="dxa" w:w="110"/>
            </w:tcMar>
          </w:tcPr>
          <w:p>
            <w:r>
              <w:rPr>
                <w:b/>
                <w:bCs/>
                <w:color w:val="FFFFFF"/>
                <w:sz w:val="19"/>
                <w:szCs w:val="19"/>
              </w:rPr>
              <w:t xml:space="preserve">Étape</w:t>
            </w:r>
          </w:p>
        </w:tc>
        <w:tc>
          <w:tcPr>
            <w:tcW w:type="dxa" w:w="3600"/>
            <w:shd w:fill="534AB7" w:val="clear"/>
            <w:tcMar>
              <w:top w:type="dxa" w:w="80"/>
              <w:left w:type="dxa" w:w="110"/>
              <w:bottom w:type="dxa" w:w="80"/>
              <w:right w:type="dxa" w:w="110"/>
            </w:tcMar>
          </w:tcPr>
          <w:p>
            <w:r>
              <w:rPr>
                <w:b/>
                <w:bCs/>
                <w:color w:val="FFFFFF"/>
                <w:sz w:val="19"/>
                <w:szCs w:val="19"/>
              </w:rPr>
              <w:t xml:space="preserve">Livrable</w:t>
            </w:r>
          </w:p>
        </w:tc>
        <w:tc>
          <w:tcPr>
            <w:tcW w:type="dxa" w:w="3000"/>
            <w:shd w:fill="534AB7" w:val="clear"/>
            <w:tcMar>
              <w:top w:type="dxa" w:w="80"/>
              <w:left w:type="dxa" w:w="110"/>
              <w:bottom w:type="dxa" w:w="80"/>
              <w:right w:type="dxa" w:w="110"/>
            </w:tcMar>
          </w:tcPr>
          <w:p>
            <w:r>
              <w:rPr>
                <w:b/>
                <w:bCs/>
                <w:color w:val="FFFFFF"/>
                <w:sz w:val="19"/>
                <w:szCs w:val="19"/>
              </w:rPr>
              <w:t xml:space="preserve">Prérequis</w:t>
            </w:r>
          </w:p>
        </w:tc>
      </w:tr>
      <w:tr>
        <w:tc>
          <w:tcPr>
            <w:tcW w:type="dxa" w:w="2400"/>
            <w:tcMar>
              <w:top w:type="dxa" w:w="80"/>
              <w:left w:type="dxa" w:w="110"/>
              <w:bottom w:type="dxa" w:w="80"/>
              <w:right w:type="dxa" w:w="110"/>
            </w:tcMar>
          </w:tcPr>
          <w:p>
            <w:r>
              <w:rPr>
                <w:b w:val="false"/>
                <w:bCs w:val="false"/>
                <w:color w:val="2C2C2A"/>
                <w:sz w:val="19"/>
                <w:szCs w:val="19"/>
              </w:rPr>
              <w:t xml:space="preserve">Développement</w:t>
            </w:r>
          </w:p>
        </w:tc>
        <w:tc>
          <w:tcPr>
            <w:tcW w:type="dxa" w:w="3600"/>
            <w:tcMar>
              <w:top w:type="dxa" w:w="80"/>
              <w:left w:type="dxa" w:w="110"/>
              <w:bottom w:type="dxa" w:w="80"/>
              <w:right w:type="dxa" w:w="110"/>
            </w:tcMar>
          </w:tcPr>
          <w:p>
            <w:r>
              <w:rPr>
                <w:b w:val="false"/>
                <w:bCs w:val="false"/>
                <w:color w:val="2C2C2A"/>
                <w:sz w:val="19"/>
                <w:szCs w:val="19"/>
              </w:rPr>
              <w:t xml:space="preserve">Base de code React Native, deux plateformes</w:t>
            </w:r>
          </w:p>
        </w:tc>
        <w:tc>
          <w:tcPr>
            <w:tcW w:type="dxa" w:w="3000"/>
            <w:tcMar>
              <w:top w:type="dxa" w:w="80"/>
              <w:left w:type="dxa" w:w="110"/>
              <w:bottom w:type="dxa" w:w="80"/>
              <w:right w:type="dxa" w:w="110"/>
            </w:tcMar>
          </w:tcPr>
          <w:p>
            <w:r>
              <w:rPr>
                <w:b w:val="false"/>
                <w:bCs w:val="false"/>
                <w:color w:val="2C2C2A"/>
                <w:sz w:val="19"/>
                <w:szCs w:val="19"/>
              </w:rPr>
              <w:t xml:space="preserve">Aucun</w:t>
            </w:r>
          </w:p>
        </w:tc>
      </w:tr>
      <w:tr>
        <w:tc>
          <w:tcPr>
            <w:tcW w:type="dxa" w:w="2400"/>
            <w:shd w:fill="F1EFE8" w:val="clear"/>
            <w:tcMar>
              <w:top w:type="dxa" w:w="80"/>
              <w:left w:type="dxa" w:w="110"/>
              <w:bottom w:type="dxa" w:w="80"/>
              <w:right w:type="dxa" w:w="110"/>
            </w:tcMar>
          </w:tcPr>
          <w:p>
            <w:r>
              <w:rPr>
                <w:b w:val="false"/>
                <w:bCs w:val="false"/>
                <w:color w:val="2C2C2A"/>
                <w:sz w:val="19"/>
                <w:szCs w:val="19"/>
              </w:rPr>
              <w:t xml:space="preserve">Livraison Android</w:t>
            </w:r>
          </w:p>
        </w:tc>
        <w:tc>
          <w:tcPr>
            <w:tcW w:type="dxa" w:w="3600"/>
            <w:shd w:fill="F1EFE8" w:val="clear"/>
            <w:tcMar>
              <w:top w:type="dxa" w:w="80"/>
              <w:left w:type="dxa" w:w="110"/>
              <w:bottom w:type="dxa" w:w="80"/>
              <w:right w:type="dxa" w:w="110"/>
            </w:tcMar>
          </w:tcPr>
          <w:p>
            <w:r>
              <w:rPr>
                <w:b w:val="false"/>
                <w:bCs w:val="false"/>
                <w:color w:val="2C2C2A"/>
                <w:sz w:val="19"/>
                <w:szCs w:val="19"/>
              </w:rPr>
              <w:t xml:space="preserve">Paquet installable</w:t>
            </w:r>
          </w:p>
        </w:tc>
        <w:tc>
          <w:tcPr>
            <w:tcW w:type="dxa" w:w="3000"/>
            <w:shd w:fill="F1EFE8" w:val="clear"/>
            <w:tcMar>
              <w:top w:type="dxa" w:w="80"/>
              <w:left w:type="dxa" w:w="110"/>
              <w:bottom w:type="dxa" w:w="80"/>
              <w:right w:type="dxa" w:w="110"/>
            </w:tcMar>
          </w:tcPr>
          <w:p>
            <w:r>
              <w:rPr>
                <w:b w:val="false"/>
                <w:bCs w:val="false"/>
                <w:color w:val="2C2C2A"/>
                <w:sz w:val="19"/>
                <w:szCs w:val="19"/>
              </w:rPr>
              <w:t xml:space="preserve">Aucun</w:t>
            </w:r>
          </w:p>
        </w:tc>
      </w:tr>
      <w:tr>
        <w:tc>
          <w:tcPr>
            <w:tcW w:type="dxa" w:w="2400"/>
            <w:tcMar>
              <w:top w:type="dxa" w:w="80"/>
              <w:left w:type="dxa" w:w="110"/>
              <w:bottom w:type="dxa" w:w="80"/>
              <w:right w:type="dxa" w:w="110"/>
            </w:tcMar>
          </w:tcPr>
          <w:p>
            <w:r>
              <w:rPr>
                <w:b w:val="false"/>
                <w:bCs w:val="false"/>
                <w:color w:val="2C2C2A"/>
                <w:sz w:val="19"/>
                <w:szCs w:val="19"/>
              </w:rPr>
              <w:t xml:space="preserve">Livraison iOS</w:t>
            </w:r>
          </w:p>
        </w:tc>
        <w:tc>
          <w:tcPr>
            <w:tcW w:type="dxa" w:w="3600"/>
            <w:tcMar>
              <w:top w:type="dxa" w:w="80"/>
              <w:left w:type="dxa" w:w="110"/>
              <w:bottom w:type="dxa" w:w="80"/>
              <w:right w:type="dxa" w:w="110"/>
            </w:tcMar>
          </w:tcPr>
          <w:p>
            <w:r>
              <w:rPr>
                <w:b w:val="false"/>
                <w:bCs w:val="false"/>
                <w:color w:val="2C2C2A"/>
                <w:sz w:val="19"/>
                <w:szCs w:val="19"/>
              </w:rPr>
              <w:t xml:space="preserve">Application distribuée par le programme de test</w:t>
            </w:r>
          </w:p>
        </w:tc>
        <w:tc>
          <w:tcPr>
            <w:tcW w:type="dxa" w:w="3000"/>
            <w:tcMar>
              <w:top w:type="dxa" w:w="80"/>
              <w:left w:type="dxa" w:w="110"/>
              <w:bottom w:type="dxa" w:w="80"/>
              <w:right w:type="dxa" w:w="110"/>
            </w:tcMar>
          </w:tcPr>
          <w:p>
            <w:r>
              <w:rPr>
                <w:b w:val="false"/>
                <w:bCs w:val="false"/>
                <w:color w:val="2C2C2A"/>
                <w:sz w:val="19"/>
                <w:szCs w:val="19"/>
              </w:rPr>
              <w:t xml:space="preserve">Compte développeur et machine de compilation</w:t>
            </w:r>
          </w:p>
        </w:tc>
      </w:tr>
    </w:tbl>
    <w:p>
      <w:r>
        <w:br w:type="page"/>
      </w:r>
    </w:p>
    <w:p>
      <w:pPr>
        <w:pStyle w:val="Heading1"/>
        <w:spacing w:after="140" w:before="280"/>
      </w:pPr>
      <w:r>
        <w:rPr>
          <w:color w:val="534AB7"/>
        </w:rPr>
        <w:t xml:space="preserve">8. Organisation du code</w:t>
      </w:r>
    </w:p>
    <w:p>
      <w:pPr>
        <w:shd w:fill="F7F6F2" w:val="clear"/>
        <w:spacing w:after="0"/>
      </w:pPr>
      <w:r>
        <w:rPr>
          <w:rFonts w:ascii="Consolas" w:cs="Consolas" w:eastAsia="Consolas" w:hAnsi="Consolas"/>
          <w:color w:val="2C2C2A"/>
          <w:sz w:val="18"/>
          <w:szCs w:val="18"/>
        </w:rPr>
        <w:t xml:space="preserve">src/</w:t>
      </w:r>
    </w:p>
    <w:p>
      <w:pPr>
        <w:shd w:fill="F7F6F2" w:val="clear"/>
        <w:spacing w:after="0"/>
      </w:pPr>
      <w:r>
        <w:rPr>
          <w:rFonts w:ascii="Consolas" w:cs="Consolas" w:eastAsia="Consolas" w:hAnsi="Consolas"/>
          <w:color w:val="2C2C2A"/>
          <w:sz w:val="18"/>
          <w:szCs w:val="18"/>
        </w:rPr>
        <w:t xml:space="preserve">  App.tsx</w:t>
      </w:r>
    </w:p>
    <w:p>
      <w:pPr>
        <w:shd w:fill="F7F6F2" w:val="clear"/>
        <w:spacing w:after="0"/>
      </w:pPr>
      <w:r>
        <w:rPr>
          <w:rFonts w:ascii="Consolas" w:cs="Consolas" w:eastAsia="Consolas" w:hAnsi="Consolas"/>
          <w:color w:val="2C2C2A"/>
          <w:sz w:val="18"/>
          <w:szCs w:val="18"/>
        </w:rPr>
        <w:t xml:space="preserve">  presentation/          écrans et dialogues</w:t>
      </w:r>
    </w:p>
    <w:p>
      <w:pPr>
        <w:shd w:fill="F7F6F2" w:val="clear"/>
        <w:spacing w:after="0"/>
      </w:pPr>
      <w:r>
        <w:rPr>
          <w:rFonts w:ascii="Consolas" w:cs="Consolas" w:eastAsia="Consolas" w:hAnsi="Consolas"/>
          <w:color w:val="2C2C2A"/>
          <w:sz w:val="18"/>
          <w:szCs w:val="18"/>
        </w:rPr>
        <w:t xml:space="preserve">  coordination/          état de session, cycle du bail</w:t>
      </w:r>
    </w:p>
    <w:p>
      <w:pPr>
        <w:shd w:fill="F7F6F2" w:val="clear"/>
        <w:spacing w:after="0"/>
      </w:pPr>
      <w:r>
        <w:rPr>
          <w:rFonts w:ascii="Consolas" w:cs="Consolas" w:eastAsia="Consolas" w:hAnsi="Consolas"/>
          <w:color w:val="2C2C2A"/>
          <w:sz w:val="18"/>
          <w:szCs w:val="18"/>
        </w:rPr>
        <w:t xml:space="preserve">  distant/               clients des deux services</w:t>
      </w:r>
    </w:p>
    <w:p>
      <w:pPr>
        <w:shd w:fill="F7F6F2" w:val="clear"/>
        <w:spacing w:after="0"/>
      </w:pPr>
      <w:r>
        <w:rPr>
          <w:rFonts w:ascii="Consolas" w:cs="Consolas" w:eastAsia="Consolas" w:hAnsi="Consolas"/>
          <w:color w:val="2C2C2A"/>
          <w:sz w:val="18"/>
          <w:szCs w:val="18"/>
        </w:rPr>
        <w:t xml:space="preserve">  persistance/           stockage local du bail</w:t>
      </w:r>
    </w:p>
    <w:p>
      <w:pPr>
        <w:shd w:fill="F7F6F2" w:val="clear"/>
        <w:spacing w:after="0"/>
      </w:pPr>
      <w:r>
        <w:rPr>
          <w:rFonts w:ascii="Consolas" w:cs="Consolas" w:eastAsia="Consolas" w:hAnsi="Consolas"/>
          <w:color w:val="2C2C2A"/>
          <w:sz w:val="18"/>
          <w:szCs w:val="18"/>
        </w:rPr>
        <w:t xml:space="preserve">  commun/                thème, constantes, types</w:t>
      </w:r>
    </w:p>
    <w:p>
      <w:pPr>
        <w:shd w:fill="F7F6F2" w:val="clear"/>
        <w:spacing w:after="0"/>
      </w:pPr>
      <w:r>
        <w:rPr>
          <w:rFonts w:ascii="Consolas" w:cs="Consolas" w:eastAsia="Consolas" w:hAnsi="Consolas"/>
          <w:color w:val="2C2C2A"/>
          <w:sz w:val="18"/>
          <w:szCs w:val="18"/>
        </w:rPr>
        <w:t xml:space="preserve"> </w:t>
      </w:r>
    </w:p>
    <w:p>
      <w:pPr>
        <w:shd w:fill="F7F6F2" w:val="clear"/>
        <w:spacing w:after="0"/>
      </w:pPr>
      <w:r>
        <w:rPr>
          <w:rFonts w:ascii="Consolas" w:cs="Consolas" w:eastAsia="Consolas" w:hAnsi="Consolas"/>
          <w:color w:val="2C2C2A"/>
          <w:sz w:val="18"/>
          <w:szCs w:val="18"/>
        </w:rPr>
        <w:t xml:space="preserve">__tests__/               tests automatisés</w:t>
      </w:r>
    </w:p>
    <w:p>
      <w:pPr>
        <w:shd w:fill="F7F6F2" w:val="clear"/>
        <w:spacing w:after="160"/>
      </w:pPr>
      <w:r>
        <w:rPr>
          <w:rFonts w:ascii="Consolas" w:cs="Consolas" w:eastAsia="Consolas" w:hAnsi="Consolas"/>
          <w:color w:val="2C2C2A"/>
          <w:sz w:val="18"/>
          <w:szCs w:val="18"/>
        </w:rPr>
        <w:t xml:space="preserve">android/  ios/           configurations natives</w:t>
      </w:r>
    </w:p>
    <w:p>
      <w:pPr>
        <w:spacing w:after="120"/>
        <w:jc w:val="both"/>
      </w:pPr>
      <w:r>
        <w:rPr>
          <w:b w:val="false"/>
          <w:bCs w:val="false"/>
          <w:i w:val="false"/>
          <w:iCs w:val="false"/>
          <w:sz w:val="22"/>
          <w:szCs w:val="22"/>
        </w:rPr>
        <w:t xml:space="preserve">Le nom des dossiers reprend le découpage en couches de la section 4. Un module placé dans le mauvais dossier est un défaut d'architecture visible à la lecture de l'arborescence. Le typage strict de TypeScript est activé : il rend explicites les contrats entre couches et interdit qu'une donnée traverse l'application sans forme définie.</w:t>
      </w:r>
    </w:p>
    <w:p>
      <w:pPr>
        <w:pStyle w:val="Heading1"/>
        <w:spacing w:after="140" w:before="280"/>
      </w:pPr>
      <w:r>
        <w:rPr>
          <w:color w:val="534AB7"/>
        </w:rPr>
        <w:t xml:space="preserve">9. Dépendances</w:t>
      </w:r>
    </w:p>
    <w:p>
      <w:pPr>
        <w:spacing w:after="120"/>
        <w:jc w:val="both"/>
      </w:pPr>
      <w:r>
        <w:rPr>
          <w:b w:val="false"/>
          <w:bCs w:val="false"/>
          <w:i w:val="false"/>
          <w:iCs w:val="false"/>
          <w:sz w:val="22"/>
          <w:szCs w:val="22"/>
        </w:rPr>
        <w:t xml:space="preserve">Le nombre de dépendances externes est volontairement réduit. Chaque bibliothèque ajoutée est une surface de maintenance et un poids supplémentaire.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534AB7" w:val="clear"/>
            <w:tcMar>
              <w:top w:type="dxa" w:w="80"/>
              <w:left w:type="dxa" w:w="110"/>
              <w:bottom w:type="dxa" w:w="80"/>
              <w:right w:type="dxa" w:w="110"/>
            </w:tcMar>
          </w:tcPr>
          <w:p>
            <w:r>
              <w:rPr>
                <w:b/>
                <w:bCs/>
                <w:color w:val="FFFFFF"/>
                <w:sz w:val="19"/>
                <w:szCs w:val="19"/>
              </w:rPr>
              <w:t xml:space="preserve">Besoin</w:t>
            </w:r>
          </w:p>
        </w:tc>
        <w:tc>
          <w:tcPr>
            <w:tcW w:type="dxa" w:w="5600"/>
            <w:shd w:fill="534AB7" w:val="clear"/>
            <w:tcMar>
              <w:top w:type="dxa" w:w="80"/>
              <w:left w:type="dxa" w:w="110"/>
              <w:bottom w:type="dxa" w:w="80"/>
              <w:right w:type="dxa" w:w="110"/>
            </w:tcMar>
          </w:tcPr>
          <w:p>
            <w:r>
              <w:rPr>
                <w:b/>
                <w:bCs/>
                <w:color w:val="FFFFFF"/>
                <w:sz w:val="19"/>
                <w:szCs w:val="19"/>
              </w:rPr>
              <w:t xml:space="preserve">Nature de la dépendance</w:t>
            </w:r>
          </w:p>
        </w:tc>
      </w:tr>
      <w:tr>
        <w:tc>
          <w:tcPr>
            <w:tcW w:type="dxa" w:w="3400"/>
            <w:tcMar>
              <w:top w:type="dxa" w:w="80"/>
              <w:left w:type="dxa" w:w="110"/>
              <w:bottom w:type="dxa" w:w="80"/>
              <w:right w:type="dxa" w:w="110"/>
            </w:tcMar>
          </w:tcPr>
          <w:p>
            <w:r>
              <w:rPr>
                <w:b w:val="false"/>
                <w:bCs w:val="false"/>
                <w:color w:val="2C2C2A"/>
                <w:sz w:val="19"/>
                <w:szCs w:val="19"/>
              </w:rPr>
              <w:t xml:space="preserve">Appels réseau</w:t>
            </w:r>
          </w:p>
        </w:tc>
        <w:tc>
          <w:tcPr>
            <w:tcW w:type="dxa" w:w="5600"/>
            <w:tcMar>
              <w:top w:type="dxa" w:w="80"/>
              <w:left w:type="dxa" w:w="110"/>
              <w:bottom w:type="dxa" w:w="80"/>
              <w:right w:type="dxa" w:w="110"/>
            </w:tcMar>
          </w:tcPr>
          <w:p>
            <w:r>
              <w:rPr>
                <w:b w:val="false"/>
                <w:bCs w:val="false"/>
                <w:color w:val="2C2C2A"/>
                <w:sz w:val="19"/>
                <w:szCs w:val="19"/>
              </w:rPr>
              <w:t xml:space="preserve">Client HTTP fourni par la plateforme</w:t>
            </w:r>
          </w:p>
        </w:tc>
      </w:tr>
      <w:tr>
        <w:tc>
          <w:tcPr>
            <w:tcW w:type="dxa" w:w="3400"/>
            <w:shd w:fill="F1EFE8" w:val="clear"/>
            <w:tcMar>
              <w:top w:type="dxa" w:w="80"/>
              <w:left w:type="dxa" w:w="110"/>
              <w:bottom w:type="dxa" w:w="80"/>
              <w:right w:type="dxa" w:w="110"/>
            </w:tcMar>
          </w:tcPr>
          <w:p>
            <w:r>
              <w:rPr>
                <w:b w:val="false"/>
                <w:bCs w:val="false"/>
                <w:color w:val="2C2C2A"/>
                <w:sz w:val="19"/>
                <w:szCs w:val="19"/>
              </w:rPr>
              <w:t xml:space="preserve">Stockage local du bail</w:t>
            </w:r>
          </w:p>
        </w:tc>
        <w:tc>
          <w:tcPr>
            <w:tcW w:type="dxa" w:w="5600"/>
            <w:shd w:fill="F1EFE8" w:val="clear"/>
            <w:tcMar>
              <w:top w:type="dxa" w:w="80"/>
              <w:left w:type="dxa" w:w="110"/>
              <w:bottom w:type="dxa" w:w="80"/>
              <w:right w:type="dxa" w:w="110"/>
            </w:tcMar>
          </w:tcPr>
          <w:p>
            <w:r>
              <w:rPr>
                <w:b w:val="false"/>
                <w:bCs w:val="false"/>
                <w:color w:val="2C2C2A"/>
                <w:sz w:val="19"/>
                <w:szCs w:val="19"/>
              </w:rPr>
              <w:t xml:space="preserve">Stockage clé-valeur simple</w:t>
            </w:r>
          </w:p>
        </w:tc>
      </w:tr>
      <w:tr>
        <w:tc>
          <w:tcPr>
            <w:tcW w:type="dxa" w:w="3400"/>
            <w:tcMar>
              <w:top w:type="dxa" w:w="80"/>
              <w:left w:type="dxa" w:w="110"/>
              <w:bottom w:type="dxa" w:w="80"/>
              <w:right w:type="dxa" w:w="110"/>
            </w:tcMar>
          </w:tcPr>
          <w:p>
            <w:r>
              <w:rPr>
                <w:b w:val="false"/>
                <w:bCs w:val="false"/>
                <w:color w:val="2C2C2A"/>
                <w:sz w:val="19"/>
                <w:szCs w:val="19"/>
              </w:rPr>
              <w:t xml:space="preserve">Identifiant de session</w:t>
            </w:r>
          </w:p>
        </w:tc>
        <w:tc>
          <w:tcPr>
            <w:tcW w:type="dxa" w:w="5600"/>
            <w:tcMar>
              <w:top w:type="dxa" w:w="80"/>
              <w:left w:type="dxa" w:w="110"/>
              <w:bottom w:type="dxa" w:w="80"/>
              <w:right w:type="dxa" w:w="110"/>
            </w:tcMar>
          </w:tcPr>
          <w:p>
            <w:r>
              <w:rPr>
                <w:b w:val="false"/>
                <w:bCs w:val="false"/>
                <w:color w:val="2C2C2A"/>
                <w:sz w:val="19"/>
                <w:szCs w:val="19"/>
              </w:rPr>
              <w:t xml:space="preserve">Génération d'identifiants uniques</w:t>
            </w:r>
          </w:p>
        </w:tc>
      </w:tr>
      <w:tr>
        <w:tc>
          <w:tcPr>
            <w:tcW w:type="dxa" w:w="3400"/>
            <w:shd w:fill="F1EFE8" w:val="clear"/>
            <w:tcMar>
              <w:top w:type="dxa" w:w="80"/>
              <w:left w:type="dxa" w:w="110"/>
              <w:bottom w:type="dxa" w:w="80"/>
              <w:right w:type="dxa" w:w="110"/>
            </w:tcMar>
          </w:tcPr>
          <w:p>
            <w:r>
              <w:rPr>
                <w:b w:val="false"/>
                <w:bCs w:val="false"/>
                <w:color w:val="2C2C2A"/>
                <w:sz w:val="19"/>
                <w:szCs w:val="19"/>
              </w:rPr>
              <w:t xml:space="preserve">Gestion d'état</w:t>
            </w:r>
          </w:p>
        </w:tc>
        <w:tc>
          <w:tcPr>
            <w:tcW w:type="dxa" w:w="5600"/>
            <w:shd w:fill="F1EFE8" w:val="clear"/>
            <w:tcMar>
              <w:top w:type="dxa" w:w="80"/>
              <w:left w:type="dxa" w:w="110"/>
              <w:bottom w:type="dxa" w:w="80"/>
              <w:right w:type="dxa" w:w="110"/>
            </w:tcMar>
          </w:tcPr>
          <w:p>
            <w:r>
              <w:rPr>
                <w:b w:val="false"/>
                <w:bCs w:val="false"/>
                <w:color w:val="2C2C2A"/>
                <w:sz w:val="19"/>
                <w:szCs w:val="19"/>
              </w:rPr>
              <w:t xml:space="preserve">Mécanismes natifs de React, sans bibliothèque tierce</w:t>
            </w:r>
          </w:p>
        </w:tc>
      </w:tr>
      <w:tr>
        <w:tc>
          <w:tcPr>
            <w:tcW w:type="dxa" w:w="3400"/>
            <w:tcMar>
              <w:top w:type="dxa" w:w="80"/>
              <w:left w:type="dxa" w:w="110"/>
              <w:bottom w:type="dxa" w:w="80"/>
              <w:right w:type="dxa" w:w="110"/>
            </w:tcMar>
          </w:tcPr>
          <w:p>
            <w:r>
              <w:rPr>
                <w:b w:val="false"/>
                <w:bCs w:val="false"/>
                <w:color w:val="2C2C2A"/>
                <w:sz w:val="19"/>
                <w:szCs w:val="19"/>
              </w:rPr>
              <w:t xml:space="preserve">Navigation entre écrans</w:t>
            </w:r>
          </w:p>
        </w:tc>
        <w:tc>
          <w:tcPr>
            <w:tcW w:type="dxa" w:w="5600"/>
            <w:tcMar>
              <w:top w:type="dxa" w:w="80"/>
              <w:left w:type="dxa" w:w="110"/>
              <w:bottom w:type="dxa" w:w="80"/>
              <w:right w:type="dxa" w:w="110"/>
            </w:tcMar>
          </w:tcPr>
          <w:p>
            <w:r>
              <w:rPr>
                <w:b w:val="false"/>
                <w:bCs w:val="false"/>
                <w:color w:val="2C2C2A"/>
                <w:sz w:val="19"/>
                <w:szCs w:val="19"/>
              </w:rPr>
              <w:t xml:space="preserve">Bibliothèque de navigation standard de l'écosystème</w:t>
            </w:r>
          </w:p>
        </w:tc>
      </w:tr>
    </w:tbl>
    <w:p>
      <w:pPr>
        <w:spacing w:after="160"/>
      </w:pPr>
    </w:p>
    <w:p>
      <w:pPr>
        <w:spacing w:after="120"/>
        <w:jc w:val="both"/>
      </w:pPr>
      <w:r>
        <w:rPr>
          <w:b w:val="false"/>
          <w:bCs w:val="false"/>
          <w:i/>
          <w:iCs/>
          <w:sz w:val="22"/>
          <w:szCs w:val="22"/>
        </w:rPr>
        <w:t xml:space="preserve">Aucune bibliothèque d'interface tierce n'est employée. Les composants fournis par React Native suffisent à l'ensemble des écrans décrits au cahier des charges. Toute dépendance supplémentaire doit être justifiée par un besoin que la plateforme ne couvre pas.</w:t>
      </w:r>
    </w:p>
    <w:p>
      <w:r>
        <w:br w:type="page"/>
      </w:r>
    </w:p>
    <w:p>
      <w:pPr>
        <w:pStyle w:val="Heading1"/>
        <w:spacing w:after="140" w:before="280"/>
      </w:pPr>
      <w:r>
        <w:rPr>
          <w:color w:val="534AB7"/>
        </w:rPr>
        <w:t xml:space="preserve">10. Limites et points ouverts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534AB7" w:val="clear"/>
            <w:tcMar>
              <w:top w:type="dxa" w:w="80"/>
              <w:left w:type="dxa" w:w="110"/>
              <w:bottom w:type="dxa" w:w="80"/>
              <w:right w:type="dxa" w:w="110"/>
            </w:tcMar>
          </w:tcPr>
          <w:p>
            <w:r>
              <w:rPr>
                <w:b/>
                <w:bCs/>
                <w:color w:val="FFFFFF"/>
                <w:sz w:val="19"/>
                <w:szCs w:val="19"/>
              </w:rPr>
              <w:t xml:space="preserve">Point</w:t>
            </w:r>
          </w:p>
        </w:tc>
        <w:tc>
          <w:tcPr>
            <w:tcW w:type="dxa" w:w="2200"/>
            <w:shd w:fill="534AB7" w:val="clear"/>
            <w:tcMar>
              <w:top w:type="dxa" w:w="80"/>
              <w:left w:type="dxa" w:w="110"/>
              <w:bottom w:type="dxa" w:w="80"/>
              <w:right w:type="dxa" w:w="110"/>
            </w:tcMar>
          </w:tcPr>
          <w:p>
            <w:r>
              <w:rPr>
                <w:b/>
                <w:bCs/>
                <w:color w:val="FFFFFF"/>
                <w:sz w:val="19"/>
                <w:szCs w:val="19"/>
              </w:rPr>
              <w:t xml:space="preserve">Nature</w:t>
            </w:r>
          </w:p>
        </w:tc>
        <w:tc>
          <w:tcPr>
            <w:tcW w:type="dxa" w:w="4400"/>
            <w:shd w:fill="534AB7" w:val="clear"/>
            <w:tcMar>
              <w:top w:type="dxa" w:w="80"/>
              <w:left w:type="dxa" w:w="110"/>
              <w:bottom w:type="dxa" w:w="80"/>
              <w:right w:type="dxa" w:w="110"/>
            </w:tcMar>
          </w:tcPr>
          <w:p>
            <w:r>
              <w:rPr>
                <w:b/>
                <w:bCs/>
                <w:color w:val="FFFFFF"/>
                <w:sz w:val="19"/>
                <w:szCs w:val="19"/>
              </w:rPr>
              <w:t xml:space="preserve">Traitement</w:t>
            </w:r>
          </w:p>
        </w:tc>
      </w:tr>
      <w:tr>
        <w:tc>
          <w:tcPr>
            <w:tcW w:type="dxa" w:w="2400"/>
            <w:tcMar>
              <w:top w:type="dxa" w:w="80"/>
              <w:left w:type="dxa" w:w="110"/>
              <w:bottom w:type="dxa" w:w="80"/>
              <w:right w:type="dxa" w:w="110"/>
            </w:tcMar>
          </w:tcPr>
          <w:p>
            <w:r>
              <w:rPr>
                <w:b w:val="false"/>
                <w:bCs w:val="false"/>
                <w:color w:val="2C2C2A"/>
                <w:sz w:val="19"/>
                <w:szCs w:val="19"/>
              </w:rPr>
              <w:t xml:space="preserve">Service USSD hors service</w:t>
            </w:r>
          </w:p>
        </w:tc>
        <w:tc>
          <w:tcPr>
            <w:tcW w:type="dxa" w:w="2200"/>
            <w:tcMar>
              <w:top w:type="dxa" w:w="80"/>
              <w:left w:type="dxa" w:w="110"/>
              <w:bottom w:type="dxa" w:w="80"/>
              <w:right w:type="dxa" w:w="110"/>
            </w:tcMar>
          </w:tcPr>
          <w:p>
            <w:r>
              <w:rPr>
                <w:b w:val="false"/>
                <w:bCs w:val="false"/>
                <w:color w:val="2C2C2A"/>
                <w:sz w:val="19"/>
                <w:szCs w:val="19"/>
              </w:rPr>
              <w:t xml:space="preserve">Dépendance bloquante</w:t>
            </w:r>
          </w:p>
        </w:tc>
        <w:tc>
          <w:tcPr>
            <w:tcW w:type="dxa" w:w="4400"/>
            <w:tcMar>
              <w:top w:type="dxa" w:w="80"/>
              <w:left w:type="dxa" w:w="110"/>
              <w:bottom w:type="dxa" w:w="80"/>
              <w:right w:type="dxa" w:w="110"/>
            </w:tcMar>
          </w:tcPr>
          <w:p>
            <w:r>
              <w:rPr>
                <w:b w:val="false"/>
                <w:bCs w:val="false"/>
                <w:color w:val="2C2C2A"/>
                <w:sz w:val="19"/>
                <w:szCs w:val="19"/>
              </w:rPr>
              <w:t xml:space="preserve">Anomalie FRA-234 ouverte ; l'application peut être construite, rien ne peut être démontré avant correction</w:t>
            </w:r>
          </w:p>
        </w:tc>
      </w:tr>
      <w:tr>
        <w:tc>
          <w:tcPr>
            <w:tcW w:type="dxa" w:w="2400"/>
            <w:shd w:fill="F1EFE8" w:val="clear"/>
            <w:tcMar>
              <w:top w:type="dxa" w:w="80"/>
              <w:left w:type="dxa" w:w="110"/>
              <w:bottom w:type="dxa" w:w="80"/>
              <w:right w:type="dxa" w:w="110"/>
            </w:tcMar>
          </w:tcPr>
          <w:p>
            <w:r>
              <w:rPr>
                <w:b w:val="false"/>
                <w:bCs w:val="false"/>
                <w:color w:val="2C2C2A"/>
                <w:sz w:val="19"/>
                <w:szCs w:val="19"/>
              </w:rPr>
              <w:t xml:space="preserve">Service d'attribution inexistant</w:t>
            </w:r>
          </w:p>
        </w:tc>
        <w:tc>
          <w:tcPr>
            <w:tcW w:type="dxa" w:w="2200"/>
            <w:shd w:fill="F1EFE8" w:val="clear"/>
            <w:tcMar>
              <w:top w:type="dxa" w:w="80"/>
              <w:left w:type="dxa" w:w="110"/>
              <w:bottom w:type="dxa" w:w="80"/>
              <w:right w:type="dxa" w:w="110"/>
            </w:tcMar>
          </w:tcPr>
          <w:p>
            <w:r>
              <w:rPr>
                <w:b w:val="false"/>
                <w:bCs w:val="false"/>
                <w:color w:val="2C2C2A"/>
                <w:sz w:val="19"/>
                <w:szCs w:val="19"/>
              </w:rPr>
              <w:t xml:space="preserve">Dépendance bloquante</w:t>
            </w:r>
          </w:p>
        </w:tc>
        <w:tc>
          <w:tcPr>
            <w:tcW w:type="dxa" w:w="4400"/>
            <w:shd w:fill="F1EFE8" w:val="clear"/>
            <w:tcMar>
              <w:top w:type="dxa" w:w="80"/>
              <w:left w:type="dxa" w:w="110"/>
              <w:bottom w:type="dxa" w:w="80"/>
              <w:right w:type="dxa" w:w="110"/>
            </w:tcMar>
          </w:tcPr>
          <w:p>
            <w:r>
              <w:rPr>
                <w:b w:val="false"/>
                <w:bCs w:val="false"/>
                <w:color w:val="2C2C2A"/>
                <w:sz w:val="19"/>
                <w:szCs w:val="19"/>
              </w:rPr>
              <w:t xml:space="preserve">Conception à porter au périmètre du Loader</w:t>
            </w:r>
          </w:p>
        </w:tc>
      </w:tr>
      <w:tr>
        <w:tc>
          <w:tcPr>
            <w:tcW w:type="dxa" w:w="2400"/>
            <w:tcMar>
              <w:top w:type="dxa" w:w="80"/>
              <w:left w:type="dxa" w:w="110"/>
              <w:bottom w:type="dxa" w:w="80"/>
              <w:right w:type="dxa" w:w="110"/>
            </w:tcMar>
          </w:tcPr>
          <w:p>
            <w:r>
              <w:rPr>
                <w:b w:val="false"/>
                <w:bCs w:val="false"/>
                <w:color w:val="2C2C2A"/>
                <w:sz w:val="19"/>
                <w:szCs w:val="19"/>
              </w:rPr>
              <w:t xml:space="preserve">Compilation iOS</w:t>
            </w:r>
          </w:p>
        </w:tc>
        <w:tc>
          <w:tcPr>
            <w:tcW w:type="dxa" w:w="2200"/>
            <w:tcMar>
              <w:top w:type="dxa" w:w="80"/>
              <w:left w:type="dxa" w:w="110"/>
              <w:bottom w:type="dxa" w:w="80"/>
              <w:right w:type="dxa" w:w="110"/>
            </w:tcMar>
          </w:tcPr>
          <w:p>
            <w:r>
              <w:rPr>
                <w:b w:val="false"/>
                <w:bCs w:val="false"/>
                <w:color w:val="2C2C2A"/>
                <w:sz w:val="19"/>
                <w:szCs w:val="19"/>
              </w:rPr>
              <w:t xml:space="preserve">Contrainte matérielle</w:t>
            </w:r>
          </w:p>
        </w:tc>
        <w:tc>
          <w:tcPr>
            <w:tcW w:type="dxa" w:w="4400"/>
            <w:tcMar>
              <w:top w:type="dxa" w:w="80"/>
              <w:left w:type="dxa" w:w="110"/>
              <w:bottom w:type="dxa" w:w="80"/>
              <w:right w:type="dxa" w:w="110"/>
            </w:tcMar>
          </w:tcPr>
          <w:p>
            <w:r>
              <w:rPr>
                <w:b w:val="false"/>
                <w:bCs w:val="false"/>
                <w:color w:val="2C2C2A"/>
                <w:sz w:val="19"/>
                <w:szCs w:val="19"/>
              </w:rPr>
              <w:t xml:space="preserve">Décision à prendre : machine Apple ou service de compilation distante — contrainte indépendante du cadre de développement</w:t>
            </w:r>
          </w:p>
        </w:tc>
      </w:tr>
      <w:tr>
        <w:tc>
          <w:tcPr>
            <w:tcW w:type="dxa" w:w="2400"/>
            <w:shd w:fill="F1EFE8" w:val="clear"/>
            <w:tcMar>
              <w:top w:type="dxa" w:w="80"/>
              <w:left w:type="dxa" w:w="110"/>
              <w:bottom w:type="dxa" w:w="80"/>
              <w:right w:type="dxa" w:w="110"/>
            </w:tcMar>
          </w:tcPr>
          <w:p>
            <w:r>
              <w:rPr>
                <w:b w:val="false"/>
                <w:bCs w:val="false"/>
                <w:color w:val="2C2C2A"/>
                <w:sz w:val="19"/>
                <w:szCs w:val="19"/>
              </w:rPr>
              <w:t xml:space="preserve">Compte développeur Apple</w:t>
            </w:r>
          </w:p>
        </w:tc>
        <w:tc>
          <w:tcPr>
            <w:tcW w:type="dxa" w:w="2200"/>
            <w:shd w:fill="F1EFE8" w:val="clear"/>
            <w:tcMar>
              <w:top w:type="dxa" w:w="80"/>
              <w:left w:type="dxa" w:w="110"/>
              <w:bottom w:type="dxa" w:w="80"/>
              <w:right w:type="dxa" w:w="110"/>
            </w:tcMar>
          </w:tcPr>
          <w:p>
            <w:r>
              <w:rPr>
                <w:b w:val="false"/>
                <w:bCs w:val="false"/>
                <w:color w:val="2C2C2A"/>
                <w:sz w:val="19"/>
                <w:szCs w:val="19"/>
              </w:rPr>
              <w:t xml:space="preserve">Contrainte administrative</w:t>
            </w:r>
          </w:p>
        </w:tc>
        <w:tc>
          <w:tcPr>
            <w:tcW w:type="dxa" w:w="4400"/>
            <w:shd w:fill="F1EFE8" w:val="clear"/>
            <w:tcMar>
              <w:top w:type="dxa" w:w="80"/>
              <w:left w:type="dxa" w:w="110"/>
              <w:bottom w:type="dxa" w:w="80"/>
              <w:right w:type="dxa" w:w="110"/>
            </w:tcMar>
          </w:tcPr>
          <w:p>
            <w:r>
              <w:rPr>
                <w:b w:val="false"/>
                <w:bCs w:val="false"/>
                <w:color w:val="2C2C2A"/>
                <w:sz w:val="19"/>
                <w:szCs w:val="19"/>
              </w:rPr>
              <w:t xml:space="preserve">Coût annuel à arbitrer par la Direction</w:t>
            </w:r>
          </w:p>
        </w:tc>
      </w:tr>
      <w:tr>
        <w:tc>
          <w:tcPr>
            <w:tcW w:type="dxa" w:w="2400"/>
            <w:tcMar>
              <w:top w:type="dxa" w:w="80"/>
              <w:left w:type="dxa" w:w="110"/>
              <w:bottom w:type="dxa" w:w="80"/>
              <w:right w:type="dxa" w:w="110"/>
            </w:tcMar>
          </w:tcPr>
          <w:p>
            <w:r>
              <w:rPr>
                <w:b w:val="false"/>
                <w:bCs w:val="false"/>
                <w:color w:val="2C2C2A"/>
                <w:sz w:val="19"/>
                <w:szCs w:val="19"/>
              </w:rPr>
              <w:t xml:space="preserve">Concurrence d'attribution</w:t>
            </w:r>
          </w:p>
        </w:tc>
        <w:tc>
          <w:tcPr>
            <w:tcW w:type="dxa" w:w="2200"/>
            <w:tcMar>
              <w:top w:type="dxa" w:w="80"/>
              <w:left w:type="dxa" w:w="110"/>
              <w:bottom w:type="dxa" w:w="80"/>
              <w:right w:type="dxa" w:w="110"/>
            </w:tcMar>
          </w:tcPr>
          <w:p>
            <w:r>
              <w:rPr>
                <w:b w:val="false"/>
                <w:bCs w:val="false"/>
                <w:color w:val="2C2C2A"/>
                <w:sz w:val="19"/>
                <w:szCs w:val="19"/>
              </w:rPr>
              <w:t xml:space="preserve">Risque technique</w:t>
            </w:r>
          </w:p>
        </w:tc>
        <w:tc>
          <w:tcPr>
            <w:tcW w:type="dxa" w:w="4400"/>
            <w:tcMar>
              <w:top w:type="dxa" w:w="80"/>
              <w:left w:type="dxa" w:w="110"/>
              <w:bottom w:type="dxa" w:w="80"/>
              <w:right w:type="dxa" w:w="110"/>
            </w:tcMar>
          </w:tcPr>
          <w:p>
            <w:r>
              <w:rPr>
                <w:b w:val="false"/>
                <w:bCs w:val="false"/>
                <w:color w:val="2C2C2A"/>
                <w:sz w:val="19"/>
                <w:szCs w:val="19"/>
              </w:rPr>
              <w:t xml:space="preserve">Le tirage et le marquage doivent former une opération indivisible côté service</w:t>
            </w:r>
          </w:p>
        </w:tc>
      </w:tr>
    </w:tbl>
    <w:p>
      <w:pPr>
        <w:spacing w:after="160"/>
      </w:pPr>
    </w:p>
    <w:p>
      <w:pPr>
        <w:spacing w:after="160"/>
      </w:pPr>
    </w:p>
    <w:p>
      <w:pPr>
        <w:pBdr>
          <w:top w:val="single" w:color="534AB7" w:sz="6"/>
        </w:pBdr>
        <w:spacing w:after="160" w:before="300"/>
      </w:pPr>
    </w:p>
    <w:p>
      <w:pPr>
        <w:spacing w:after="120"/>
        <w:jc w:val="both"/>
      </w:pPr>
      <w:r>
        <w:rPr>
          <w:b w:val="false"/>
          <w:bCs w:val="false"/>
          <w:i/>
          <w:iCs/>
          <w:sz w:val="18"/>
          <w:szCs w:val="18"/>
        </w:rPr>
        <w:t xml:space="preserve">Document établi par Kuate Abdel Yaniv, QA Lead — FinZuu SAS.</w:t>
      </w:r>
    </w:p>
    <w:p>
      <w:pPr>
        <w:spacing w:after="120"/>
        <w:jc w:val="both"/>
      </w:pPr>
      <w:r>
        <w:rPr>
          <w:b w:val="false"/>
          <w:bCs w:val="false"/>
          <w:i/>
          <w:iCs/>
          <w:sz w:val="18"/>
          <w:szCs w:val="18"/>
        </w:rPr>
        <w:t xml:space="preserve">Référence FZ-STACK-SIMUSSD-2026-001, version 1.0 du 23 août 2026.</w:t>
      </w:r>
    </w:p>
    <w:p>
      <w:pPr>
        <w:spacing w:after="120"/>
        <w:jc w:val="both"/>
      </w:pPr>
      <w:r>
        <w:rPr>
          <w:b w:val="false"/>
          <w:bCs w:val="false"/>
          <w:i/>
          <w:iCs/>
          <w:sz w:val="18"/>
          <w:szCs w:val="18"/>
        </w:rPr>
        <w:t xml:space="preserve">Complément technique au cahier des charges FZ-CDC-SIMUSSD-2026-001.</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technique React Native — Simulateur USSD FinZuu</dc:title>
  <dc:creator>Kuate Abdel Yaniv</dc:creator>
  <dc:description>FZ-STACK-SIMUSSD-2026-001</dc:description>
  <cp:lastModifiedBy>Un-named</cp:lastModifiedBy>
  <cp:revision>1</cp:revision>
  <dcterms:created xsi:type="dcterms:W3CDTF">2026-08-23T23:23:37.559Z</dcterms:created>
  <dcterms:modified xsi:type="dcterms:W3CDTF">2026-08-23T23:23:37.571Z</dcterms:modified>
</cp:coreProperties>
</file>

<file path=docProps/custom.xml><?xml version="1.0" encoding="utf-8"?>
<Properties xmlns="http://schemas.openxmlformats.org/officeDocument/2006/custom-properties" xmlns:vt="http://schemas.openxmlformats.org/officeDocument/2006/docPropsVTypes"/>
</file>