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spacing w:after="200"/>
        <w:jc w:val="center"/>
      </w:pPr>
      <w:r>
        <w:rPr>
          <w:b/>
          <w:bCs/>
          <w:color w:val="6B2E9E"/>
          <w:sz w:val="36"/>
          <w:szCs w:val="36"/>
        </w:rPr>
        <w:t xml:space="preserve">FinZuu SAS</w:t>
      </w:r>
    </w:p>
    <w:p>
      <w:pPr>
        <w:pBdr>
          <w:bottom w:val="single" w:color="4CAF50" w:sz="12"/>
        </w:pBdr>
        <w:spacing w:after="600"/>
        <w:jc w:val="center"/>
      </w:pPr>
      <w:r>
        <w:rPr>
          <w:sz w:val="4"/>
          <w:szCs w:val="4"/>
        </w:rPr>
        <w:t xml:space="preserve"/>
      </w:r>
    </w:p>
    <w:p>
      <w:pPr>
        <w:spacing w:after="400" w:before="400"/>
        <w:jc w:val="center"/>
      </w:pPr>
      <w:r>
        <w:rPr>
          <w:b/>
          <w:bCs/>
          <w:color w:val="6B2E9E"/>
          <w:sz w:val="44"/>
          <w:szCs w:val="44"/>
        </w:rPr>
        <w:t xml:space="preserve">CAHIER DES CHARGES</w:t>
      </w:r>
    </w:p>
    <w:p>
      <w:pPr>
        <w:spacing w:after="200"/>
        <w:jc w:val="center"/>
      </w:pPr>
      <w:r>
        <w:rPr>
          <w:i/>
          <w:iCs/>
          <w:color w:val="666666"/>
          <w:sz w:val="26"/>
          <w:szCs w:val="26"/>
        </w:rPr>
        <w:t xml:space="preserve">Loader d'alimentation des environnements TEST et DEMO</w:t>
      </w:r>
    </w:p>
    <w:p>
      <w:pPr>
        <w:spacing w:after="800"/>
        <w:jc w:val="center"/>
      </w:pPr>
      <w:r>
        <w:rPr>
          <w:i/>
          <w:iCs/>
          <w:color w:val="666666"/>
          <w:sz w:val="22"/>
          <w:szCs w:val="22"/>
        </w:rPr>
        <w:t xml:space="preserve">Module Sprint 1-4</w:t>
      </w:r>
    </w:p>
    <w:p>
      <w:pPr>
        <w:spacing w:after="100"/>
        <w:jc w:val="center"/>
      </w:pPr>
      <w:r>
        <w:rPr>
          <w:sz w:val="22"/>
          <w:szCs w:val="22"/>
        </w:rPr>
        <w:t xml:space="preserve">Référence : </w:t>
      </w:r>
      <w:r>
        <w:rPr>
          <w:b/>
          <w:bCs/>
          <w:sz w:val="22"/>
          <w:szCs w:val="22"/>
        </w:rPr>
        <w:t xml:space="preserve">FZ-CDC-LOADER-2026-001</w:t>
      </w:r>
    </w:p>
    <w:p>
      <w:pPr>
        <w:spacing w:after="100"/>
        <w:jc w:val="center"/>
      </w:pPr>
      <w:r>
        <w:rPr>
          <w:sz w:val="22"/>
          <w:szCs w:val="22"/>
        </w:rPr>
        <w:t xml:space="preserve">Version : </w:t>
      </w:r>
      <w:r>
        <w:rPr>
          <w:b/>
          <w:bCs/>
          <w:color w:val="4CAF50"/>
          <w:sz w:val="22"/>
          <w:szCs w:val="22"/>
        </w:rPr>
        <w:t xml:space="preserve">1.2</w:t>
      </w:r>
    </w:p>
    <w:p>
      <w:pPr>
        <w:spacing w:after="100"/>
        <w:jc w:val="center"/>
      </w:pPr>
      <w:r>
        <w:rPr>
          <w:sz w:val="22"/>
          <w:szCs w:val="22"/>
        </w:rPr>
        <w:t xml:space="preserve">Date : </w:t>
      </w:r>
      <w:r>
        <w:rPr>
          <w:b/>
          <w:bCs/>
          <w:sz w:val="22"/>
          <w:szCs w:val="22"/>
        </w:rPr>
        <w:t xml:space="preserve">22 juillet 2026</w:t>
      </w:r>
    </w:p>
    <w:p>
      <w:pPr>
        <w:spacing w:after="100"/>
        <w:jc w:val="center"/>
      </w:pPr>
      <w:r>
        <w:rPr>
          <w:sz w:val="22"/>
          <w:szCs w:val="22"/>
        </w:rPr>
        <w:t xml:space="preserve">Statut : </w:t>
      </w:r>
      <w:r>
        <w:rPr>
          <w:b/>
          <w:bCs/>
          <w:sz w:val="22"/>
          <w:szCs w:val="22"/>
        </w:rPr>
        <w:t xml:space="preserve">Draft — pour validation Direction Technique</w:t>
      </w:r>
    </w:p>
    <w:p>
      <w:pPr>
        <w:spacing w:after="100"/>
        <w:jc w:val="center"/>
      </w:pPr>
      <w:r>
        <w:rPr>
          <w:sz w:val="22"/>
          <w:szCs w:val="22"/>
        </w:rPr>
        <w:t xml:space="preserve">Auteur : </w:t>
      </w:r>
      <w:r>
        <w:rPr>
          <w:b/>
          <w:bCs/>
          <w:sz w:val="22"/>
          <w:szCs w:val="22"/>
        </w:rPr>
        <w:t xml:space="preserve">Kuate Abdel Yaniv, QA Lead FinZuu SAS</w:t>
      </w:r>
    </w:p>
    <w:p>
      <w:pPr>
        <w:spacing w:after="100"/>
        <w:jc w:val="center"/>
      </w:pPr>
      <w:r>
        <w:rPr>
          <w:sz w:val="22"/>
          <w:szCs w:val="22"/>
        </w:rPr>
        <w:t xml:space="preserve">Contact : </w:t>
      </w:r>
      <w:r>
        <w:rPr>
          <w:b/>
          <w:bCs/>
          <w:color w:val="6B2E9E"/>
          <w:sz w:val="22"/>
          <w:szCs w:val="22"/>
        </w:rPr>
        <w:t xml:space="preserve">ak@finzuu.com</w:t>
      </w:r>
    </w:p>
    <w:p>
      <w:pPr>
        <w:spacing w:after="100"/>
        <w:jc w:val="center"/>
      </w:pPr>
      <w:r>
        <w:rPr>
          <w:sz w:val="22"/>
          <w:szCs w:val="22"/>
        </w:rPr>
        <w:t xml:space="preserve">Destinataires : </w:t>
      </w:r>
      <w:r>
        <w:rPr>
          <w:b/>
          <w:bCs/>
          <w:sz w:val="22"/>
          <w:szCs w:val="22"/>
        </w:rPr>
        <w:t xml:space="preserve">JJ Bwanga (COO), Raphaël Moutot (PM)</w:t>
      </w:r>
    </w:p>
    <w:p>
      <w:pPr>
        <w:spacing w:before="200"/>
        <w:jc w:val="center"/>
      </w:pPr>
      <w:r>
        <w:rPr>
          <w:sz w:val="22"/>
          <w:szCs w:val="22"/>
        </w:rPr>
        <w:t xml:space="preserve">Classification : </w:t>
      </w:r>
      <w:r>
        <w:rPr>
          <w:b/>
          <w:bCs/>
          <w:color w:val="6B2E9E"/>
          <w:sz w:val="22"/>
          <w:szCs w:val="22"/>
        </w:rPr>
        <w:t xml:space="preserve">Interne — Confidentiel projet</w:t>
      </w:r>
    </w:p>
    <w:p>
      <w:r>
        <w:br w:type="page"/>
      </w:r>
    </w:p>
    <w:p>
      <w:pPr>
        <w:pStyle w:val="Heading1"/>
        <w:spacing w:after="240" w:before="480"/>
      </w:pPr>
      <w:r>
        <w:rPr>
          <w:b/>
          <w:bCs/>
          <w:color w:val="6B2E9E"/>
          <w:sz w:val="32"/>
          <w:szCs w:val="32"/>
        </w:rPr>
        <w:t xml:space="preserve">Historique des versions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000"/>
        <w:gridCol w:w="4600"/>
      </w:tblGrid>
      <w:tr>
        <w:trPr>
          <w:tblHeader/>
        </w:trPr>
        <w:tc>
          <w:tcPr>
            <w:tcW w:type="dxa" w:w="1000"/>
            <w:shd w:fill="6B2E9E" w:val="clear"/>
            <w:tcMar>
              <w:top w:type="dxa" w:w="100"/>
              <w:left w:type="dxa" w:w="120"/>
              <w:bottom w:type="dxa" w:w="100"/>
              <w:right w:type="dxa" w:w="120"/>
            </w:tcMar>
          </w:tcPr>
          <w:p>
            <w:pPr>
              <w:jc w:val="center"/>
            </w:pPr>
            <w:r>
              <w:rPr>
                <w:b/>
                <w:bCs/>
                <w:color w:val="FFFFFF"/>
                <w:sz w:val="20"/>
                <w:szCs w:val="20"/>
              </w:rPr>
              <w:t xml:space="preserve">Version</w:t>
            </w:r>
          </w:p>
        </w:tc>
        <w:tc>
          <w:tcPr>
            <w:tcW w:type="dxa" w:w="1600"/>
            <w:shd w:fill="6B2E9E" w:val="clear"/>
            <w:tcMar>
              <w:top w:type="dxa" w:w="100"/>
              <w:left w:type="dxa" w:w="120"/>
              <w:bottom w:type="dxa" w:w="100"/>
              <w:right w:type="dxa" w:w="120"/>
            </w:tcMar>
          </w:tcPr>
          <w:p>
            <w:pPr>
              <w:jc w:val="center"/>
            </w:pPr>
            <w:r>
              <w:rPr>
                <w:b/>
                <w:bCs/>
                <w:color w:val="FFFFFF"/>
                <w:sz w:val="20"/>
                <w:szCs w:val="20"/>
              </w:rPr>
              <w:t xml:space="preserve">Date</w:t>
            </w:r>
          </w:p>
        </w:tc>
        <w:tc>
          <w:tcPr>
            <w:tcW w:type="dxa" w:w="2000"/>
            <w:shd w:fill="6B2E9E" w:val="clear"/>
            <w:tcMar>
              <w:top w:type="dxa" w:w="100"/>
              <w:left w:type="dxa" w:w="120"/>
              <w:bottom w:type="dxa" w:w="100"/>
              <w:right w:type="dxa" w:w="120"/>
            </w:tcMar>
          </w:tcPr>
          <w:p>
            <w:pPr>
              <w:jc w:val="center"/>
            </w:pPr>
            <w:r>
              <w:rPr>
                <w:b/>
                <w:bCs/>
                <w:color w:val="FFFFFF"/>
                <w:sz w:val="20"/>
                <w:szCs w:val="20"/>
              </w:rPr>
              <w:t xml:space="preserve">Auteur</w:t>
            </w:r>
          </w:p>
        </w:tc>
        <w:tc>
          <w:tcPr>
            <w:tcW w:type="dxa" w:w="4600"/>
            <w:shd w:fill="6B2E9E" w:val="clear"/>
            <w:tcMar>
              <w:top w:type="dxa" w:w="100"/>
              <w:left w:type="dxa" w:w="120"/>
              <w:bottom w:type="dxa" w:w="100"/>
              <w:right w:type="dxa" w:w="120"/>
            </w:tcMar>
          </w:tcPr>
          <w:p>
            <w:pPr>
              <w:jc w:val="center"/>
            </w:pPr>
            <w:r>
              <w:rPr>
                <w:b/>
                <w:bCs/>
                <w:color w:val="FFFFFF"/>
                <w:sz w:val="20"/>
                <w:szCs w:val="20"/>
              </w:rPr>
              <w:t xml:space="preserve">Modifications principales</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1.0</w:t>
            </w:r>
          </w:p>
        </w:tc>
        <w:tc>
          <w:tcPr>
            <w:tcW w:type="dxa" w:w="1600"/>
            <w:tcMar>
              <w:top w:type="dxa" w:w="80"/>
              <w:left w:type="dxa" w:w="120"/>
              <w:bottom w:type="dxa" w:w="80"/>
              <w:right w:type="dxa" w:w="120"/>
            </w:tcMar>
          </w:tcPr>
          <w:p>
            <w:pPr>
              <w:jc w:val="left"/>
            </w:pPr>
            <w:r>
              <w:rPr>
                <w:b w:val="false"/>
                <w:bCs w:val="false"/>
                <w:color w:val="000000"/>
                <w:sz w:val="20"/>
                <w:szCs w:val="20"/>
              </w:rPr>
              <w:t xml:space="preserve">17 juillet 2026</w:t>
            </w:r>
          </w:p>
        </w:tc>
        <w:tc>
          <w:tcPr>
            <w:tcW w:type="dxa" w:w="2000"/>
            <w:tcMar>
              <w:top w:type="dxa" w:w="80"/>
              <w:left w:type="dxa" w:w="120"/>
              <w:bottom w:type="dxa" w:w="80"/>
              <w:right w:type="dxa" w:w="120"/>
            </w:tcMar>
          </w:tcPr>
          <w:p>
            <w:pPr>
              <w:jc w:val="left"/>
            </w:pPr>
            <w:r>
              <w:rPr>
                <w:b w:val="false"/>
                <w:bCs w:val="false"/>
                <w:color w:val="000000"/>
                <w:sz w:val="20"/>
                <w:szCs w:val="20"/>
              </w:rPr>
              <w:t xml:space="preserve">K. A. Yaniv</w:t>
            </w:r>
          </w:p>
        </w:tc>
        <w:tc>
          <w:tcPr>
            <w:tcW w:type="dxa" w:w="4600"/>
            <w:tcMar>
              <w:top w:type="dxa" w:w="80"/>
              <w:left w:type="dxa" w:w="120"/>
              <w:bottom w:type="dxa" w:w="80"/>
              <w:right w:type="dxa" w:w="120"/>
            </w:tcMar>
          </w:tcPr>
          <w:p>
            <w:pPr>
              <w:jc w:val="left"/>
            </w:pPr>
            <w:r>
              <w:rPr>
                <w:b w:val="false"/>
                <w:bCs w:val="false"/>
                <w:color w:val="000000"/>
                <w:sz w:val="20"/>
                <w:szCs w:val="20"/>
              </w:rPr>
              <w:t xml:space="preserve">Version initiale, validée par Direction Technique</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1.1</w:t>
            </w:r>
          </w:p>
        </w:tc>
        <w:tc>
          <w:tcPr>
            <w:tcW w:type="dxa" w:w="1600"/>
            <w:tcMar>
              <w:top w:type="dxa" w:w="80"/>
              <w:left w:type="dxa" w:w="120"/>
              <w:bottom w:type="dxa" w:w="80"/>
              <w:right w:type="dxa" w:w="120"/>
            </w:tcMar>
          </w:tcPr>
          <w:p>
            <w:pPr>
              <w:jc w:val="left"/>
            </w:pPr>
            <w:r>
              <w:rPr>
                <w:b w:val="false"/>
                <w:bCs w:val="false"/>
                <w:color w:val="000000"/>
                <w:sz w:val="20"/>
                <w:szCs w:val="20"/>
              </w:rPr>
              <w:t xml:space="preserve">18 juillet 2026</w:t>
            </w:r>
          </w:p>
        </w:tc>
        <w:tc>
          <w:tcPr>
            <w:tcW w:type="dxa" w:w="2000"/>
            <w:tcMar>
              <w:top w:type="dxa" w:w="80"/>
              <w:left w:type="dxa" w:w="120"/>
              <w:bottom w:type="dxa" w:w="80"/>
              <w:right w:type="dxa" w:w="120"/>
            </w:tcMar>
          </w:tcPr>
          <w:p>
            <w:pPr>
              <w:jc w:val="left"/>
            </w:pPr>
            <w:r>
              <w:rPr>
                <w:b w:val="false"/>
                <w:bCs w:val="false"/>
                <w:color w:val="000000"/>
                <w:sz w:val="20"/>
                <w:szCs w:val="20"/>
              </w:rPr>
              <w:t xml:space="preserve">K. A. Yaniv</w:t>
            </w:r>
          </w:p>
        </w:tc>
        <w:tc>
          <w:tcPr>
            <w:tcW w:type="dxa" w:w="4600"/>
            <w:tcMar>
              <w:top w:type="dxa" w:w="80"/>
              <w:left w:type="dxa" w:w="120"/>
              <w:bottom w:type="dxa" w:w="80"/>
              <w:right w:type="dxa" w:w="120"/>
            </w:tcMar>
          </w:tcPr>
          <w:p>
            <w:pPr>
              <w:jc w:val="left"/>
            </w:pPr>
            <w:r>
              <w:rPr>
                <w:b w:val="false"/>
                <w:bCs w:val="false"/>
                <w:color w:val="000000"/>
                <w:sz w:val="20"/>
                <w:szCs w:val="20"/>
              </w:rPr>
              <w:t xml:space="preserve">Corrections Direction Technique : hiérarchie opérationnelle à 6 niveaux, distinction Company/IMF/Lender, glossaire enrichi, arbre géographique 5 niveaux, mention Sprint 1-4</w:t>
            </w:r>
          </w:p>
        </w:tc>
      </w:tr>
      <w:tr>
        <w:tc>
          <w:tcPr>
            <w:tcW w:type="dxa" w:w="1000"/>
            <w:shd w:fill="E8F5E9" w:val="clear"/>
            <w:tcMar>
              <w:top w:type="dxa" w:w="80"/>
              <w:left w:type="dxa" w:w="120"/>
              <w:bottom w:type="dxa" w:w="80"/>
              <w:right w:type="dxa" w:w="120"/>
            </w:tcMar>
          </w:tcPr>
          <w:p>
            <w:pPr>
              <w:jc w:val="left"/>
            </w:pPr>
            <w:r>
              <w:rPr>
                <w:b/>
                <w:bCs/>
                <w:color w:val="000000"/>
                <w:sz w:val="20"/>
                <w:szCs w:val="20"/>
              </w:rPr>
              <w:t xml:space="preserve">1.2</w:t>
            </w:r>
          </w:p>
        </w:tc>
        <w:tc>
          <w:tcPr>
            <w:tcW w:type="dxa" w:w="1600"/>
            <w:shd w:fill="E8F5E9" w:val="clear"/>
            <w:tcMar>
              <w:top w:type="dxa" w:w="80"/>
              <w:left w:type="dxa" w:w="120"/>
              <w:bottom w:type="dxa" w:w="80"/>
              <w:right w:type="dxa" w:w="120"/>
            </w:tcMar>
          </w:tcPr>
          <w:p>
            <w:pPr>
              <w:jc w:val="left"/>
            </w:pPr>
            <w:r>
              <w:rPr>
                <w:b/>
                <w:bCs/>
                <w:color w:val="000000"/>
                <w:sz w:val="20"/>
                <w:szCs w:val="20"/>
              </w:rPr>
              <w:t xml:space="preserve">22 juillet 2026</w:t>
            </w:r>
          </w:p>
        </w:tc>
        <w:tc>
          <w:tcPr>
            <w:tcW w:type="dxa" w:w="2000"/>
            <w:shd w:fill="E8F5E9" w:val="clear"/>
            <w:tcMar>
              <w:top w:type="dxa" w:w="80"/>
              <w:left w:type="dxa" w:w="120"/>
              <w:bottom w:type="dxa" w:w="80"/>
              <w:right w:type="dxa" w:w="120"/>
            </w:tcMar>
          </w:tcPr>
          <w:p>
            <w:pPr>
              <w:jc w:val="left"/>
            </w:pPr>
            <w:r>
              <w:rPr>
                <w:b/>
                <w:bCs/>
                <w:color w:val="000000"/>
                <w:sz w:val="20"/>
                <w:szCs w:val="20"/>
              </w:rPr>
              <w:t xml:space="preserve">K. A. Yaniv</w:t>
            </w:r>
          </w:p>
        </w:tc>
        <w:tc>
          <w:tcPr>
            <w:tcW w:type="dxa" w:w="4600"/>
            <w:tcMar>
              <w:top w:type="dxa" w:w="80"/>
              <w:left w:type="dxa" w:w="120"/>
              <w:bottom w:type="dxa" w:w="80"/>
              <w:right w:type="dxa" w:w="120"/>
            </w:tcMar>
            <w:shd w:val="clear" w:fill="E8F5E9"/>
            <w:shd w:val="clear" w:fill="E8F5E9"/>
          </w:tcPr>
          <w:p>
            <w:r>
              <w:rPr>
                <w:b/>
                <w:sz w:val="22"/>
              </w:rPr>
              <w:t>Intégration de la méthodologie de simulation comportementale du référent loan-simulation (Duhamel), extension du périmètre Loader avec 17 UC formalisés UML couvrant les 3 types de vie simulée (commune, crédit APPROVED, crédit DECLINED/NOT SCORED), fenêtre historique 180 jours, réutilisation des fonctions de dates Duhamel. Ajouts : chapitre 6.5 Cas d'utilisation (17 UC), chapitre 6.6 Population et sous-populations, module 7.8 Simulation comportementale (EF-67 à EF-71), module 7.9 Alimentation des comptes financiers (EF-73 à EF-75), module 7.10 Vie commune et re-scoring (EF-76 à EF-80), 4 exigences non-fonctionnelles ENF-13 à ENF-16, 3 critères de recette CR-09, CR-10 et CR-12, contrainte CO-04, hypothèse H-06, risques R-09 et R-10, livrables L-11 et L-12, jalon J-08, Annexe D Méthodologie de simulation, Annexe E Catalogue produits crédit officiel (Nano, Macro, BNPL, ReadyToGo). Retraits (responsabilités transférées à ReadyScore) : anciens OBJ 07 rapport PAR/DPD, ancien EF 72 rapport Portfolio At Risk, ancien UC production rapport PAR/DPD, ancien CR 11 recette PAR/DPD.</w:t>
            </w:r>
          </w:p>
        </w:tc>
      </w:tr>
    </w:tbl>
    <w:p>
      <w:pPr>
        <w:spacing w:after="120"/>
        <w:jc w:val="both"/>
      </w:pPr>
      <w:r>
        <w:rPr>
          <w:b w:val="false"/>
          <w:bCs w:val="false"/>
          <w:i w:val="false"/>
          <w:iCs w:val="false"/>
          <w:sz w:val="22"/>
          <w:szCs w:val="22"/>
        </w:rPr>
        <w:t xml:space="preserve"/>
      </w:r>
    </w:p>
    <w:p>
      <w:pPr>
        <w:spacing w:after="120"/>
        <w:jc w:val="both"/>
      </w:pPr>
      <w:r>
        <w:rPr>
          <w:b w:val="false"/>
          <w:bCs w:val="false"/>
          <w:i/>
          <w:iCs/>
          <w:sz w:val="22"/>
          <w:szCs w:val="22"/>
        </w:rPr>
        <w:t xml:space="preserve">Les ajouts de la version 1.2 sont signalés dans le corps du document par un fond vert clair et une mention explicite « AJOUT V1.2 ». L'intégralité du contenu validé en version 1.1 est préservée.</w:t>
      </w:r>
    </w:p>
    <w:p>
      <w:r>
        <w:br w:type="page"/>
      </w:r>
    </w:p>
    <w:p>
      <w:pPr>
        <w:pStyle w:val="Heading1"/>
        <w:spacing w:after="240" w:before="480"/>
      </w:pPr>
      <w:r>
        <w:rPr>
          <w:b/>
          <w:bCs/>
          <w:color w:val="6B2E9E"/>
          <w:sz w:val="32"/>
          <w:szCs w:val="32"/>
        </w:rPr>
        <w:t xml:space="preserve">Sommaire</w:t>
      </w:r>
    </w:p>
    <w:p>
      <w:pPr>
        <w:spacing w:after="120"/>
        <w:jc w:val="both"/>
      </w:pPr>
      <w:r>
        <w:rPr>
          <w:b w:val="false"/>
          <w:bCs w:val="false"/>
          <w:i w:val="false"/>
          <w:iCs w:val="false"/>
          <w:sz w:val="22"/>
          <w:szCs w:val="22"/>
        </w:rPr>
        <w:t xml:space="preserve">1. Résumé exécutif</w:t>
      </w:r>
    </w:p>
    <w:p>
      <w:pPr>
        <w:spacing w:after="120"/>
        <w:jc w:val="both"/>
      </w:pPr>
      <w:r>
        <w:rPr>
          <w:b w:val="false"/>
          <w:bCs w:val="false"/>
          <w:i w:val="false"/>
          <w:iCs w:val="false"/>
          <w:sz w:val="22"/>
          <w:szCs w:val="22"/>
        </w:rPr>
        <w:t xml:space="preserve">2. Contexte et justification</w:t>
      </w:r>
    </w:p>
    <w:p>
      <w:pPr>
        <w:spacing w:after="120"/>
        <w:jc w:val="both"/>
      </w:pPr>
      <w:r>
        <w:rPr>
          <w:b w:val="false"/>
          <w:bCs w:val="false"/>
          <w:i w:val="false"/>
          <w:iCs w:val="false"/>
          <w:sz w:val="22"/>
          <w:szCs w:val="22"/>
        </w:rPr>
        <w:t xml:space="preserve">3. Objectifs du projet</w:t>
      </w:r>
    </w:p>
    <w:p>
      <w:pPr>
        <w:spacing w:after="120"/>
        <w:jc w:val="both"/>
      </w:pPr>
      <w:r>
        <w:rPr>
          <w:b w:val="false"/>
          <w:bCs w:val="false"/>
          <w:i w:val="false"/>
          <w:iCs w:val="false"/>
          <w:sz w:val="22"/>
          <w:szCs w:val="22"/>
        </w:rPr>
        <w:t xml:space="preserve">4. Périmètre</w:t>
      </w:r>
    </w:p>
    <w:p>
      <w:pPr>
        <w:spacing w:after="120"/>
        <w:jc w:val="both"/>
      </w:pPr>
      <w:r>
        <w:rPr>
          <w:b w:val="false"/>
          <w:bCs w:val="false"/>
          <w:i w:val="false"/>
          <w:iCs w:val="false"/>
          <w:sz w:val="22"/>
          <w:szCs w:val="22"/>
        </w:rPr>
        <w:t xml:space="preserve">5. Acteurs et parties prenantes</w:t>
      </w:r>
    </w:p>
    <w:p>
      <w:pPr>
        <w:spacing w:after="120"/>
        <w:jc w:val="both"/>
      </w:pPr>
      <w:r>
        <w:rPr>
          <w:b w:val="false"/>
          <w:bCs w:val="false"/>
          <w:i w:val="false"/>
          <w:iCs w:val="false"/>
          <w:sz w:val="22"/>
          <w:szCs w:val="22"/>
        </w:rPr>
        <w:t xml:space="preserve">6. Modèle métier</w:t>
      </w:r>
    </w:p>
    <w:p>
      <w:pPr>
        <w:pStyle w:val="Heading3"/>
        <w:shd w:val="clear" w:fill="E8F5E9"/>
      </w:pPr>
      <w:r>
        <w:rPr>
          <w:color w:val="6B2E9E"/>
          <w:b/>
        </w:rPr>
        <w:t xml:space="preserve">UC-05 — Chargement du référentiel géographique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Mar>
              <w:top w:type="dxa" w:w="100"/>
              <w:left w:type="dxa" w:w="120"/>
              <w:bottom w:type="dxa" w:w="100"/>
              <w:right w:type="dxa" w:w="120"/>
            </w:tcMar>
            <w:shd w:val="clear" w:fill="E8F5E9"/>
          </w:tcPr>
          <w:p>
            <w:pPr>
              <w:shd w:val="clear" w:fill="E8F5E9"/>
            </w:pPr>
            <w:r>
              <w:rPr>
                <w:sz w:val="22"/>
                <w:b/>
              </w:rPr>
              <w:t xml:space="preserve">Champ</w:t>
            </w:r>
          </w:p>
        </w:tc>
        <w:tc>
          <w:tcPr>
            <w:tcW w:type="dxa" w:w="6800"/>
            <w:tcMar>
              <w:top w:type="dxa" w:w="100"/>
              <w:left w:type="dxa" w:w="120"/>
              <w:bottom w:type="dxa" w:w="100"/>
              <w:right w:type="dxa" w:w="120"/>
            </w:tcMar>
            <w:shd w:val="clear" w:fill="E8F5E9"/>
          </w:tcPr>
          <w:p>
            <w:pPr>
              <w:shd w:val="clear" w:fill="E8F5E9"/>
            </w:pPr>
            <w:r>
              <w:rPr>
                <w:sz w:val="22"/>
                <w:b/>
              </w:rPr>
              <w:t xml:space="preserve">Contenu</w:t>
            </w:r>
          </w:p>
        </w:tc>
      </w:tr>
      <w:tr>
        <w:tc>
          <w:tcPr>
            <w:tcW w:type="dxa" w:w="2400"/>
            <w:tcMar>
              <w:top w:type="dxa" w:w="80"/>
              <w:left w:type="dxa" w:w="120"/>
              <w:bottom w:type="dxa" w:w="80"/>
              <w:right w:type="dxa" w:w="120"/>
            </w:tcMar>
            <w:shd w:val="clear" w:fill="E8F5E9"/>
          </w:tcPr>
          <w:p>
            <w:pPr>
              <w:shd w:val="clear" w:fill="E8F5E9"/>
            </w:pPr>
            <w:r>
              <w:rPr>
                <w:sz w:val="22"/>
                <w:b/>
              </w:rPr>
              <w:t xml:space="preserve">Acteur principal</w:t>
            </w:r>
          </w:p>
        </w:tc>
        <w:tc>
          <w:tcPr>
            <w:tcW w:type="dxa" w:w="6800"/>
            <w:tcMar>
              <w:top w:type="dxa" w:w="80"/>
              <w:left w:type="dxa" w:w="120"/>
              <w:bottom w:type="dxa" w:w="80"/>
              <w:right w:type="dxa" w:w="120"/>
            </w:tcMar>
            <w:shd w:val="clear" w:fill="E8F5E9"/>
          </w:tcPr>
          <w:p>
            <w:pPr>
              <w:shd w:val="clear" w:fill="E8F5E9"/>
            </w:pPr>
            <w:r>
              <w:rPr>
                <w:sz w:val="22"/>
              </w:rPr>
              <w:t xml:space="preserve">Loader (dans son rôle de chargeur de référentiel de base)</w:t>
            </w:r>
          </w:p>
        </w:tc>
      </w:tr>
      <w:tr>
        <w:tc>
          <w:tcPr>
            <w:tcW w:type="dxa" w:w="2400"/>
            <w:tcMar>
              <w:top w:type="dxa" w:w="80"/>
              <w:left w:type="dxa" w:w="120"/>
              <w:bottom w:type="dxa" w:w="80"/>
              <w:right w:type="dxa" w:w="120"/>
            </w:tcMar>
            <w:shd w:val="clear" w:fill="E8F5E9"/>
          </w:tcPr>
          <w:p>
            <w:pPr>
              <w:shd w:val="clear" w:fill="E8F5E9"/>
            </w:pPr>
            <w:r>
              <w:rPr>
                <w:sz w:val="22"/>
                <w:b/>
              </w:rPr>
              <w:t xml:space="preserve">Précondition</w:t>
            </w:r>
          </w:p>
        </w:tc>
        <w:tc>
          <w:tcPr>
            <w:tcW w:type="dxa" w:w="6800"/>
            <w:tcMar>
              <w:top w:type="dxa" w:w="80"/>
              <w:left w:type="dxa" w:w="120"/>
              <w:bottom w:type="dxa" w:w="80"/>
              <w:right w:type="dxa" w:w="120"/>
            </w:tcMar>
            <w:shd w:val="clear" w:fill="E8F5E9"/>
          </w:tcPr>
          <w:p>
            <w:pPr>
              <w:shd w:val="clear" w:fill="E8F5E9"/>
            </w:pPr>
            <w:r>
              <w:rPr>
                <w:sz w:val="22"/>
              </w:rPr>
              <w:t xml:space="preserve">Le fichier Loader_Base_FinZuu_v1.1.xlsx est disponible et accessible dans le dépôt du projet.</w:t>
            </w:r>
          </w:p>
        </w:tc>
      </w:tr>
      <w:tr>
        <w:tc>
          <w:tcPr>
            <w:tcW w:type="dxa" w:w="2400"/>
            <w:tcMar>
              <w:top w:type="dxa" w:w="80"/>
              <w:left w:type="dxa" w:w="120"/>
              <w:bottom w:type="dxa" w:w="80"/>
              <w:right w:type="dxa" w:w="120"/>
            </w:tcMar>
            <w:shd w:val="clear" w:fill="E8F5E9"/>
          </w:tcPr>
          <w:p>
            <w:pPr>
              <w:shd w:val="clear" w:fill="E8F5E9"/>
            </w:pPr>
            <w:r>
              <w:rPr>
                <w:sz w:val="22"/>
                <w:b/>
              </w:rPr>
              <w:t xml:space="preserve">Déclencheur</w:t>
            </w:r>
          </w:p>
        </w:tc>
        <w:tc>
          <w:tcPr>
            <w:tcW w:type="dxa" w:w="6800"/>
            <w:tcMar>
              <w:top w:type="dxa" w:w="80"/>
              <w:left w:type="dxa" w:w="120"/>
              <w:bottom w:type="dxa" w:w="80"/>
              <w:right w:type="dxa" w:w="120"/>
            </w:tcMar>
            <w:shd w:val="clear" w:fill="E8F5E9"/>
          </w:tcPr>
          <w:p>
            <w:pPr>
              <w:shd w:val="clear" w:fill="E8F5E9"/>
            </w:pPr>
            <w:r>
              <w:rPr>
                <w:sz w:val="22"/>
              </w:rPr>
              <w:t xml:space="preserve">Démarrage d'une exécution du Loader ou reprise après interruption.</w:t>
            </w:r>
          </w:p>
        </w:tc>
      </w:tr>
      <w:tr>
        <w:tc>
          <w:tcPr>
            <w:tcW w:type="dxa" w:w="2400"/>
            <w:tcMar>
              <w:top w:type="dxa" w:w="80"/>
              <w:left w:type="dxa" w:w="120"/>
              <w:bottom w:type="dxa" w:w="80"/>
              <w:right w:type="dxa" w:w="120"/>
            </w:tcMar>
            <w:shd w:val="clear" w:fill="E8F5E9"/>
          </w:tcPr>
          <w:p>
            <w:pPr>
              <w:shd w:val="clear" w:fill="E8F5E9"/>
            </w:pPr>
            <w:r>
              <w:rPr>
                <w:sz w:val="22"/>
                <w:b/>
              </w:rPr>
              <w:t xml:space="preserve">Postcondition</w:t>
            </w:r>
          </w:p>
        </w:tc>
        <w:tc>
          <w:tcPr>
            <w:tcW w:type="dxa" w:w="6800"/>
            <w:tcMar>
              <w:top w:type="dxa" w:w="80"/>
              <w:left w:type="dxa" w:w="120"/>
              <w:bottom w:type="dxa" w:w="80"/>
              <w:right w:type="dxa" w:w="120"/>
            </w:tcMar>
            <w:shd w:val="clear" w:fill="E8F5E9"/>
          </w:tcPr>
          <w:p>
            <w:pPr>
              <w:shd w:val="clear" w:fill="E8F5E9"/>
            </w:pPr>
            <w:r>
              <w:rPr>
                <w:sz w:val="22"/>
              </w:rPr>
              <w:t xml:space="preserve">Les 4 pays (CM, CI, BF, SN), 51 régions, 50 villes et 82 quartiers sont chargés en mémoire et disponibles pour tous les modules qui suivent.</w:t>
            </w:r>
          </w:p>
        </w:tc>
      </w:tr>
      <w:tr>
        <w:tc>
          <w:tcPr>
            <w:tcW w:type="dxa" w:w="2400"/>
            <w:tcMar>
              <w:top w:type="dxa" w:w="80"/>
              <w:left w:type="dxa" w:w="120"/>
              <w:bottom w:type="dxa" w:w="80"/>
              <w:right w:type="dxa" w:w="120"/>
            </w:tcMar>
            <w:shd w:val="clear" w:fill="E8F5E9"/>
          </w:tcPr>
          <w:p>
            <w:pPr>
              <w:shd w:val="clear" w:fill="E8F5E9"/>
            </w:pPr>
            <w:r>
              <w:rPr>
                <w:sz w:val="22"/>
                <w:b/>
              </w:rPr>
              <w:t xml:space="preserve">Scénario nominal</w:t>
            </w:r>
          </w:p>
        </w:tc>
        <w:tc>
          <w:tcPr>
            <w:tcW w:type="dxa" w:w="6800"/>
            <w:tcMar>
              <w:top w:type="dxa" w:w="80"/>
              <w:left w:type="dxa" w:w="120"/>
              <w:bottom w:type="dxa" w:w="80"/>
              <w:right w:type="dxa" w:w="120"/>
            </w:tcMar>
            <w:shd w:val="clear" w:fill="E8F5E9"/>
          </w:tcPr>
          <w:p>
            <w:pPr>
              <w:shd w:val="clear" w:fill="E8F5E9"/>
            </w:pPr>
            <w:r>
              <w:rPr>
                <w:sz w:val="22"/>
              </w:rPr>
              <w:t xml:space="preserve">1) Le Loader ouvre le fichier Loader_Base_FinZuu_v1.1.xlsx. 2) Il lit successivement les feuilles Countries, Regions, Cities, Districts. 3) Il valide la cohérence de la hiérarchie (chaque région rattachée à un pays existant, chaque ville rattachée à une région existante, chaque quartier rattaché à une ville existante). 4) Il indexe le référentiel pour un accès rapide par identifiant.</w:t>
            </w:r>
          </w:p>
        </w:tc>
      </w:tr>
      <w:tr>
        <w:tc>
          <w:tcPr>
            <w:tcW w:type="dxa" w:w="2400"/>
            <w:tcMar>
              <w:top w:type="dxa" w:w="80"/>
              <w:left w:type="dxa" w:w="120"/>
              <w:bottom w:type="dxa" w:w="80"/>
              <w:right w:type="dxa" w:w="120"/>
            </w:tcMar>
            <w:shd w:val="clear" w:fill="E8F5E9"/>
          </w:tcPr>
          <w:p>
            <w:pPr>
              <w:shd w:val="clear" w:fill="E8F5E9"/>
            </w:pPr>
            <w:r>
              <w:rPr>
                <w:sz w:val="22"/>
                <w:b/>
              </w:rPr>
              <w:t xml:space="preserve">Cas alternatif</w:t>
            </w:r>
          </w:p>
        </w:tc>
        <w:tc>
          <w:tcPr>
            <w:tcW w:type="dxa" w:w="6800"/>
            <w:tcMar>
              <w:top w:type="dxa" w:w="80"/>
              <w:left w:type="dxa" w:w="120"/>
              <w:bottom w:type="dxa" w:w="80"/>
              <w:right w:type="dxa" w:w="120"/>
            </w:tcMar>
            <w:shd w:val="clear" w:fill="E8F5E9"/>
          </w:tcPr>
          <w:p>
            <w:pPr>
              <w:shd w:val="clear" w:fill="E8F5E9"/>
            </w:pPr>
            <w:r>
              <w:rPr>
                <w:sz w:val="22"/>
              </w:rPr>
              <w:t xml:space="preserve">Si une entité de niveau supérieur (pays, région, ville) est référencée mais absente, le Loader journalise l'incohérence et exclut les entités enfants dépendantes.</w:t>
            </w:r>
          </w:p>
        </w:tc>
      </w:tr>
      <w:tr>
        <w:tc>
          <w:tcPr>
            <w:tcW w:type="dxa" w:w="2400"/>
            <w:tcMar>
              <w:top w:type="dxa" w:w="80"/>
              <w:left w:type="dxa" w:w="120"/>
              <w:bottom w:type="dxa" w:w="80"/>
              <w:right w:type="dxa" w:w="120"/>
            </w:tcMar>
            <w:shd w:val="clear" w:fill="E8F5E9"/>
          </w:tcPr>
          <w:p>
            <w:pPr>
              <w:shd w:val="clear" w:fill="E8F5E9"/>
            </w:pPr>
            <w:r>
              <w:rPr>
                <w:sz w:val="22"/>
                <w:b/>
              </w:rPr>
              <w:t xml:space="preserve">Exception</w:t>
            </w:r>
          </w:p>
        </w:tc>
        <w:tc>
          <w:tcPr>
            <w:tcW w:type="dxa" w:w="6800"/>
            <w:tcMar>
              <w:top w:type="dxa" w:w="80"/>
              <w:left w:type="dxa" w:w="120"/>
              <w:bottom w:type="dxa" w:w="80"/>
              <w:right w:type="dxa" w:w="120"/>
            </w:tcMar>
            <w:shd w:val="clear" w:fill="E8F5E9"/>
          </w:tcPr>
          <w:p>
            <w:pPr>
              <w:shd w:val="clear" w:fill="E8F5E9"/>
            </w:pPr>
            <w:r>
              <w:rPr>
                <w:sz w:val="22"/>
              </w:rPr>
              <w:t xml:space="preserve">Si le fichier Loader_Base_FinZuu_v1.1.xlsx est introuvable ou corrompu, l'exécution est interrompue avec journalisation explicite du chemin attendu.</w:t>
            </w:r>
          </w:p>
        </w:tc>
      </w:tr>
      <w:tr>
        <w:tc>
          <w:tcPr>
            <w:tcW w:type="dxa" w:w="2400"/>
            <w:tcMar>
              <w:top w:type="dxa" w:w="80"/>
              <w:left w:type="dxa" w:w="120"/>
              <w:bottom w:type="dxa" w:w="80"/>
              <w:right w:type="dxa" w:w="120"/>
            </w:tcMar>
            <w:shd w:val="clear" w:fill="E8F5E9"/>
          </w:tcPr>
          <w:p>
            <w:pPr>
              <w:shd w:val="clear" w:fill="E8F5E9"/>
            </w:pPr>
            <w:r>
              <w:rPr>
                <w:sz w:val="22"/>
                <w:b/>
              </w:rPr>
              <w:t xml:space="preserve">Exigences couvertes</w:t>
            </w:r>
          </w:p>
        </w:tc>
        <w:tc>
          <w:tcPr>
            <w:tcW w:type="dxa" w:w="6800"/>
            <w:tcMar>
              <w:top w:type="dxa" w:w="80"/>
              <w:left w:type="dxa" w:w="120"/>
              <w:bottom w:type="dxa" w:w="80"/>
              <w:right w:type="dxa" w:w="120"/>
            </w:tcMar>
            <w:shd w:val="clear" w:fill="E8F5E9"/>
          </w:tcPr>
          <w:p>
            <w:pPr>
              <w:shd w:val="clear" w:fill="E8F5E9"/>
            </w:pPr>
            <w:r>
              <w:rPr>
                <w:sz w:val="22"/>
              </w:rPr>
              <w:t xml:space="preserve">EF-01, EF-02, EF-03, EF-04, EF-05, EF-06</w:t>
            </w:r>
          </w:p>
        </w:tc>
      </w:tr>
    </w:tbl>
    <w:p/>
    <w:p>
      <w:pPr>
        <w:pStyle w:val="Heading3"/>
        <w:shd w:val="clear" w:fill="E8F5E9"/>
      </w:pPr>
      <w:r>
        <w:rPr>
          <w:color w:val="6B2E9E"/>
          <w:b/>
        </w:rPr>
        <w:t xml:space="preserve">UC-06 — Chargement des devises et opérateurs telco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Mar>
              <w:top w:type="dxa" w:w="100"/>
              <w:left w:type="dxa" w:w="120"/>
              <w:bottom w:type="dxa" w:w="100"/>
              <w:right w:type="dxa" w:w="120"/>
            </w:tcMar>
            <w:shd w:val="clear" w:fill="E8F5E9"/>
          </w:tcPr>
          <w:p>
            <w:pPr>
              <w:shd w:val="clear" w:fill="E8F5E9"/>
            </w:pPr>
            <w:r>
              <w:rPr>
                <w:sz w:val="22"/>
                <w:b/>
              </w:rPr>
              <w:t xml:space="preserve">Champ</w:t>
            </w:r>
          </w:p>
        </w:tc>
        <w:tc>
          <w:tcPr>
            <w:tcW w:type="dxa" w:w="6800"/>
            <w:tcMar>
              <w:top w:type="dxa" w:w="100"/>
              <w:left w:type="dxa" w:w="120"/>
              <w:bottom w:type="dxa" w:w="100"/>
              <w:right w:type="dxa" w:w="120"/>
            </w:tcMar>
            <w:shd w:val="clear" w:fill="E8F5E9"/>
          </w:tcPr>
          <w:p>
            <w:pPr>
              <w:shd w:val="clear" w:fill="E8F5E9"/>
            </w:pPr>
            <w:r>
              <w:rPr>
                <w:sz w:val="22"/>
                <w:b/>
              </w:rPr>
              <w:t xml:space="preserve">Contenu</w:t>
            </w:r>
          </w:p>
        </w:tc>
      </w:tr>
      <w:tr>
        <w:tc>
          <w:tcPr>
            <w:tcW w:type="dxa" w:w="2400"/>
            <w:tcMar>
              <w:top w:type="dxa" w:w="80"/>
              <w:left w:type="dxa" w:w="120"/>
              <w:bottom w:type="dxa" w:w="80"/>
              <w:right w:type="dxa" w:w="120"/>
            </w:tcMar>
            <w:shd w:val="clear" w:fill="E8F5E9"/>
          </w:tcPr>
          <w:p>
            <w:pPr>
              <w:shd w:val="clear" w:fill="E8F5E9"/>
            </w:pPr>
            <w:r>
              <w:rPr>
                <w:sz w:val="22"/>
                <w:b/>
              </w:rPr>
              <w:t xml:space="preserve">Acteur principal</w:t>
            </w:r>
          </w:p>
        </w:tc>
        <w:tc>
          <w:tcPr>
            <w:tcW w:type="dxa" w:w="6800"/>
            <w:tcMar>
              <w:top w:type="dxa" w:w="80"/>
              <w:left w:type="dxa" w:w="120"/>
              <w:bottom w:type="dxa" w:w="80"/>
              <w:right w:type="dxa" w:w="120"/>
            </w:tcMar>
            <w:shd w:val="clear" w:fill="E8F5E9"/>
          </w:tcPr>
          <w:p>
            <w:pPr>
              <w:shd w:val="clear" w:fill="E8F5E9"/>
            </w:pPr>
            <w:r>
              <w:rPr>
                <w:sz w:val="22"/>
              </w:rPr>
              <w:t xml:space="preserve">Loader (dans son rôle de chargeur de référentiel financier et de communication)</w:t>
            </w:r>
          </w:p>
        </w:tc>
      </w:tr>
      <w:tr>
        <w:tc>
          <w:tcPr>
            <w:tcW w:type="dxa" w:w="2400"/>
            <w:tcMar>
              <w:top w:type="dxa" w:w="80"/>
              <w:left w:type="dxa" w:w="120"/>
              <w:bottom w:type="dxa" w:w="80"/>
              <w:right w:type="dxa" w:w="120"/>
            </w:tcMar>
            <w:shd w:val="clear" w:fill="E8F5E9"/>
          </w:tcPr>
          <w:p>
            <w:pPr>
              <w:shd w:val="clear" w:fill="E8F5E9"/>
            </w:pPr>
            <w:r>
              <w:rPr>
                <w:sz w:val="22"/>
                <w:b/>
              </w:rPr>
              <w:t xml:space="preserve">Précondition</w:t>
            </w:r>
          </w:p>
        </w:tc>
        <w:tc>
          <w:tcPr>
            <w:tcW w:type="dxa" w:w="6800"/>
            <w:tcMar>
              <w:top w:type="dxa" w:w="80"/>
              <w:left w:type="dxa" w:w="120"/>
              <w:bottom w:type="dxa" w:w="80"/>
              <w:right w:type="dxa" w:w="120"/>
            </w:tcMar>
            <w:shd w:val="clear" w:fill="E8F5E9"/>
          </w:tcPr>
          <w:p>
            <w:pPr>
              <w:shd w:val="clear" w:fill="E8F5E9"/>
            </w:pPr>
            <w:r>
              <w:rPr>
                <w:sz w:val="22"/>
              </w:rPr>
              <w:t xml:space="preserve">Le référentiel géographique (UC-05) est chargé.</w:t>
            </w:r>
          </w:p>
        </w:tc>
      </w:tr>
      <w:tr>
        <w:tc>
          <w:tcPr>
            <w:tcW w:type="dxa" w:w="2400"/>
            <w:tcMar>
              <w:top w:type="dxa" w:w="80"/>
              <w:left w:type="dxa" w:w="120"/>
              <w:bottom w:type="dxa" w:w="80"/>
              <w:right w:type="dxa" w:w="120"/>
            </w:tcMar>
            <w:shd w:val="clear" w:fill="E8F5E9"/>
          </w:tcPr>
          <w:p>
            <w:pPr>
              <w:shd w:val="clear" w:fill="E8F5E9"/>
            </w:pPr>
            <w:r>
              <w:rPr>
                <w:sz w:val="22"/>
                <w:b/>
              </w:rPr>
              <w:t xml:space="preserve">Déclencheur</w:t>
            </w:r>
          </w:p>
        </w:tc>
        <w:tc>
          <w:tcPr>
            <w:tcW w:type="dxa" w:w="6800"/>
            <w:tcMar>
              <w:top w:type="dxa" w:w="80"/>
              <w:left w:type="dxa" w:w="120"/>
              <w:bottom w:type="dxa" w:w="80"/>
              <w:right w:type="dxa" w:w="120"/>
            </w:tcMar>
            <w:shd w:val="clear" w:fill="E8F5E9"/>
          </w:tcPr>
          <w:p>
            <w:pPr>
              <w:shd w:val="clear" w:fill="E8F5E9"/>
            </w:pPr>
            <w:r>
              <w:rPr>
                <w:sz w:val="22"/>
              </w:rPr>
              <w:t xml:space="preserve">Poursuite de l'initialisation après UC-05.</w:t>
            </w:r>
          </w:p>
        </w:tc>
      </w:tr>
      <w:tr>
        <w:tc>
          <w:tcPr>
            <w:tcW w:type="dxa" w:w="2400"/>
            <w:tcMar>
              <w:top w:type="dxa" w:w="80"/>
              <w:left w:type="dxa" w:w="120"/>
              <w:bottom w:type="dxa" w:w="80"/>
              <w:right w:type="dxa" w:w="120"/>
            </w:tcMar>
            <w:shd w:val="clear" w:fill="E8F5E9"/>
          </w:tcPr>
          <w:p>
            <w:pPr>
              <w:shd w:val="clear" w:fill="E8F5E9"/>
            </w:pPr>
            <w:r>
              <w:rPr>
                <w:sz w:val="22"/>
                <w:b/>
              </w:rPr>
              <w:t xml:space="preserve">Postcondition</w:t>
            </w:r>
          </w:p>
        </w:tc>
        <w:tc>
          <w:tcPr>
            <w:tcW w:type="dxa" w:w="6800"/>
            <w:tcMar>
              <w:top w:type="dxa" w:w="80"/>
              <w:left w:type="dxa" w:w="120"/>
              <w:bottom w:type="dxa" w:w="80"/>
              <w:right w:type="dxa" w:w="120"/>
            </w:tcMar>
            <w:shd w:val="clear" w:fill="E8F5E9"/>
          </w:tcPr>
          <w:p>
            <w:pPr>
              <w:shd w:val="clear" w:fill="E8F5E9"/>
            </w:pPr>
            <w:r>
              <w:rPr>
                <w:sz w:val="22"/>
              </w:rPr>
              <w:t xml:space="preserve">Les 2 devises (XAF, XOF) et 12 opérateurs telco (MTN, Orange, Camtel, Moov, Telecel, Free, Expresso) sont chargés avec leurs regex MSISDN, MNC, MCC et parts de marché.</w:t>
            </w:r>
          </w:p>
        </w:tc>
      </w:tr>
      <w:tr>
        <w:tc>
          <w:tcPr>
            <w:tcW w:type="dxa" w:w="2400"/>
            <w:tcMar>
              <w:top w:type="dxa" w:w="80"/>
              <w:left w:type="dxa" w:w="120"/>
              <w:bottom w:type="dxa" w:w="80"/>
              <w:right w:type="dxa" w:w="120"/>
            </w:tcMar>
            <w:shd w:val="clear" w:fill="E8F5E9"/>
          </w:tcPr>
          <w:p>
            <w:pPr>
              <w:shd w:val="clear" w:fill="E8F5E9"/>
            </w:pPr>
            <w:r>
              <w:rPr>
                <w:sz w:val="22"/>
                <w:b/>
              </w:rPr>
              <w:t xml:space="preserve">Scénario nominal</w:t>
            </w:r>
          </w:p>
        </w:tc>
        <w:tc>
          <w:tcPr>
            <w:tcW w:type="dxa" w:w="6800"/>
            <w:tcMar>
              <w:top w:type="dxa" w:w="80"/>
              <w:left w:type="dxa" w:w="120"/>
              <w:bottom w:type="dxa" w:w="80"/>
              <w:right w:type="dxa" w:w="120"/>
            </w:tcMar>
            <w:shd w:val="clear" w:fill="E8F5E9"/>
          </w:tcPr>
          <w:p>
            <w:pPr>
              <w:shd w:val="clear" w:fill="E8F5E9"/>
            </w:pPr>
            <w:r>
              <w:rPr>
                <w:sz w:val="22"/>
              </w:rPr>
              <w:t xml:space="preserve">1) Le Loader lit les feuilles Currencies et Telcos du fichier Loader_Base. 2) Il associe chaque devise à sa zone monétaire (BEAC/CEMAC pour XAF, BCEAO/UEMOA pour XOF). 3) Il associe chaque opérateur telco à son pays via country_iso2. 4) Il compile les expressions régulières MSISDN pour validation ultérieure.</w:t>
            </w:r>
          </w:p>
        </w:tc>
      </w:tr>
      <w:tr>
        <w:tc>
          <w:tcPr>
            <w:tcW w:type="dxa" w:w="2400"/>
            <w:tcMar>
              <w:top w:type="dxa" w:w="80"/>
              <w:left w:type="dxa" w:w="120"/>
              <w:bottom w:type="dxa" w:w="80"/>
              <w:right w:type="dxa" w:w="120"/>
            </w:tcMar>
            <w:shd w:val="clear" w:fill="E8F5E9"/>
          </w:tcPr>
          <w:p>
            <w:pPr>
              <w:shd w:val="clear" w:fill="E8F5E9"/>
            </w:pPr>
            <w:r>
              <w:rPr>
                <w:sz w:val="22"/>
                <w:b/>
              </w:rPr>
              <w:t xml:space="preserve">Cas alternatif</w:t>
            </w:r>
          </w:p>
        </w:tc>
        <w:tc>
          <w:tcPr>
            <w:tcW w:type="dxa" w:w="6800"/>
            <w:tcMar>
              <w:top w:type="dxa" w:w="80"/>
              <w:left w:type="dxa" w:w="120"/>
              <w:bottom w:type="dxa" w:w="80"/>
              <w:right w:type="dxa" w:w="120"/>
            </w:tcMar>
            <w:shd w:val="clear" w:fill="E8F5E9"/>
          </w:tcPr>
          <w:p>
            <w:pPr>
              <w:shd w:val="clear" w:fill="E8F5E9"/>
            </w:pPr>
            <w:r>
              <w:rPr>
                <w:sz w:val="22"/>
              </w:rPr>
              <w:t xml:space="preserve">Si un opérateur telco est référencé sans regex MSISDN, il est marqué inactif pour la génération de nouveaux clients.</w:t>
            </w:r>
          </w:p>
        </w:tc>
      </w:tr>
      <w:tr>
        <w:tc>
          <w:tcPr>
            <w:tcW w:type="dxa" w:w="2400"/>
            <w:tcMar>
              <w:top w:type="dxa" w:w="80"/>
              <w:left w:type="dxa" w:w="120"/>
              <w:bottom w:type="dxa" w:w="80"/>
              <w:right w:type="dxa" w:w="120"/>
            </w:tcMar>
            <w:shd w:val="clear" w:fill="E8F5E9"/>
          </w:tcPr>
          <w:p>
            <w:pPr>
              <w:shd w:val="clear" w:fill="E8F5E9"/>
            </w:pPr>
            <w:r>
              <w:rPr>
                <w:sz w:val="22"/>
                <w:b/>
              </w:rPr>
              <w:t xml:space="preserve">Exception</w:t>
            </w:r>
          </w:p>
        </w:tc>
        <w:tc>
          <w:tcPr>
            <w:tcW w:type="dxa" w:w="6800"/>
            <w:tcMar>
              <w:top w:type="dxa" w:w="80"/>
              <w:left w:type="dxa" w:w="120"/>
              <w:bottom w:type="dxa" w:w="80"/>
              <w:right w:type="dxa" w:w="120"/>
            </w:tcMar>
            <w:shd w:val="clear" w:fill="E8F5E9"/>
          </w:tcPr>
          <w:p>
            <w:pPr>
              <w:shd w:val="clear" w:fill="E8F5E9"/>
            </w:pPr>
            <w:r>
              <w:rPr>
                <w:sz w:val="22"/>
              </w:rPr>
              <w:t xml:space="preserve">Si aucun opérateur n'existe pour un pays donné, la génération de clients dans ce pays est bloquée.</w:t>
            </w:r>
          </w:p>
        </w:tc>
      </w:tr>
      <w:tr>
        <w:tc>
          <w:tcPr>
            <w:tcW w:type="dxa" w:w="2400"/>
            <w:tcMar>
              <w:top w:type="dxa" w:w="80"/>
              <w:left w:type="dxa" w:w="120"/>
              <w:bottom w:type="dxa" w:w="80"/>
              <w:right w:type="dxa" w:w="120"/>
            </w:tcMar>
            <w:shd w:val="clear" w:fill="E8F5E9"/>
          </w:tcPr>
          <w:p>
            <w:pPr>
              <w:shd w:val="clear" w:fill="E8F5E9"/>
            </w:pPr>
            <w:r>
              <w:rPr>
                <w:sz w:val="22"/>
                <w:b/>
              </w:rPr>
              <w:t xml:space="preserve">Exigences couvertes</w:t>
            </w:r>
          </w:p>
        </w:tc>
        <w:tc>
          <w:tcPr>
            <w:tcW w:type="dxa" w:w="6800"/>
            <w:tcMar>
              <w:top w:type="dxa" w:w="80"/>
              <w:left w:type="dxa" w:w="120"/>
              <w:bottom w:type="dxa" w:w="80"/>
              <w:right w:type="dxa" w:w="120"/>
            </w:tcMar>
            <w:shd w:val="clear" w:fill="E8F5E9"/>
          </w:tcPr>
          <w:p>
            <w:pPr>
              <w:shd w:val="clear" w:fill="E8F5E9"/>
            </w:pPr>
            <w:r>
              <w:rPr>
                <w:sz w:val="22"/>
              </w:rPr>
              <w:t xml:space="preserve">EF-01, EF-05</w:t>
            </w:r>
          </w:p>
        </w:tc>
      </w:tr>
    </w:tbl>
    <w:p/>
    <w:p>
      <w:pPr>
        <w:pStyle w:val="Heading3"/>
        <w:shd w:val="clear" w:fill="E8F5E9"/>
      </w:pPr>
      <w:r>
        <w:rPr>
          <w:color w:val="6B2E9E"/>
          <w:b/>
        </w:rPr>
        <w:t xml:space="preserve">UC-07 — Génération des Companies typées avec licences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Mar>
              <w:top w:type="dxa" w:w="100"/>
              <w:left w:type="dxa" w:w="120"/>
              <w:bottom w:type="dxa" w:w="100"/>
              <w:right w:type="dxa" w:w="120"/>
            </w:tcMar>
            <w:shd w:val="clear" w:fill="E8F5E9"/>
          </w:tcPr>
          <w:p>
            <w:pPr>
              <w:shd w:val="clear" w:fill="E8F5E9"/>
            </w:pPr>
            <w:r>
              <w:rPr>
                <w:sz w:val="22"/>
                <w:b/>
              </w:rPr>
              <w:t xml:space="preserve">Champ</w:t>
            </w:r>
          </w:p>
        </w:tc>
        <w:tc>
          <w:tcPr>
            <w:tcW w:type="dxa" w:w="6800"/>
            <w:tcMar>
              <w:top w:type="dxa" w:w="100"/>
              <w:left w:type="dxa" w:w="120"/>
              <w:bottom w:type="dxa" w:w="100"/>
              <w:right w:type="dxa" w:w="120"/>
            </w:tcMar>
            <w:shd w:val="clear" w:fill="E8F5E9"/>
          </w:tcPr>
          <w:p>
            <w:pPr>
              <w:shd w:val="clear" w:fill="E8F5E9"/>
            </w:pPr>
            <w:r>
              <w:rPr>
                <w:sz w:val="22"/>
                <w:b/>
              </w:rPr>
              <w:t xml:space="preserve">Contenu</w:t>
            </w:r>
          </w:p>
        </w:tc>
      </w:tr>
      <w:tr>
        <w:tc>
          <w:tcPr>
            <w:tcW w:type="dxa" w:w="2400"/>
            <w:tcMar>
              <w:top w:type="dxa" w:w="80"/>
              <w:left w:type="dxa" w:w="120"/>
              <w:bottom w:type="dxa" w:w="80"/>
              <w:right w:type="dxa" w:w="120"/>
            </w:tcMar>
            <w:shd w:val="clear" w:fill="E8F5E9"/>
          </w:tcPr>
          <w:p>
            <w:pPr>
              <w:shd w:val="clear" w:fill="E8F5E9"/>
            </w:pPr>
            <w:r>
              <w:rPr>
                <w:sz w:val="22"/>
                <w:b/>
              </w:rPr>
              <w:t xml:space="preserve">Acteur principal</w:t>
            </w:r>
          </w:p>
        </w:tc>
        <w:tc>
          <w:tcPr>
            <w:tcW w:type="dxa" w:w="6800"/>
            <w:tcMar>
              <w:top w:type="dxa" w:w="80"/>
              <w:left w:type="dxa" w:w="120"/>
              <w:bottom w:type="dxa" w:w="80"/>
              <w:right w:type="dxa" w:w="120"/>
            </w:tcMar>
            <w:shd w:val="clear" w:fill="E8F5E9"/>
          </w:tcPr>
          <w:p>
            <w:pPr>
              <w:shd w:val="clear" w:fill="E8F5E9"/>
            </w:pPr>
            <w:r>
              <w:rPr>
                <w:sz w:val="22"/>
              </w:rPr>
              <w:t xml:space="preserve">Loader (dans son rôle de générateur d'écosystème organisationnel)</w:t>
            </w:r>
          </w:p>
        </w:tc>
      </w:tr>
      <w:tr>
        <w:tc>
          <w:tcPr>
            <w:tcW w:type="dxa" w:w="2400"/>
            <w:tcMar>
              <w:top w:type="dxa" w:w="80"/>
              <w:left w:type="dxa" w:w="120"/>
              <w:bottom w:type="dxa" w:w="80"/>
              <w:right w:type="dxa" w:w="120"/>
            </w:tcMar>
            <w:shd w:val="clear" w:fill="E8F5E9"/>
          </w:tcPr>
          <w:p>
            <w:pPr>
              <w:shd w:val="clear" w:fill="E8F5E9"/>
            </w:pPr>
            <w:r>
              <w:rPr>
                <w:sz w:val="22"/>
                <w:b/>
              </w:rPr>
              <w:t xml:space="preserve">Précondition</w:t>
            </w:r>
          </w:p>
        </w:tc>
        <w:tc>
          <w:tcPr>
            <w:tcW w:type="dxa" w:w="6800"/>
            <w:tcMar>
              <w:top w:type="dxa" w:w="80"/>
              <w:left w:type="dxa" w:w="120"/>
              <w:bottom w:type="dxa" w:w="80"/>
              <w:right w:type="dxa" w:w="120"/>
            </w:tcMar>
            <w:shd w:val="clear" w:fill="E8F5E9"/>
          </w:tcPr>
          <w:p>
            <w:pPr>
              <w:shd w:val="clear" w:fill="E8F5E9"/>
            </w:pPr>
            <w:r>
              <w:rPr>
                <w:sz w:val="22"/>
              </w:rPr>
              <w:t xml:space="preserve">Le référentiel géographique et les devises sont chargés.</w:t>
            </w:r>
          </w:p>
        </w:tc>
      </w:tr>
      <w:tr>
        <w:tc>
          <w:tcPr>
            <w:tcW w:type="dxa" w:w="2400"/>
            <w:tcMar>
              <w:top w:type="dxa" w:w="80"/>
              <w:left w:type="dxa" w:w="120"/>
              <w:bottom w:type="dxa" w:w="80"/>
              <w:right w:type="dxa" w:w="120"/>
            </w:tcMar>
            <w:shd w:val="clear" w:fill="E8F5E9"/>
          </w:tcPr>
          <w:p>
            <w:pPr>
              <w:shd w:val="clear" w:fill="E8F5E9"/>
            </w:pPr>
            <w:r>
              <w:rPr>
                <w:sz w:val="22"/>
                <w:b/>
              </w:rPr>
              <w:t xml:space="preserve">Déclencheur</w:t>
            </w:r>
          </w:p>
        </w:tc>
        <w:tc>
          <w:tcPr>
            <w:tcW w:type="dxa" w:w="6800"/>
            <w:tcMar>
              <w:top w:type="dxa" w:w="80"/>
              <w:left w:type="dxa" w:w="120"/>
              <w:bottom w:type="dxa" w:w="80"/>
              <w:right w:type="dxa" w:w="120"/>
            </w:tcMar>
            <w:shd w:val="clear" w:fill="E8F5E9"/>
          </w:tcPr>
          <w:p>
            <w:pPr>
              <w:shd w:val="clear" w:fill="E8F5E9"/>
            </w:pPr>
            <w:r>
              <w:rPr>
                <w:sz w:val="22"/>
              </w:rPr>
              <w:t xml:space="preserve">Phase de génération de l'écosystème organisationnel.</w:t>
            </w:r>
          </w:p>
        </w:tc>
      </w:tr>
      <w:tr>
        <w:tc>
          <w:tcPr>
            <w:tcW w:type="dxa" w:w="2400"/>
            <w:tcMar>
              <w:top w:type="dxa" w:w="80"/>
              <w:left w:type="dxa" w:w="120"/>
              <w:bottom w:type="dxa" w:w="80"/>
              <w:right w:type="dxa" w:w="120"/>
            </w:tcMar>
            <w:shd w:val="clear" w:fill="E8F5E9"/>
          </w:tcPr>
          <w:p>
            <w:pPr>
              <w:shd w:val="clear" w:fill="E8F5E9"/>
            </w:pPr>
            <w:r>
              <w:rPr>
                <w:sz w:val="22"/>
                <w:b/>
              </w:rPr>
              <w:t xml:space="preserve">Postcondition</w:t>
            </w:r>
          </w:p>
        </w:tc>
        <w:tc>
          <w:tcPr>
            <w:tcW w:type="dxa" w:w="6800"/>
            <w:tcMar>
              <w:top w:type="dxa" w:w="80"/>
              <w:left w:type="dxa" w:w="120"/>
              <w:bottom w:type="dxa" w:w="80"/>
              <w:right w:type="dxa" w:w="120"/>
            </w:tcMar>
            <w:shd w:val="clear" w:fill="E8F5E9"/>
          </w:tcPr>
          <w:p>
            <w:pPr>
              <w:shd w:val="clear" w:fill="E8F5E9"/>
            </w:pPr>
            <w:r>
              <w:rPr>
                <w:sz w:val="22"/>
              </w:rPr>
              <w:t xml:space="preserve">Entre 3 et 5 Companies par pays sont créées, chacune ayant un type (IMF, Banque, Fondation, Fonds institutionnel, Merchant, Agence, Kiosque) et une licence active parmi les 4 packages (READY_CASH, READY_COLLECTE, BULK, ALL).</w:t>
            </w:r>
          </w:p>
        </w:tc>
      </w:tr>
      <w:tr>
        <w:tc>
          <w:tcPr>
            <w:tcW w:type="dxa" w:w="2400"/>
            <w:tcMar>
              <w:top w:type="dxa" w:w="80"/>
              <w:left w:type="dxa" w:w="120"/>
              <w:bottom w:type="dxa" w:w="80"/>
              <w:right w:type="dxa" w:w="120"/>
            </w:tcMar>
            <w:shd w:val="clear" w:fill="E8F5E9"/>
          </w:tcPr>
          <w:p>
            <w:pPr>
              <w:shd w:val="clear" w:fill="E8F5E9"/>
            </w:pPr>
            <w:r>
              <w:rPr>
                <w:sz w:val="22"/>
                <w:b/>
              </w:rPr>
              <w:t xml:space="preserve">Scénario nominal</w:t>
            </w:r>
          </w:p>
        </w:tc>
        <w:tc>
          <w:tcPr>
            <w:tcW w:type="dxa" w:w="6800"/>
            <w:tcMar>
              <w:top w:type="dxa" w:w="80"/>
              <w:left w:type="dxa" w:w="120"/>
              <w:bottom w:type="dxa" w:w="80"/>
              <w:right w:type="dxa" w:w="120"/>
            </w:tcMar>
            <w:shd w:val="clear" w:fill="E8F5E9"/>
          </w:tcPr>
          <w:p>
            <w:pPr>
              <w:shd w:val="clear" w:fill="E8F5E9"/>
            </w:pPr>
            <w:r>
              <w:rPr>
                <w:sz w:val="22"/>
              </w:rPr>
              <w:t xml:space="preserve">1) Le Loader instancie chaque Company avec un identifiant préfixé DEMO_. 2) Il rattache chaque Company à une région d'un des 4 pays. 3) Il choisit un type parmi les 7 selon la distribution empirique du Faker (Entreprise Individuelle 24%, SA 21%, SARL 19%, SAS 16%, Fondation 13%, Association 7%). 4) Il attribue une licence avec un package et une période de validité couvrant la fenêtre historique 180 jours plus 30 jours à venir.</w:t>
            </w:r>
          </w:p>
        </w:tc>
      </w:tr>
      <w:tr>
        <w:tc>
          <w:tcPr>
            <w:tcW w:type="dxa" w:w="2400"/>
            <w:tcMar>
              <w:top w:type="dxa" w:w="80"/>
              <w:left w:type="dxa" w:w="120"/>
              <w:bottom w:type="dxa" w:w="80"/>
              <w:right w:type="dxa" w:w="120"/>
            </w:tcMar>
            <w:shd w:val="clear" w:fill="E8F5E9"/>
          </w:tcPr>
          <w:p>
            <w:pPr>
              <w:shd w:val="clear" w:fill="E8F5E9"/>
            </w:pPr>
            <w:r>
              <w:rPr>
                <w:sz w:val="22"/>
                <w:b/>
              </w:rPr>
              <w:t xml:space="preserve">Cas alternatif</w:t>
            </w:r>
          </w:p>
        </w:tc>
        <w:tc>
          <w:tcPr>
            <w:tcW w:type="dxa" w:w="6800"/>
            <w:tcMar>
              <w:top w:type="dxa" w:w="80"/>
              <w:left w:type="dxa" w:w="120"/>
              <w:bottom w:type="dxa" w:w="80"/>
              <w:right w:type="dxa" w:w="120"/>
            </w:tcMar>
            <w:shd w:val="clear" w:fill="E8F5E9"/>
          </w:tcPr>
          <w:p>
            <w:pPr>
              <w:shd w:val="clear" w:fill="E8F5E9"/>
            </w:pPr>
            <w:r>
              <w:rPr>
                <w:sz w:val="22"/>
              </w:rPr>
              <w:t xml:space="preserve">Si le compte de génération journalière (3 sociétés/jour minimum) n'est pas atteint, le Loader complète en priorisant les pays sous-représentés.</w:t>
            </w:r>
          </w:p>
        </w:tc>
      </w:tr>
      <w:tr>
        <w:tc>
          <w:tcPr>
            <w:tcW w:type="dxa" w:w="2400"/>
            <w:tcMar>
              <w:top w:type="dxa" w:w="80"/>
              <w:left w:type="dxa" w:w="120"/>
              <w:bottom w:type="dxa" w:w="80"/>
              <w:right w:type="dxa" w:w="120"/>
            </w:tcMar>
            <w:shd w:val="clear" w:fill="E8F5E9"/>
          </w:tcPr>
          <w:p>
            <w:pPr>
              <w:shd w:val="clear" w:fill="E8F5E9"/>
            </w:pPr>
            <w:r>
              <w:rPr>
                <w:sz w:val="22"/>
                <w:b/>
              </w:rPr>
              <w:t xml:space="preserve">Exception</w:t>
            </w:r>
          </w:p>
        </w:tc>
        <w:tc>
          <w:tcPr>
            <w:tcW w:type="dxa" w:w="6800"/>
            <w:tcMar>
              <w:top w:type="dxa" w:w="80"/>
              <w:left w:type="dxa" w:w="120"/>
              <w:bottom w:type="dxa" w:w="80"/>
              <w:right w:type="dxa" w:w="120"/>
            </w:tcMar>
            <w:shd w:val="clear" w:fill="E8F5E9"/>
          </w:tcPr>
          <w:p>
            <w:pPr>
              <w:shd w:val="clear" w:fill="E8F5E9"/>
            </w:pPr>
            <w:r>
              <w:rPr>
                <w:sz w:val="22"/>
              </w:rPr>
              <w:t xml:space="preserve">Si la création d'une Company échoue en base, le Loader journalise l'erreur et poursuit avec la Company suivante.</w:t>
            </w:r>
          </w:p>
        </w:tc>
      </w:tr>
      <w:tr>
        <w:tc>
          <w:tcPr>
            <w:tcW w:type="dxa" w:w="2400"/>
            <w:tcMar>
              <w:top w:type="dxa" w:w="80"/>
              <w:left w:type="dxa" w:w="120"/>
              <w:bottom w:type="dxa" w:w="80"/>
              <w:right w:type="dxa" w:w="120"/>
            </w:tcMar>
            <w:shd w:val="clear" w:fill="E8F5E9"/>
          </w:tcPr>
          <w:p>
            <w:pPr>
              <w:shd w:val="clear" w:fill="E8F5E9"/>
            </w:pPr>
            <w:r>
              <w:rPr>
                <w:sz w:val="22"/>
                <w:b/>
              </w:rPr>
              <w:t xml:space="preserve">Exigences couvertes</w:t>
            </w:r>
          </w:p>
        </w:tc>
        <w:tc>
          <w:tcPr>
            <w:tcW w:type="dxa" w:w="6800"/>
            <w:tcMar>
              <w:top w:type="dxa" w:w="80"/>
              <w:left w:type="dxa" w:w="120"/>
              <w:bottom w:type="dxa" w:w="80"/>
              <w:right w:type="dxa" w:w="120"/>
            </w:tcMar>
            <w:shd w:val="clear" w:fill="E8F5E9"/>
          </w:tcPr>
          <w:p>
            <w:pPr>
              <w:shd w:val="clear" w:fill="E8F5E9"/>
            </w:pPr>
            <w:r>
              <w:rPr>
                <w:sz w:val="22"/>
              </w:rPr>
              <w:t xml:space="preserve">EF-10, EF-11, EF-12, EF-13</w:t>
            </w:r>
          </w:p>
        </w:tc>
      </w:tr>
    </w:tbl>
    <w:p/>
    <w:p>
      <w:pPr>
        <w:pStyle w:val="Heading3"/>
        <w:shd w:val="clear" w:fill="E8F5E9"/>
      </w:pPr>
      <w:r>
        <w:rPr>
          <w:color w:val="6B2E9E"/>
          <w:b/>
        </w:rPr>
        <w:t xml:space="preserve">UC-08 — Génération des Lenders locaux et institutionnels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Mar>
              <w:top w:type="dxa" w:w="100"/>
              <w:left w:type="dxa" w:w="120"/>
              <w:bottom w:type="dxa" w:w="100"/>
              <w:right w:type="dxa" w:w="120"/>
            </w:tcMar>
            <w:shd w:val="clear" w:fill="E8F5E9"/>
          </w:tcPr>
          <w:p>
            <w:pPr>
              <w:shd w:val="clear" w:fill="E8F5E9"/>
            </w:pPr>
            <w:r>
              <w:rPr>
                <w:sz w:val="22"/>
                <w:b/>
              </w:rPr>
              <w:t xml:space="preserve">Champ</w:t>
            </w:r>
          </w:p>
        </w:tc>
        <w:tc>
          <w:tcPr>
            <w:tcW w:type="dxa" w:w="6800"/>
            <w:tcMar>
              <w:top w:type="dxa" w:w="100"/>
              <w:left w:type="dxa" w:w="120"/>
              <w:bottom w:type="dxa" w:w="100"/>
              <w:right w:type="dxa" w:w="120"/>
            </w:tcMar>
            <w:shd w:val="clear" w:fill="E8F5E9"/>
          </w:tcPr>
          <w:p>
            <w:pPr>
              <w:shd w:val="clear" w:fill="E8F5E9"/>
            </w:pPr>
            <w:r>
              <w:rPr>
                <w:sz w:val="22"/>
                <w:b/>
              </w:rPr>
              <w:t xml:space="preserve">Contenu</w:t>
            </w:r>
          </w:p>
        </w:tc>
      </w:tr>
      <w:tr>
        <w:tc>
          <w:tcPr>
            <w:tcW w:type="dxa" w:w="2400"/>
            <w:tcMar>
              <w:top w:type="dxa" w:w="80"/>
              <w:left w:type="dxa" w:w="120"/>
              <w:bottom w:type="dxa" w:w="80"/>
              <w:right w:type="dxa" w:w="120"/>
            </w:tcMar>
            <w:shd w:val="clear" w:fill="E8F5E9"/>
          </w:tcPr>
          <w:p>
            <w:pPr>
              <w:shd w:val="clear" w:fill="E8F5E9"/>
            </w:pPr>
            <w:r>
              <w:rPr>
                <w:sz w:val="22"/>
                <w:b/>
              </w:rPr>
              <w:t xml:space="preserve">Acteur principal</w:t>
            </w:r>
          </w:p>
        </w:tc>
        <w:tc>
          <w:tcPr>
            <w:tcW w:type="dxa" w:w="6800"/>
            <w:tcMar>
              <w:top w:type="dxa" w:w="80"/>
              <w:left w:type="dxa" w:w="120"/>
              <w:bottom w:type="dxa" w:w="80"/>
              <w:right w:type="dxa" w:w="120"/>
            </w:tcMar>
            <w:shd w:val="clear" w:fill="E8F5E9"/>
          </w:tcPr>
          <w:p>
            <w:pPr>
              <w:shd w:val="clear" w:fill="E8F5E9"/>
            </w:pPr>
            <w:r>
              <w:rPr>
                <w:sz w:val="22"/>
              </w:rPr>
              <w:t xml:space="preserve">Loader (dans son rôle de générateur de bailleurs de fonds)</w:t>
            </w:r>
          </w:p>
        </w:tc>
      </w:tr>
      <w:tr>
        <w:tc>
          <w:tcPr>
            <w:tcW w:type="dxa" w:w="2400"/>
            <w:tcMar>
              <w:top w:type="dxa" w:w="80"/>
              <w:left w:type="dxa" w:w="120"/>
              <w:bottom w:type="dxa" w:w="80"/>
              <w:right w:type="dxa" w:w="120"/>
            </w:tcMar>
            <w:shd w:val="clear" w:fill="E8F5E9"/>
          </w:tcPr>
          <w:p>
            <w:pPr>
              <w:shd w:val="clear" w:fill="E8F5E9"/>
            </w:pPr>
            <w:r>
              <w:rPr>
                <w:sz w:val="22"/>
                <w:b/>
              </w:rPr>
              <w:t xml:space="preserve">Précondition</w:t>
            </w:r>
          </w:p>
        </w:tc>
        <w:tc>
          <w:tcPr>
            <w:tcW w:type="dxa" w:w="6800"/>
            <w:tcMar>
              <w:top w:type="dxa" w:w="80"/>
              <w:left w:type="dxa" w:w="120"/>
              <w:bottom w:type="dxa" w:w="80"/>
              <w:right w:type="dxa" w:w="120"/>
            </w:tcMar>
            <w:shd w:val="clear" w:fill="E8F5E9"/>
          </w:tcPr>
          <w:p>
            <w:pPr>
              <w:shd w:val="clear" w:fill="E8F5E9"/>
            </w:pPr>
            <w:r>
              <w:rPr>
                <w:sz w:val="22"/>
              </w:rPr>
              <w:t xml:space="preserve">Les Companies sont créées.</w:t>
            </w:r>
          </w:p>
        </w:tc>
      </w:tr>
      <w:tr>
        <w:tc>
          <w:tcPr>
            <w:tcW w:type="dxa" w:w="2400"/>
            <w:tcMar>
              <w:top w:type="dxa" w:w="80"/>
              <w:left w:type="dxa" w:w="120"/>
              <w:bottom w:type="dxa" w:w="80"/>
              <w:right w:type="dxa" w:w="120"/>
            </w:tcMar>
            <w:shd w:val="clear" w:fill="E8F5E9"/>
          </w:tcPr>
          <w:p>
            <w:pPr>
              <w:shd w:val="clear" w:fill="E8F5E9"/>
            </w:pPr>
            <w:r>
              <w:rPr>
                <w:sz w:val="22"/>
                <w:b/>
              </w:rPr>
              <w:t xml:space="preserve">Déclencheur</w:t>
            </w:r>
          </w:p>
        </w:tc>
        <w:tc>
          <w:tcPr>
            <w:tcW w:type="dxa" w:w="6800"/>
            <w:tcMar>
              <w:top w:type="dxa" w:w="80"/>
              <w:left w:type="dxa" w:w="120"/>
              <w:bottom w:type="dxa" w:w="80"/>
              <w:right w:type="dxa" w:w="120"/>
            </w:tcMar>
            <w:shd w:val="clear" w:fill="E8F5E9"/>
          </w:tcPr>
          <w:p>
            <w:pPr>
              <w:shd w:val="clear" w:fill="E8F5E9"/>
            </w:pPr>
            <w:r>
              <w:rPr>
                <w:sz w:val="22"/>
              </w:rPr>
              <w:t xml:space="preserve">Phase de génération de l'écosystème financier.</w:t>
            </w:r>
          </w:p>
        </w:tc>
      </w:tr>
      <w:tr>
        <w:tc>
          <w:tcPr>
            <w:tcW w:type="dxa" w:w="2400"/>
            <w:tcMar>
              <w:top w:type="dxa" w:w="80"/>
              <w:left w:type="dxa" w:w="120"/>
              <w:bottom w:type="dxa" w:w="80"/>
              <w:right w:type="dxa" w:w="120"/>
            </w:tcMar>
            <w:shd w:val="clear" w:fill="E8F5E9"/>
          </w:tcPr>
          <w:p>
            <w:pPr>
              <w:shd w:val="clear" w:fill="E8F5E9"/>
            </w:pPr>
            <w:r>
              <w:rPr>
                <w:sz w:val="22"/>
                <w:b/>
              </w:rPr>
              <w:t xml:space="preserve">Postcondition</w:t>
            </w:r>
          </w:p>
        </w:tc>
        <w:tc>
          <w:tcPr>
            <w:tcW w:type="dxa" w:w="6800"/>
            <w:tcMar>
              <w:top w:type="dxa" w:w="80"/>
              <w:left w:type="dxa" w:w="120"/>
              <w:bottom w:type="dxa" w:w="80"/>
              <w:right w:type="dxa" w:w="120"/>
            </w:tcMar>
            <w:shd w:val="clear" w:fill="E8F5E9"/>
          </w:tcPr>
          <w:p>
            <w:pPr>
              <w:shd w:val="clear" w:fill="E8F5E9"/>
            </w:pPr>
            <w:r>
              <w:rPr>
                <w:sz w:val="22"/>
              </w:rPr>
              <w:t xml:space="preserve">12 Lenders locaux (3 par pays) et 4 Lenders institutionnels (Nordic Microfinance, IFC, AFD, BAD) sont créés dans le système.</w:t>
            </w:r>
          </w:p>
        </w:tc>
      </w:tr>
      <w:tr>
        <w:tc>
          <w:tcPr>
            <w:tcW w:type="dxa" w:w="2400"/>
            <w:tcMar>
              <w:top w:type="dxa" w:w="80"/>
              <w:left w:type="dxa" w:w="120"/>
              <w:bottom w:type="dxa" w:w="80"/>
              <w:right w:type="dxa" w:w="120"/>
            </w:tcMar>
            <w:shd w:val="clear" w:fill="E8F5E9"/>
          </w:tcPr>
          <w:p>
            <w:pPr>
              <w:shd w:val="clear" w:fill="E8F5E9"/>
            </w:pPr>
            <w:r>
              <w:rPr>
                <w:sz w:val="22"/>
                <w:b/>
              </w:rPr>
              <w:t xml:space="preserve">Scénario nominal</w:t>
            </w:r>
          </w:p>
        </w:tc>
        <w:tc>
          <w:tcPr>
            <w:tcW w:type="dxa" w:w="6800"/>
            <w:tcMar>
              <w:top w:type="dxa" w:w="80"/>
              <w:left w:type="dxa" w:w="120"/>
              <w:bottom w:type="dxa" w:w="80"/>
              <w:right w:type="dxa" w:w="120"/>
            </w:tcMar>
            <w:shd w:val="clear" w:fill="E8F5E9"/>
          </w:tcPr>
          <w:p>
            <w:pPr>
              <w:shd w:val="clear" w:fill="E8F5E9"/>
            </w:pPr>
            <w:r>
              <w:rPr>
                <w:sz w:val="22"/>
              </w:rPr>
              <w:t xml:space="preserve">1) Le Loader crée 3 Lenders locaux par pays, chacun avec un nom métier crédible et une capacité de financement paramétrable. 2) Il crée les 4 Lenders institutionnels avec leurs identités officielles. 3) Il enregistre les métadonnées (pays cibles, secteurs prioritaires, plafonds).</w:t>
            </w:r>
          </w:p>
        </w:tc>
      </w:tr>
      <w:tr>
        <w:tc>
          <w:tcPr>
            <w:tcW w:type="dxa" w:w="2400"/>
            <w:tcMar>
              <w:top w:type="dxa" w:w="80"/>
              <w:left w:type="dxa" w:w="120"/>
              <w:bottom w:type="dxa" w:w="80"/>
              <w:right w:type="dxa" w:w="120"/>
            </w:tcMar>
            <w:shd w:val="clear" w:fill="E8F5E9"/>
          </w:tcPr>
          <w:p>
            <w:pPr>
              <w:shd w:val="clear" w:fill="E8F5E9"/>
            </w:pPr>
            <w:r>
              <w:rPr>
                <w:sz w:val="22"/>
                <w:b/>
              </w:rPr>
              <w:t xml:space="preserve">Cas alternatif</w:t>
            </w:r>
          </w:p>
        </w:tc>
        <w:tc>
          <w:tcPr>
            <w:tcW w:type="dxa" w:w="6800"/>
            <w:tcMar>
              <w:top w:type="dxa" w:w="80"/>
              <w:left w:type="dxa" w:w="120"/>
              <w:bottom w:type="dxa" w:w="80"/>
              <w:right w:type="dxa" w:w="120"/>
            </w:tcMar>
            <w:shd w:val="clear" w:fill="E8F5E9"/>
          </w:tcPr>
          <w:p>
            <w:pPr>
              <w:shd w:val="clear" w:fill="E8F5E9"/>
            </w:pPr>
            <w:r>
              <w:rPr>
                <w:sz w:val="22"/>
              </w:rPr>
              <w:t xml:space="preserve">Si un Lender institutionnel a déjà été créé lors d'une exécution précédente (préfixe DEMO_ déjà présent), le Loader met à jour ses métadonnées sans doublonner.</w:t>
            </w:r>
          </w:p>
        </w:tc>
      </w:tr>
      <w:tr>
        <w:tc>
          <w:tcPr>
            <w:tcW w:type="dxa" w:w="2400"/>
            <w:tcMar>
              <w:top w:type="dxa" w:w="80"/>
              <w:left w:type="dxa" w:w="120"/>
              <w:bottom w:type="dxa" w:w="80"/>
              <w:right w:type="dxa" w:w="120"/>
            </w:tcMar>
            <w:shd w:val="clear" w:fill="E8F5E9"/>
          </w:tcPr>
          <w:p>
            <w:pPr>
              <w:shd w:val="clear" w:fill="E8F5E9"/>
            </w:pPr>
            <w:r>
              <w:rPr>
                <w:sz w:val="22"/>
                <w:b/>
              </w:rPr>
              <w:t xml:space="preserve">Exception</w:t>
            </w:r>
          </w:p>
        </w:tc>
        <w:tc>
          <w:tcPr>
            <w:tcW w:type="dxa" w:w="6800"/>
            <w:tcMar>
              <w:top w:type="dxa" w:w="80"/>
              <w:left w:type="dxa" w:w="120"/>
              <w:bottom w:type="dxa" w:w="80"/>
              <w:right w:type="dxa" w:w="120"/>
            </w:tcMar>
            <w:shd w:val="clear" w:fill="E8F5E9"/>
          </w:tcPr>
          <w:p>
            <w:pPr>
              <w:shd w:val="clear" w:fill="E8F5E9"/>
            </w:pPr>
            <w:r>
              <w:rPr>
                <w:sz w:val="22"/>
              </w:rPr>
              <w:t xml:space="preserve">Si la création d'un Lender institutionnel échoue, l'exécution se poursuit avec les autres Lenders. Les Lenders manquants sont journalisés en fin d'exécution.</w:t>
            </w:r>
          </w:p>
        </w:tc>
      </w:tr>
      <w:tr>
        <w:tc>
          <w:tcPr>
            <w:tcW w:type="dxa" w:w="2400"/>
            <w:tcMar>
              <w:top w:type="dxa" w:w="80"/>
              <w:left w:type="dxa" w:w="120"/>
              <w:bottom w:type="dxa" w:w="80"/>
              <w:right w:type="dxa" w:w="120"/>
            </w:tcMar>
            <w:shd w:val="clear" w:fill="E8F5E9"/>
          </w:tcPr>
          <w:p>
            <w:pPr>
              <w:shd w:val="clear" w:fill="E8F5E9"/>
            </w:pPr>
            <w:r>
              <w:rPr>
                <w:sz w:val="22"/>
                <w:b/>
              </w:rPr>
              <w:t xml:space="preserve">Exigences couvertes</w:t>
            </w:r>
          </w:p>
        </w:tc>
        <w:tc>
          <w:tcPr>
            <w:tcW w:type="dxa" w:w="6800"/>
            <w:tcMar>
              <w:top w:type="dxa" w:w="80"/>
              <w:left w:type="dxa" w:w="120"/>
              <w:bottom w:type="dxa" w:w="80"/>
              <w:right w:type="dxa" w:w="120"/>
            </w:tcMar>
            <w:shd w:val="clear" w:fill="E8F5E9"/>
          </w:tcPr>
          <w:p>
            <w:pPr>
              <w:shd w:val="clear" w:fill="E8F5E9"/>
            </w:pPr>
            <w:r>
              <w:rPr>
                <w:sz w:val="22"/>
              </w:rPr>
              <w:t xml:space="preserve">EF-14, EF-15, EF-16</w:t>
            </w:r>
          </w:p>
        </w:tc>
      </w:tr>
    </w:tbl>
    <w:p/>
    <w:p>
      <w:pPr>
        <w:pStyle w:val="Heading3"/>
        <w:shd w:val="clear" w:fill="E8F5E9"/>
      </w:pPr>
      <w:r>
        <w:rPr>
          <w:color w:val="6B2E9E"/>
          <w:b/>
        </w:rPr>
        <w:t xml:space="preserve">UC-09 — Génération de la hiérarchie Branche, Agence, Kiosque et Agent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Mar>
              <w:top w:type="dxa" w:w="100"/>
              <w:left w:type="dxa" w:w="120"/>
              <w:bottom w:type="dxa" w:w="100"/>
              <w:right w:type="dxa" w:w="120"/>
            </w:tcMar>
            <w:shd w:val="clear" w:fill="E8F5E9"/>
          </w:tcPr>
          <w:p>
            <w:pPr>
              <w:shd w:val="clear" w:fill="E8F5E9"/>
            </w:pPr>
            <w:r>
              <w:rPr>
                <w:sz w:val="22"/>
                <w:b/>
              </w:rPr>
              <w:t xml:space="preserve">Champ</w:t>
            </w:r>
          </w:p>
        </w:tc>
        <w:tc>
          <w:tcPr>
            <w:tcW w:type="dxa" w:w="6800"/>
            <w:tcMar>
              <w:top w:type="dxa" w:w="100"/>
              <w:left w:type="dxa" w:w="120"/>
              <w:bottom w:type="dxa" w:w="100"/>
              <w:right w:type="dxa" w:w="120"/>
            </w:tcMar>
            <w:shd w:val="clear" w:fill="E8F5E9"/>
          </w:tcPr>
          <w:p>
            <w:pPr>
              <w:shd w:val="clear" w:fill="E8F5E9"/>
            </w:pPr>
            <w:r>
              <w:rPr>
                <w:sz w:val="22"/>
                <w:b/>
              </w:rPr>
              <w:t xml:space="preserve">Contenu</w:t>
            </w:r>
          </w:p>
        </w:tc>
      </w:tr>
      <w:tr>
        <w:tc>
          <w:tcPr>
            <w:tcW w:type="dxa" w:w="2400"/>
            <w:tcMar>
              <w:top w:type="dxa" w:w="80"/>
              <w:left w:type="dxa" w:w="120"/>
              <w:bottom w:type="dxa" w:w="80"/>
              <w:right w:type="dxa" w:w="120"/>
            </w:tcMar>
            <w:shd w:val="clear" w:fill="E8F5E9"/>
          </w:tcPr>
          <w:p>
            <w:pPr>
              <w:shd w:val="clear" w:fill="E8F5E9"/>
            </w:pPr>
            <w:r>
              <w:rPr>
                <w:sz w:val="22"/>
                <w:b/>
              </w:rPr>
              <w:t xml:space="preserve">Acteur principal</w:t>
            </w:r>
          </w:p>
        </w:tc>
        <w:tc>
          <w:tcPr>
            <w:tcW w:type="dxa" w:w="6800"/>
            <w:tcMar>
              <w:top w:type="dxa" w:w="80"/>
              <w:left w:type="dxa" w:w="120"/>
              <w:bottom w:type="dxa" w:w="80"/>
              <w:right w:type="dxa" w:w="120"/>
            </w:tcMar>
            <w:shd w:val="clear" w:fill="E8F5E9"/>
          </w:tcPr>
          <w:p>
            <w:pPr>
              <w:shd w:val="clear" w:fill="E8F5E9"/>
            </w:pPr>
            <w:r>
              <w:rPr>
                <w:sz w:val="22"/>
              </w:rPr>
              <w:t xml:space="preserve">Loader (dans son rôle de générateur de la hiérarchie opérationnelle)</w:t>
            </w:r>
          </w:p>
        </w:tc>
      </w:tr>
      <w:tr>
        <w:tc>
          <w:tcPr>
            <w:tcW w:type="dxa" w:w="2400"/>
            <w:tcMar>
              <w:top w:type="dxa" w:w="80"/>
              <w:left w:type="dxa" w:w="120"/>
              <w:bottom w:type="dxa" w:w="80"/>
              <w:right w:type="dxa" w:w="120"/>
            </w:tcMar>
            <w:shd w:val="clear" w:fill="E8F5E9"/>
          </w:tcPr>
          <w:p>
            <w:pPr>
              <w:shd w:val="clear" w:fill="E8F5E9"/>
            </w:pPr>
            <w:r>
              <w:rPr>
                <w:sz w:val="22"/>
                <w:b/>
              </w:rPr>
              <w:t xml:space="preserve">Précondition</w:t>
            </w:r>
          </w:p>
        </w:tc>
        <w:tc>
          <w:tcPr>
            <w:tcW w:type="dxa" w:w="6800"/>
            <w:tcMar>
              <w:top w:type="dxa" w:w="80"/>
              <w:left w:type="dxa" w:w="120"/>
              <w:bottom w:type="dxa" w:w="80"/>
              <w:right w:type="dxa" w:w="120"/>
            </w:tcMar>
            <w:shd w:val="clear" w:fill="E8F5E9"/>
          </w:tcPr>
          <w:p>
            <w:pPr>
              <w:shd w:val="clear" w:fill="E8F5E9"/>
            </w:pPr>
            <w:r>
              <w:rPr>
                <w:sz w:val="22"/>
              </w:rPr>
              <w:t xml:space="preserve">Les Companies existent et sont rattachées à des régions.</w:t>
            </w:r>
          </w:p>
        </w:tc>
      </w:tr>
      <w:tr>
        <w:tc>
          <w:tcPr>
            <w:tcW w:type="dxa" w:w="2400"/>
            <w:tcMar>
              <w:top w:type="dxa" w:w="80"/>
              <w:left w:type="dxa" w:w="120"/>
              <w:bottom w:type="dxa" w:w="80"/>
              <w:right w:type="dxa" w:w="120"/>
            </w:tcMar>
            <w:shd w:val="clear" w:fill="E8F5E9"/>
          </w:tcPr>
          <w:p>
            <w:pPr>
              <w:shd w:val="clear" w:fill="E8F5E9"/>
            </w:pPr>
            <w:r>
              <w:rPr>
                <w:sz w:val="22"/>
                <w:b/>
              </w:rPr>
              <w:t xml:space="preserve">Déclencheur</w:t>
            </w:r>
          </w:p>
        </w:tc>
        <w:tc>
          <w:tcPr>
            <w:tcW w:type="dxa" w:w="6800"/>
            <w:tcMar>
              <w:top w:type="dxa" w:w="80"/>
              <w:left w:type="dxa" w:w="120"/>
              <w:bottom w:type="dxa" w:w="80"/>
              <w:right w:type="dxa" w:w="120"/>
            </w:tcMar>
            <w:shd w:val="clear" w:fill="E8F5E9"/>
          </w:tcPr>
          <w:p>
            <w:pPr>
              <w:shd w:val="clear" w:fill="E8F5E9"/>
            </w:pPr>
            <w:r>
              <w:rPr>
                <w:sz w:val="22"/>
              </w:rPr>
              <w:t xml:space="preserve">Phase de génération de la hiérarchie opérationnelle.</w:t>
            </w:r>
          </w:p>
        </w:tc>
      </w:tr>
      <w:tr>
        <w:tc>
          <w:tcPr>
            <w:tcW w:type="dxa" w:w="2400"/>
            <w:tcMar>
              <w:top w:type="dxa" w:w="80"/>
              <w:left w:type="dxa" w:w="120"/>
              <w:bottom w:type="dxa" w:w="80"/>
              <w:right w:type="dxa" w:w="120"/>
            </w:tcMar>
            <w:shd w:val="clear" w:fill="E8F5E9"/>
          </w:tcPr>
          <w:p>
            <w:pPr>
              <w:shd w:val="clear" w:fill="E8F5E9"/>
            </w:pPr>
            <w:r>
              <w:rPr>
                <w:sz w:val="22"/>
                <w:b/>
              </w:rPr>
              <w:t xml:space="preserve">Postcondition</w:t>
            </w:r>
          </w:p>
        </w:tc>
        <w:tc>
          <w:tcPr>
            <w:tcW w:type="dxa" w:w="6800"/>
            <w:tcMar>
              <w:top w:type="dxa" w:w="80"/>
              <w:left w:type="dxa" w:w="120"/>
              <w:bottom w:type="dxa" w:w="80"/>
              <w:right w:type="dxa" w:w="120"/>
            </w:tcMar>
            <w:shd w:val="clear" w:fill="E8F5E9"/>
          </w:tcPr>
          <w:p>
            <w:pPr>
              <w:shd w:val="clear" w:fill="E8F5E9"/>
            </w:pPr>
            <w:r>
              <w:rPr>
                <w:sz w:val="22"/>
              </w:rPr>
              <w:t xml:space="preserve">Chaque Company IMF possède au moins une Branche rattachée à sa région, chaque Branche possède au moins une Agence rattachée à une ville de la région, chaque Agence possède au moins un Kiosque rattaché à un district de la ville, et chaque Kiosque possède au moins un Agent affilié.</w:t>
            </w:r>
          </w:p>
        </w:tc>
      </w:tr>
      <w:tr>
        <w:tc>
          <w:tcPr>
            <w:tcW w:type="dxa" w:w="2400"/>
            <w:tcMar>
              <w:top w:type="dxa" w:w="80"/>
              <w:left w:type="dxa" w:w="120"/>
              <w:bottom w:type="dxa" w:w="80"/>
              <w:right w:type="dxa" w:w="120"/>
            </w:tcMar>
            <w:shd w:val="clear" w:fill="E8F5E9"/>
          </w:tcPr>
          <w:p>
            <w:pPr>
              <w:shd w:val="clear" w:fill="E8F5E9"/>
            </w:pPr>
            <w:r>
              <w:rPr>
                <w:sz w:val="22"/>
                <w:b/>
              </w:rPr>
              <w:t xml:space="preserve">Scénario nominal</w:t>
            </w:r>
          </w:p>
        </w:tc>
        <w:tc>
          <w:tcPr>
            <w:tcW w:type="dxa" w:w="6800"/>
            <w:tcMar>
              <w:top w:type="dxa" w:w="80"/>
              <w:left w:type="dxa" w:w="120"/>
              <w:bottom w:type="dxa" w:w="80"/>
              <w:right w:type="dxa" w:w="120"/>
            </w:tcMar>
            <w:shd w:val="clear" w:fill="E8F5E9"/>
          </w:tcPr>
          <w:p>
            <w:pPr>
              <w:shd w:val="clear" w:fill="E8F5E9"/>
            </w:pPr>
            <w:r>
              <w:rPr>
                <w:sz w:val="22"/>
              </w:rPr>
              <w:t xml:space="preserve">1) Le Loader crée pour chaque Company IMF une hiérarchie complète Branche → Agence → Kiosque → Agent en respectant le rattachement géographique. 2) Il génère entre 15 et 25 utilisateurs staff par pays. 3) Il génère entre 10 et 20 Kiosques par pays. 4) Il rattache chaque Agent à un Kiosque et à une Company mère.</w:t>
            </w:r>
          </w:p>
        </w:tc>
      </w:tr>
      <w:tr>
        <w:tc>
          <w:tcPr>
            <w:tcW w:type="dxa" w:w="2400"/>
            <w:tcMar>
              <w:top w:type="dxa" w:w="80"/>
              <w:left w:type="dxa" w:w="120"/>
              <w:bottom w:type="dxa" w:w="80"/>
              <w:right w:type="dxa" w:w="120"/>
            </w:tcMar>
            <w:shd w:val="clear" w:fill="E8F5E9"/>
          </w:tcPr>
          <w:p>
            <w:pPr>
              <w:shd w:val="clear" w:fill="E8F5E9"/>
            </w:pPr>
            <w:r>
              <w:rPr>
                <w:sz w:val="22"/>
                <w:b/>
              </w:rPr>
              <w:t xml:space="preserve">Cas alternatif</w:t>
            </w:r>
          </w:p>
        </w:tc>
        <w:tc>
          <w:tcPr>
            <w:tcW w:type="dxa" w:w="6800"/>
            <w:tcMar>
              <w:top w:type="dxa" w:w="80"/>
              <w:left w:type="dxa" w:w="120"/>
              <w:bottom w:type="dxa" w:w="80"/>
              <w:right w:type="dxa" w:w="120"/>
            </w:tcMar>
            <w:shd w:val="clear" w:fill="E8F5E9"/>
          </w:tcPr>
          <w:p>
            <w:pPr>
              <w:shd w:val="clear" w:fill="E8F5E9"/>
            </w:pPr>
            <w:r>
              <w:rPr>
                <w:sz w:val="22"/>
              </w:rPr>
              <w:t xml:space="preserve">Si une région ne contient pas assez de villes ou districts pour peupler la hiérarchie complète, le Loader adapte la profondeur en réutilisant les entités disponibles.</w:t>
            </w:r>
          </w:p>
        </w:tc>
      </w:tr>
      <w:tr>
        <w:tc>
          <w:tcPr>
            <w:tcW w:type="dxa" w:w="2400"/>
            <w:tcMar>
              <w:top w:type="dxa" w:w="80"/>
              <w:left w:type="dxa" w:w="120"/>
              <w:bottom w:type="dxa" w:w="80"/>
              <w:right w:type="dxa" w:w="120"/>
            </w:tcMar>
            <w:shd w:val="clear" w:fill="E8F5E9"/>
          </w:tcPr>
          <w:p>
            <w:pPr>
              <w:shd w:val="clear" w:fill="E8F5E9"/>
            </w:pPr>
            <w:r>
              <w:rPr>
                <w:sz w:val="22"/>
                <w:b/>
              </w:rPr>
              <w:t xml:space="preserve">Exception</w:t>
            </w:r>
          </w:p>
        </w:tc>
        <w:tc>
          <w:tcPr>
            <w:tcW w:type="dxa" w:w="6800"/>
            <w:tcMar>
              <w:top w:type="dxa" w:w="80"/>
              <w:left w:type="dxa" w:w="120"/>
              <w:bottom w:type="dxa" w:w="80"/>
              <w:right w:type="dxa" w:w="120"/>
            </w:tcMar>
            <w:shd w:val="clear" w:fill="E8F5E9"/>
          </w:tcPr>
          <w:p>
            <w:pPr>
              <w:shd w:val="clear" w:fill="E8F5E9"/>
            </w:pPr>
            <w:r>
              <w:rPr>
                <w:sz w:val="22"/>
              </w:rPr>
              <w:t xml:space="preserve">Si le référentiel géographique ne contient aucun district pour une ville, aucun Kiosque n'est créé dans cette ville. L'incident est journalisé.</w:t>
            </w:r>
          </w:p>
        </w:tc>
      </w:tr>
      <w:tr>
        <w:tc>
          <w:tcPr>
            <w:tcW w:type="dxa" w:w="2400"/>
            <w:tcMar>
              <w:top w:type="dxa" w:w="80"/>
              <w:left w:type="dxa" w:w="120"/>
              <w:bottom w:type="dxa" w:w="80"/>
              <w:right w:type="dxa" w:w="120"/>
            </w:tcMar>
            <w:shd w:val="clear" w:fill="E8F5E9"/>
          </w:tcPr>
          <w:p>
            <w:pPr>
              <w:shd w:val="clear" w:fill="E8F5E9"/>
            </w:pPr>
            <w:r>
              <w:rPr>
                <w:sz w:val="22"/>
                <w:b/>
              </w:rPr>
              <w:t xml:space="preserve">Exigences couvertes</w:t>
            </w:r>
          </w:p>
        </w:tc>
        <w:tc>
          <w:tcPr>
            <w:tcW w:type="dxa" w:w="6800"/>
            <w:tcMar>
              <w:top w:type="dxa" w:w="80"/>
              <w:left w:type="dxa" w:w="120"/>
              <w:bottom w:type="dxa" w:w="80"/>
              <w:right w:type="dxa" w:w="120"/>
            </w:tcMar>
            <w:shd w:val="clear" w:fill="E8F5E9"/>
          </w:tcPr>
          <w:p>
            <w:pPr>
              <w:shd w:val="clear" w:fill="E8F5E9"/>
            </w:pPr>
            <w:r>
              <w:rPr>
                <w:sz w:val="22"/>
              </w:rPr>
              <w:t xml:space="preserve">EF-17, EF-18, EF-19</w:t>
            </w:r>
          </w:p>
        </w:tc>
      </w:tr>
    </w:tbl>
    <w:p/>
    <w:p>
      <w:pPr>
        <w:pStyle w:val="Heading3"/>
        <w:shd w:val="clear" w:fill="E8F5E9"/>
      </w:pPr>
      <w:r>
        <w:rPr>
          <w:color w:val="6B2E9E"/>
          <w:b/>
        </w:rPr>
        <w:t xml:space="preserve">UC-10 — Création des comptes financiers des Lenders (CAPITAL, INTEREST, PENALTY, TAXE)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Mar>
              <w:top w:type="dxa" w:w="100"/>
              <w:left w:type="dxa" w:w="120"/>
              <w:bottom w:type="dxa" w:w="100"/>
              <w:right w:type="dxa" w:w="120"/>
            </w:tcMar>
            <w:shd w:val="clear" w:fill="E8F5E9"/>
          </w:tcPr>
          <w:p>
            <w:pPr>
              <w:shd w:val="clear" w:fill="E8F5E9"/>
            </w:pPr>
            <w:r>
              <w:rPr>
                <w:sz w:val="22"/>
                <w:b/>
              </w:rPr>
              <w:t xml:space="preserve">Champ</w:t>
            </w:r>
          </w:p>
        </w:tc>
        <w:tc>
          <w:tcPr>
            <w:tcW w:type="dxa" w:w="6800"/>
            <w:tcMar>
              <w:top w:type="dxa" w:w="100"/>
              <w:left w:type="dxa" w:w="120"/>
              <w:bottom w:type="dxa" w:w="100"/>
              <w:right w:type="dxa" w:w="120"/>
            </w:tcMar>
            <w:shd w:val="clear" w:fill="E8F5E9"/>
          </w:tcPr>
          <w:p>
            <w:pPr>
              <w:shd w:val="clear" w:fill="E8F5E9"/>
            </w:pPr>
            <w:r>
              <w:rPr>
                <w:sz w:val="22"/>
                <w:b/>
              </w:rPr>
              <w:t xml:space="preserve">Contenu</w:t>
            </w:r>
          </w:p>
        </w:tc>
      </w:tr>
      <w:tr>
        <w:tc>
          <w:tcPr>
            <w:tcW w:type="dxa" w:w="2400"/>
            <w:tcMar>
              <w:top w:type="dxa" w:w="80"/>
              <w:left w:type="dxa" w:w="120"/>
              <w:bottom w:type="dxa" w:w="80"/>
              <w:right w:type="dxa" w:w="120"/>
            </w:tcMar>
            <w:shd w:val="clear" w:fill="E8F5E9"/>
          </w:tcPr>
          <w:p>
            <w:pPr>
              <w:shd w:val="clear" w:fill="E8F5E9"/>
            </w:pPr>
            <w:r>
              <w:rPr>
                <w:sz w:val="22"/>
                <w:b/>
              </w:rPr>
              <w:t xml:space="preserve">Acteur principal</w:t>
            </w:r>
          </w:p>
        </w:tc>
        <w:tc>
          <w:tcPr>
            <w:tcW w:type="dxa" w:w="6800"/>
            <w:tcMar>
              <w:top w:type="dxa" w:w="80"/>
              <w:left w:type="dxa" w:w="120"/>
              <w:bottom w:type="dxa" w:w="80"/>
              <w:right w:type="dxa" w:w="120"/>
            </w:tcMar>
            <w:shd w:val="clear" w:fill="E8F5E9"/>
          </w:tcPr>
          <w:p>
            <w:pPr>
              <w:shd w:val="clear" w:fill="E8F5E9"/>
            </w:pPr>
            <w:r>
              <w:rPr>
                <w:sz w:val="22"/>
              </w:rPr>
              <w:t xml:space="preserve">Loader (dans son rôle de gestionnaire des comptes financiers institutionnels)</w:t>
            </w:r>
          </w:p>
        </w:tc>
      </w:tr>
      <w:tr>
        <w:tc>
          <w:tcPr>
            <w:tcW w:type="dxa" w:w="2400"/>
            <w:tcMar>
              <w:top w:type="dxa" w:w="80"/>
              <w:left w:type="dxa" w:w="120"/>
              <w:bottom w:type="dxa" w:w="80"/>
              <w:right w:type="dxa" w:w="120"/>
            </w:tcMar>
            <w:shd w:val="clear" w:fill="E8F5E9"/>
          </w:tcPr>
          <w:p>
            <w:pPr>
              <w:shd w:val="clear" w:fill="E8F5E9"/>
            </w:pPr>
            <w:r>
              <w:rPr>
                <w:sz w:val="22"/>
                <w:b/>
              </w:rPr>
              <w:t xml:space="preserve">Précondition</w:t>
            </w:r>
          </w:p>
        </w:tc>
        <w:tc>
          <w:tcPr>
            <w:tcW w:type="dxa" w:w="6800"/>
            <w:tcMar>
              <w:top w:type="dxa" w:w="80"/>
              <w:left w:type="dxa" w:w="120"/>
              <w:bottom w:type="dxa" w:w="80"/>
              <w:right w:type="dxa" w:w="120"/>
            </w:tcMar>
            <w:shd w:val="clear" w:fill="E8F5E9"/>
          </w:tcPr>
          <w:p>
            <w:pPr>
              <w:shd w:val="clear" w:fill="E8F5E9"/>
            </w:pPr>
            <w:r>
              <w:rPr>
                <w:sz w:val="22"/>
              </w:rPr>
              <w:t xml:space="preserve">Les Lenders existent.</w:t>
            </w:r>
          </w:p>
        </w:tc>
      </w:tr>
      <w:tr>
        <w:tc>
          <w:tcPr>
            <w:tcW w:type="dxa" w:w="2400"/>
            <w:tcMar>
              <w:top w:type="dxa" w:w="80"/>
              <w:left w:type="dxa" w:w="120"/>
              <w:bottom w:type="dxa" w:w="80"/>
              <w:right w:type="dxa" w:w="120"/>
            </w:tcMar>
            <w:shd w:val="clear" w:fill="E8F5E9"/>
          </w:tcPr>
          <w:p>
            <w:pPr>
              <w:shd w:val="clear" w:fill="E8F5E9"/>
            </w:pPr>
            <w:r>
              <w:rPr>
                <w:sz w:val="22"/>
                <w:b/>
              </w:rPr>
              <w:t xml:space="preserve">Déclencheur</w:t>
            </w:r>
          </w:p>
        </w:tc>
        <w:tc>
          <w:tcPr>
            <w:tcW w:type="dxa" w:w="6800"/>
            <w:tcMar>
              <w:top w:type="dxa" w:w="80"/>
              <w:left w:type="dxa" w:w="120"/>
              <w:bottom w:type="dxa" w:w="80"/>
              <w:right w:type="dxa" w:w="120"/>
            </w:tcMar>
            <w:shd w:val="clear" w:fill="E8F5E9"/>
          </w:tcPr>
          <w:p>
            <w:pPr>
              <w:shd w:val="clear" w:fill="E8F5E9"/>
            </w:pPr>
            <w:r>
              <w:rPr>
                <w:sz w:val="22"/>
              </w:rPr>
              <w:t xml:space="preserve">Phase d'initialisation financière des Lenders.</w:t>
            </w:r>
          </w:p>
        </w:tc>
      </w:tr>
      <w:tr>
        <w:tc>
          <w:tcPr>
            <w:tcW w:type="dxa" w:w="2400"/>
            <w:tcMar>
              <w:top w:type="dxa" w:w="80"/>
              <w:left w:type="dxa" w:w="120"/>
              <w:bottom w:type="dxa" w:w="80"/>
              <w:right w:type="dxa" w:w="120"/>
            </w:tcMar>
            <w:shd w:val="clear" w:fill="E8F5E9"/>
          </w:tcPr>
          <w:p>
            <w:pPr>
              <w:shd w:val="clear" w:fill="E8F5E9"/>
            </w:pPr>
            <w:r>
              <w:rPr>
                <w:sz w:val="22"/>
                <w:b/>
              </w:rPr>
              <w:t xml:space="preserve">Postcondition</w:t>
            </w:r>
          </w:p>
        </w:tc>
        <w:tc>
          <w:tcPr>
            <w:tcW w:type="dxa" w:w="6800"/>
            <w:tcMar>
              <w:top w:type="dxa" w:w="80"/>
              <w:left w:type="dxa" w:w="120"/>
              <w:bottom w:type="dxa" w:w="80"/>
              <w:right w:type="dxa" w:w="120"/>
            </w:tcMar>
            <w:shd w:val="clear" w:fill="E8F5E9"/>
          </w:tcPr>
          <w:p>
            <w:pPr>
              <w:shd w:val="clear" w:fill="E8F5E9"/>
            </w:pPr>
            <w:r>
              <w:rPr>
                <w:sz w:val="22"/>
              </w:rPr>
              <w:t xml:space="preserve">Chaque Lender possède 4 comptes financiers distincts : CAPITAL (capital de financement disponible), INTEREST (intérêts perçus), PENALTY (pénalités perçues) et TAXE (taxes collectées).</w:t>
            </w:r>
          </w:p>
        </w:tc>
      </w:tr>
      <w:tr>
        <w:tc>
          <w:tcPr>
            <w:tcW w:type="dxa" w:w="2400"/>
            <w:tcMar>
              <w:top w:type="dxa" w:w="80"/>
              <w:left w:type="dxa" w:w="120"/>
              <w:bottom w:type="dxa" w:w="80"/>
              <w:right w:type="dxa" w:w="120"/>
            </w:tcMar>
            <w:shd w:val="clear" w:fill="E8F5E9"/>
          </w:tcPr>
          <w:p>
            <w:pPr>
              <w:shd w:val="clear" w:fill="E8F5E9"/>
            </w:pPr>
            <w:r>
              <w:rPr>
                <w:sz w:val="22"/>
                <w:b/>
              </w:rPr>
              <w:t xml:space="preserve">Scénario nominal</w:t>
            </w:r>
          </w:p>
        </w:tc>
        <w:tc>
          <w:tcPr>
            <w:tcW w:type="dxa" w:w="6800"/>
            <w:tcMar>
              <w:top w:type="dxa" w:w="80"/>
              <w:left w:type="dxa" w:w="120"/>
              <w:bottom w:type="dxa" w:w="80"/>
              <w:right w:type="dxa" w:w="120"/>
            </w:tcMar>
            <w:shd w:val="clear" w:fill="E8F5E9"/>
          </w:tcPr>
          <w:p>
            <w:pPr>
              <w:shd w:val="clear" w:fill="E8F5E9"/>
            </w:pPr>
            <w:r>
              <w:rPr>
                <w:sz w:val="22"/>
              </w:rPr>
              <w:t xml:space="preserve">1) Le Loader ouvre les 4 comptes financiers de chaque Lender via l'account-service. 2) Il alimente le compte CAPITAL avec un montant initial dépendant du type de Lender (institutionnels plus dotés que locaux). 3) Il initialise les 3 autres comptes à zéro.</w:t>
            </w:r>
          </w:p>
        </w:tc>
      </w:tr>
      <w:tr>
        <w:tc>
          <w:tcPr>
            <w:tcW w:type="dxa" w:w="2400"/>
            <w:tcMar>
              <w:top w:type="dxa" w:w="80"/>
              <w:left w:type="dxa" w:w="120"/>
              <w:bottom w:type="dxa" w:w="80"/>
              <w:right w:type="dxa" w:w="120"/>
            </w:tcMar>
            <w:shd w:val="clear" w:fill="E8F5E9"/>
          </w:tcPr>
          <w:p>
            <w:pPr>
              <w:shd w:val="clear" w:fill="E8F5E9"/>
            </w:pPr>
            <w:r>
              <w:rPr>
                <w:sz w:val="22"/>
                <w:b/>
              </w:rPr>
              <w:t xml:space="preserve">Cas alternatif</w:t>
            </w:r>
          </w:p>
        </w:tc>
        <w:tc>
          <w:tcPr>
            <w:tcW w:type="dxa" w:w="6800"/>
            <w:tcMar>
              <w:top w:type="dxa" w:w="80"/>
              <w:left w:type="dxa" w:w="120"/>
              <w:bottom w:type="dxa" w:w="80"/>
              <w:right w:type="dxa" w:w="120"/>
            </w:tcMar>
            <w:shd w:val="clear" w:fill="E8F5E9"/>
          </w:tcPr>
          <w:p>
            <w:pPr>
              <w:shd w:val="clear" w:fill="E8F5E9"/>
            </w:pPr>
            <w:r>
              <w:rPr>
                <w:sz w:val="22"/>
              </w:rPr>
              <w:t xml:space="preserve">Si un compte financier existe déjà pour un Lender lors d'une exécution précédente, le Loader vérifie son état et le rétablit en cas d'anomalie.</w:t>
            </w:r>
          </w:p>
        </w:tc>
      </w:tr>
      <w:tr>
        <w:tc>
          <w:tcPr>
            <w:tcW w:type="dxa" w:w="2400"/>
            <w:tcMar>
              <w:top w:type="dxa" w:w="80"/>
              <w:left w:type="dxa" w:w="120"/>
              <w:bottom w:type="dxa" w:w="80"/>
              <w:right w:type="dxa" w:w="120"/>
            </w:tcMar>
            <w:shd w:val="clear" w:fill="E8F5E9"/>
          </w:tcPr>
          <w:p>
            <w:pPr>
              <w:shd w:val="clear" w:fill="E8F5E9"/>
            </w:pPr>
            <w:r>
              <w:rPr>
                <w:sz w:val="22"/>
                <w:b/>
              </w:rPr>
              <w:t xml:space="preserve">Exception</w:t>
            </w:r>
          </w:p>
        </w:tc>
        <w:tc>
          <w:tcPr>
            <w:tcW w:type="dxa" w:w="6800"/>
            <w:tcMar>
              <w:top w:type="dxa" w:w="80"/>
              <w:left w:type="dxa" w:w="120"/>
              <w:bottom w:type="dxa" w:w="80"/>
              <w:right w:type="dxa" w:w="120"/>
            </w:tcMar>
            <w:shd w:val="clear" w:fill="E8F5E9"/>
          </w:tcPr>
          <w:p>
            <w:pPr>
              <w:shd w:val="clear" w:fill="E8F5E9"/>
            </w:pPr>
            <w:r>
              <w:rPr>
                <w:sz w:val="22"/>
              </w:rPr>
              <w:t xml:space="preserve">Si la création d'un compte échoue, l'exécution poursuit avec les autres comptes. Le Lender concerné est marqué comme partiellement initialisé.</w:t>
            </w:r>
          </w:p>
        </w:tc>
      </w:tr>
      <w:tr>
        <w:tc>
          <w:tcPr>
            <w:tcW w:type="dxa" w:w="2400"/>
            <w:tcMar>
              <w:top w:type="dxa" w:w="80"/>
              <w:left w:type="dxa" w:w="120"/>
              <w:bottom w:type="dxa" w:w="80"/>
              <w:right w:type="dxa" w:w="120"/>
            </w:tcMar>
            <w:shd w:val="clear" w:fill="E8F5E9"/>
          </w:tcPr>
          <w:p>
            <w:pPr>
              <w:shd w:val="clear" w:fill="E8F5E9"/>
            </w:pPr>
            <w:r>
              <w:rPr>
                <w:sz w:val="22"/>
                <w:b/>
              </w:rPr>
              <w:t xml:space="preserve">Exigences couvertes</w:t>
            </w:r>
          </w:p>
        </w:tc>
        <w:tc>
          <w:tcPr>
            <w:tcW w:type="dxa" w:w="6800"/>
            <w:tcMar>
              <w:top w:type="dxa" w:w="80"/>
              <w:left w:type="dxa" w:w="120"/>
              <w:bottom w:type="dxa" w:w="80"/>
              <w:right w:type="dxa" w:w="120"/>
            </w:tcMar>
            <w:shd w:val="clear" w:fill="E8F5E9"/>
          </w:tcPr>
          <w:p>
            <w:pPr>
              <w:shd w:val="clear" w:fill="E8F5E9"/>
            </w:pPr>
            <w:r>
              <w:rPr>
                <w:sz w:val="22"/>
              </w:rPr>
              <w:t xml:space="preserve">EF-15</w:t>
            </w:r>
          </w:p>
        </w:tc>
      </w:tr>
    </w:tbl>
    <w:p/>
    <w:p>
      <w:pPr>
        <w:pStyle w:val="Heading3"/>
        <w:shd w:val="clear" w:fill="E8F5E9"/>
      </w:pPr>
      <w:r>
        <w:rPr>
          <w:color w:val="6B2E9E"/>
          <w:b/>
        </w:rPr>
        <w:t xml:space="preserve">UC-11 — Création du catalogue produits Collecte et Prêt et rattachement aux Companies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Mar>
              <w:top w:type="dxa" w:w="100"/>
              <w:left w:type="dxa" w:w="120"/>
              <w:bottom w:type="dxa" w:w="100"/>
              <w:right w:type="dxa" w:w="120"/>
            </w:tcMar>
            <w:shd w:val="clear" w:fill="E8F5E9"/>
          </w:tcPr>
          <w:p>
            <w:pPr>
              <w:shd w:val="clear" w:fill="E8F5E9"/>
            </w:pPr>
            <w:r>
              <w:rPr>
                <w:sz w:val="22"/>
                <w:b/>
              </w:rPr>
              <w:t xml:space="preserve">Champ</w:t>
            </w:r>
          </w:p>
        </w:tc>
        <w:tc>
          <w:tcPr>
            <w:tcW w:type="dxa" w:w="6800"/>
            <w:tcMar>
              <w:top w:type="dxa" w:w="100"/>
              <w:left w:type="dxa" w:w="120"/>
              <w:bottom w:type="dxa" w:w="100"/>
              <w:right w:type="dxa" w:w="120"/>
            </w:tcMar>
            <w:shd w:val="clear" w:fill="E8F5E9"/>
          </w:tcPr>
          <w:p>
            <w:pPr>
              <w:shd w:val="clear" w:fill="E8F5E9"/>
            </w:pPr>
            <w:r>
              <w:rPr>
                <w:sz w:val="22"/>
                <w:b/>
              </w:rPr>
              <w:t xml:space="preserve">Contenu</w:t>
            </w:r>
          </w:p>
        </w:tc>
      </w:tr>
      <w:tr>
        <w:tc>
          <w:tcPr>
            <w:tcW w:type="dxa" w:w="2400"/>
            <w:tcMar>
              <w:top w:type="dxa" w:w="80"/>
              <w:left w:type="dxa" w:w="120"/>
              <w:bottom w:type="dxa" w:w="80"/>
              <w:right w:type="dxa" w:w="120"/>
            </w:tcMar>
            <w:shd w:val="clear" w:fill="E8F5E9"/>
          </w:tcPr>
          <w:p>
            <w:pPr>
              <w:shd w:val="clear" w:fill="E8F5E9"/>
            </w:pPr>
            <w:r>
              <w:rPr>
                <w:sz w:val="22"/>
                <w:b/>
              </w:rPr>
              <w:t xml:space="preserve">Acteur principal</w:t>
            </w:r>
          </w:p>
        </w:tc>
        <w:tc>
          <w:tcPr>
            <w:tcW w:type="dxa" w:w="6800"/>
            <w:tcMar>
              <w:top w:type="dxa" w:w="80"/>
              <w:left w:type="dxa" w:w="120"/>
              <w:bottom w:type="dxa" w:w="80"/>
              <w:right w:type="dxa" w:w="120"/>
            </w:tcMar>
            <w:shd w:val="clear" w:fill="E8F5E9"/>
          </w:tcPr>
          <w:p>
            <w:pPr>
              <w:shd w:val="clear" w:fill="E8F5E9"/>
            </w:pPr>
            <w:r>
              <w:rPr>
                <w:sz w:val="22"/>
              </w:rPr>
              <w:t xml:space="preserve">Loader (dans son rôle de gestionnaire du catalogue produits)</w:t>
            </w:r>
          </w:p>
        </w:tc>
      </w:tr>
      <w:tr>
        <w:tc>
          <w:tcPr>
            <w:tcW w:type="dxa" w:w="2400"/>
            <w:tcMar>
              <w:top w:type="dxa" w:w="80"/>
              <w:left w:type="dxa" w:w="120"/>
              <w:bottom w:type="dxa" w:w="80"/>
              <w:right w:type="dxa" w:w="120"/>
            </w:tcMar>
            <w:shd w:val="clear" w:fill="E8F5E9"/>
          </w:tcPr>
          <w:p>
            <w:pPr>
              <w:shd w:val="clear" w:fill="E8F5E9"/>
            </w:pPr>
            <w:r>
              <w:rPr>
                <w:sz w:val="22"/>
                <w:b/>
              </w:rPr>
              <w:t xml:space="preserve">Précondition</w:t>
            </w:r>
          </w:p>
        </w:tc>
        <w:tc>
          <w:tcPr>
            <w:tcW w:type="dxa" w:w="6800"/>
            <w:tcMar>
              <w:top w:type="dxa" w:w="80"/>
              <w:left w:type="dxa" w:w="120"/>
              <w:bottom w:type="dxa" w:w="80"/>
              <w:right w:type="dxa" w:w="120"/>
            </w:tcMar>
            <w:shd w:val="clear" w:fill="E8F5E9"/>
          </w:tcPr>
          <w:p>
            <w:pPr>
              <w:shd w:val="clear" w:fill="E8F5E9"/>
            </w:pPr>
            <w:r>
              <w:rPr>
                <w:sz w:val="22"/>
              </w:rPr>
              <w:t xml:space="preserve">Les Companies existent avec leurs licences.</w:t>
            </w:r>
          </w:p>
        </w:tc>
      </w:tr>
      <w:tr>
        <w:tc>
          <w:tcPr>
            <w:tcW w:type="dxa" w:w="2400"/>
            <w:tcMar>
              <w:top w:type="dxa" w:w="80"/>
              <w:left w:type="dxa" w:w="120"/>
              <w:bottom w:type="dxa" w:w="80"/>
              <w:right w:type="dxa" w:w="120"/>
            </w:tcMar>
            <w:shd w:val="clear" w:fill="E8F5E9"/>
          </w:tcPr>
          <w:p>
            <w:pPr>
              <w:shd w:val="clear" w:fill="E8F5E9"/>
            </w:pPr>
            <w:r>
              <w:rPr>
                <w:sz w:val="22"/>
                <w:b/>
              </w:rPr>
              <w:t xml:space="preserve">Déclencheur</w:t>
            </w:r>
          </w:p>
        </w:tc>
        <w:tc>
          <w:tcPr>
            <w:tcW w:type="dxa" w:w="6800"/>
            <w:tcMar>
              <w:top w:type="dxa" w:w="80"/>
              <w:left w:type="dxa" w:w="120"/>
              <w:bottom w:type="dxa" w:w="80"/>
              <w:right w:type="dxa" w:w="120"/>
            </w:tcMar>
            <w:shd w:val="clear" w:fill="E8F5E9"/>
          </w:tcPr>
          <w:p>
            <w:pPr>
              <w:shd w:val="clear" w:fill="E8F5E9"/>
            </w:pPr>
            <w:r>
              <w:rPr>
                <w:sz w:val="22"/>
              </w:rPr>
              <w:t xml:space="preserve">Phase de création du catalogue produits.</w:t>
            </w:r>
          </w:p>
        </w:tc>
      </w:tr>
      <w:tr>
        <w:tc>
          <w:tcPr>
            <w:tcW w:type="dxa" w:w="2400"/>
            <w:tcMar>
              <w:top w:type="dxa" w:w="80"/>
              <w:left w:type="dxa" w:w="120"/>
              <w:bottom w:type="dxa" w:w="80"/>
              <w:right w:type="dxa" w:w="120"/>
            </w:tcMar>
            <w:shd w:val="clear" w:fill="E8F5E9"/>
          </w:tcPr>
          <w:p>
            <w:pPr>
              <w:shd w:val="clear" w:fill="E8F5E9"/>
            </w:pPr>
            <w:r>
              <w:rPr>
                <w:sz w:val="22"/>
                <w:b/>
              </w:rPr>
              <w:t xml:space="preserve">Postcondition</w:t>
            </w:r>
          </w:p>
        </w:tc>
        <w:tc>
          <w:tcPr>
            <w:tcW w:type="dxa" w:w="6800"/>
            <w:tcMar>
              <w:top w:type="dxa" w:w="80"/>
              <w:left w:type="dxa" w:w="120"/>
              <w:bottom w:type="dxa" w:w="80"/>
              <w:right w:type="dxa" w:w="120"/>
            </w:tcMar>
            <w:shd w:val="clear" w:fill="E8F5E9"/>
          </w:tcPr>
          <w:p>
            <w:pPr>
              <w:shd w:val="clear" w:fill="E8F5E9"/>
            </w:pPr>
            <w:r>
              <w:rPr>
                <w:sz w:val="22"/>
              </w:rPr>
              <w:t xml:space="preserve">Le catalogue produits Collecte (CASH, CASH_DAT, PRODUCT) et Prêt (Nano, Macro, BNPL, ReadyToGo) est créé et rattaché aux Companies éligibles selon leur licence.</w:t>
            </w:r>
          </w:p>
        </w:tc>
      </w:tr>
      <w:tr>
        <w:tc>
          <w:tcPr>
            <w:tcW w:type="dxa" w:w="2400"/>
            <w:tcMar>
              <w:top w:type="dxa" w:w="80"/>
              <w:left w:type="dxa" w:w="120"/>
              <w:bottom w:type="dxa" w:w="80"/>
              <w:right w:type="dxa" w:w="120"/>
            </w:tcMar>
            <w:shd w:val="clear" w:fill="E8F5E9"/>
          </w:tcPr>
          <w:p>
            <w:pPr>
              <w:shd w:val="clear" w:fill="E8F5E9"/>
            </w:pPr>
            <w:r>
              <w:rPr>
                <w:sz w:val="22"/>
                <w:b/>
              </w:rPr>
              <w:t xml:space="preserve">Scénario nominal</w:t>
            </w:r>
          </w:p>
        </w:tc>
        <w:tc>
          <w:tcPr>
            <w:tcW w:type="dxa" w:w="6800"/>
            <w:tcMar>
              <w:top w:type="dxa" w:w="80"/>
              <w:left w:type="dxa" w:w="120"/>
              <w:bottom w:type="dxa" w:w="80"/>
              <w:right w:type="dxa" w:w="120"/>
            </w:tcMar>
            <w:shd w:val="clear" w:fill="E8F5E9"/>
          </w:tcPr>
          <w:p>
            <w:pPr>
              <w:shd w:val="clear" w:fill="E8F5E9"/>
            </w:pPr>
            <w:r>
              <w:rPr>
                <w:sz w:val="22"/>
              </w:rPr>
              <w:t xml:space="preserve">1) Le Loader lit le fichier loan_json.json officiel du référent loan-simulation pour les 4 produits crédit. 2) Il définit les 3 produits Collecte selon les spécifications FinZuu. 3) Il rattache chaque produit aux Companies dont la licence l'autorise (READY_CASH pour crédit, READY_COLLECTE pour Collecte, ALL pour les deux). 4) Il enregistre les fourchettes de montants par segment.</w:t>
            </w:r>
          </w:p>
        </w:tc>
      </w:tr>
      <w:tr>
        <w:tc>
          <w:tcPr>
            <w:tcW w:type="dxa" w:w="2400"/>
            <w:tcMar>
              <w:top w:type="dxa" w:w="80"/>
              <w:left w:type="dxa" w:w="120"/>
              <w:bottom w:type="dxa" w:w="80"/>
              <w:right w:type="dxa" w:w="120"/>
            </w:tcMar>
            <w:shd w:val="clear" w:fill="E8F5E9"/>
          </w:tcPr>
          <w:p>
            <w:pPr>
              <w:shd w:val="clear" w:fill="E8F5E9"/>
            </w:pPr>
            <w:r>
              <w:rPr>
                <w:sz w:val="22"/>
                <w:b/>
              </w:rPr>
              <w:t xml:space="preserve">Cas alternatif</w:t>
            </w:r>
          </w:p>
        </w:tc>
        <w:tc>
          <w:tcPr>
            <w:tcW w:type="dxa" w:w="6800"/>
            <w:tcMar>
              <w:top w:type="dxa" w:w="80"/>
              <w:left w:type="dxa" w:w="120"/>
              <w:bottom w:type="dxa" w:w="80"/>
              <w:right w:type="dxa" w:w="120"/>
            </w:tcMar>
            <w:shd w:val="clear" w:fill="E8F5E9"/>
          </w:tcPr>
          <w:p>
            <w:pPr>
              <w:shd w:val="clear" w:fill="E8F5E9"/>
            </w:pPr>
            <w:r>
              <w:rPr>
                <w:sz w:val="22"/>
              </w:rPr>
              <w:t xml:space="preserve">Si le fichier loan_json.json contient des irrégularités de format, le parser tolérant du Loader normalise les entrées avant chargement.</w:t>
            </w:r>
          </w:p>
        </w:tc>
      </w:tr>
      <w:tr>
        <w:tc>
          <w:tcPr>
            <w:tcW w:type="dxa" w:w="2400"/>
            <w:tcMar>
              <w:top w:type="dxa" w:w="80"/>
              <w:left w:type="dxa" w:w="120"/>
              <w:bottom w:type="dxa" w:w="80"/>
              <w:right w:type="dxa" w:w="120"/>
            </w:tcMar>
            <w:shd w:val="clear" w:fill="E8F5E9"/>
          </w:tcPr>
          <w:p>
            <w:pPr>
              <w:shd w:val="clear" w:fill="E8F5E9"/>
            </w:pPr>
            <w:r>
              <w:rPr>
                <w:sz w:val="22"/>
                <w:b/>
              </w:rPr>
              <w:t xml:space="preserve">Exception</w:t>
            </w:r>
          </w:p>
        </w:tc>
        <w:tc>
          <w:tcPr>
            <w:tcW w:type="dxa" w:w="6800"/>
            <w:tcMar>
              <w:top w:type="dxa" w:w="80"/>
              <w:left w:type="dxa" w:w="120"/>
              <w:bottom w:type="dxa" w:w="80"/>
              <w:right w:type="dxa" w:w="120"/>
            </w:tcMar>
            <w:shd w:val="clear" w:fill="E8F5E9"/>
          </w:tcPr>
          <w:p>
            <w:pPr>
              <w:shd w:val="clear" w:fill="E8F5E9"/>
            </w:pPr>
            <w:r>
              <w:rPr>
                <w:sz w:val="22"/>
              </w:rPr>
              <w:t xml:space="preserve">Si le fichier loan_json.json est introuvable, l'exécution est interrompue avec journalisation explicite. Aucun prêt ne peut être généré sans catalogue.</w:t>
            </w:r>
          </w:p>
        </w:tc>
      </w:tr>
      <w:tr>
        <w:tc>
          <w:tcPr>
            <w:tcW w:type="dxa" w:w="2400"/>
            <w:tcMar>
              <w:top w:type="dxa" w:w="80"/>
              <w:left w:type="dxa" w:w="120"/>
              <w:bottom w:type="dxa" w:w="80"/>
              <w:right w:type="dxa" w:w="120"/>
            </w:tcMar>
            <w:shd w:val="clear" w:fill="E8F5E9"/>
          </w:tcPr>
          <w:p>
            <w:pPr>
              <w:shd w:val="clear" w:fill="E8F5E9"/>
            </w:pPr>
            <w:r>
              <w:rPr>
                <w:sz w:val="22"/>
                <w:b/>
              </w:rPr>
              <w:t xml:space="preserve">Exigences couvertes</w:t>
            </w:r>
          </w:p>
        </w:tc>
        <w:tc>
          <w:tcPr>
            <w:tcW w:type="dxa" w:w="6800"/>
            <w:tcMar>
              <w:top w:type="dxa" w:w="80"/>
              <w:left w:type="dxa" w:w="120"/>
              <w:bottom w:type="dxa" w:w="80"/>
              <w:right w:type="dxa" w:w="120"/>
            </w:tcMar>
            <w:shd w:val="clear" w:fill="E8F5E9"/>
          </w:tcPr>
          <w:p>
            <w:pPr>
              <w:shd w:val="clear" w:fill="E8F5E9"/>
            </w:pPr>
            <w:r>
              <w:rPr>
                <w:sz w:val="22"/>
              </w:rPr>
              <w:t xml:space="preserve">EF-11, EF-69</w:t>
            </w:r>
          </w:p>
        </w:tc>
      </w:tr>
    </w:tbl>
    <w:p/>
    <w:p>
      <w:pPr>
        <w:pStyle w:val="Heading3"/>
        <w:shd w:val="clear" w:fill="E8F5E9"/>
      </w:pPr>
      <w:r>
        <w:rPr>
          <w:color w:val="6B2E9E"/>
          <w:b/>
        </w:rPr>
        <w:t xml:space="preserve">UC-12 — Consommation Faker et validation de la cohérence pays et opérateur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Mar>
              <w:top w:type="dxa" w:w="100"/>
              <w:left w:type="dxa" w:w="120"/>
              <w:bottom w:type="dxa" w:w="100"/>
              <w:right w:type="dxa" w:w="120"/>
            </w:tcMar>
            <w:shd w:val="clear" w:fill="E8F5E9"/>
          </w:tcPr>
          <w:p>
            <w:pPr>
              <w:shd w:val="clear" w:fill="E8F5E9"/>
            </w:pPr>
            <w:r>
              <w:rPr>
                <w:sz w:val="22"/>
                <w:b/>
              </w:rPr>
              <w:t xml:space="preserve">Champ</w:t>
            </w:r>
          </w:p>
        </w:tc>
        <w:tc>
          <w:tcPr>
            <w:tcW w:type="dxa" w:w="6800"/>
            <w:tcMar>
              <w:top w:type="dxa" w:w="100"/>
              <w:left w:type="dxa" w:w="120"/>
              <w:bottom w:type="dxa" w:w="100"/>
              <w:right w:type="dxa" w:w="120"/>
            </w:tcMar>
            <w:shd w:val="clear" w:fill="E8F5E9"/>
          </w:tcPr>
          <w:p>
            <w:pPr>
              <w:shd w:val="clear" w:fill="E8F5E9"/>
            </w:pPr>
            <w:r>
              <w:rPr>
                <w:sz w:val="22"/>
                <w:b/>
              </w:rPr>
              <w:t xml:space="preserve">Contenu</w:t>
            </w:r>
          </w:p>
        </w:tc>
      </w:tr>
      <w:tr>
        <w:tc>
          <w:tcPr>
            <w:tcW w:type="dxa" w:w="2400"/>
            <w:tcMar>
              <w:top w:type="dxa" w:w="80"/>
              <w:left w:type="dxa" w:w="120"/>
              <w:bottom w:type="dxa" w:w="80"/>
              <w:right w:type="dxa" w:w="120"/>
            </w:tcMar>
            <w:shd w:val="clear" w:fill="E8F5E9"/>
          </w:tcPr>
          <w:p>
            <w:pPr>
              <w:shd w:val="clear" w:fill="E8F5E9"/>
            </w:pPr>
            <w:r>
              <w:rPr>
                <w:sz w:val="22"/>
                <w:b/>
              </w:rPr>
              <w:t xml:space="preserve">Acteur principal</w:t>
            </w:r>
          </w:p>
        </w:tc>
        <w:tc>
          <w:tcPr>
            <w:tcW w:type="dxa" w:w="6800"/>
            <w:tcMar>
              <w:top w:type="dxa" w:w="80"/>
              <w:left w:type="dxa" w:w="120"/>
              <w:bottom w:type="dxa" w:w="80"/>
              <w:right w:type="dxa" w:w="120"/>
            </w:tcMar>
            <w:shd w:val="clear" w:fill="E8F5E9"/>
          </w:tcPr>
          <w:p>
            <w:pPr>
              <w:shd w:val="clear" w:fill="E8F5E9"/>
            </w:pPr>
            <w:r>
              <w:rPr>
                <w:sz w:val="22"/>
              </w:rPr>
              <w:t xml:space="preserve">Loader (dans son rôle de consommateur de payloads clients)</w:t>
            </w:r>
          </w:p>
        </w:tc>
      </w:tr>
      <w:tr>
        <w:tc>
          <w:tcPr>
            <w:tcW w:type="dxa" w:w="2400"/>
            <w:tcMar>
              <w:top w:type="dxa" w:w="80"/>
              <w:left w:type="dxa" w:w="120"/>
              <w:bottom w:type="dxa" w:w="80"/>
              <w:right w:type="dxa" w:w="120"/>
            </w:tcMar>
            <w:shd w:val="clear" w:fill="E8F5E9"/>
          </w:tcPr>
          <w:p>
            <w:pPr>
              <w:shd w:val="clear" w:fill="E8F5E9"/>
            </w:pPr>
            <w:r>
              <w:rPr>
                <w:sz w:val="22"/>
                <w:b/>
              </w:rPr>
              <w:t xml:space="preserve">Précondition</w:t>
            </w:r>
          </w:p>
        </w:tc>
        <w:tc>
          <w:tcPr>
            <w:tcW w:type="dxa" w:w="6800"/>
            <w:tcMar>
              <w:top w:type="dxa" w:w="80"/>
              <w:left w:type="dxa" w:w="120"/>
              <w:bottom w:type="dxa" w:w="80"/>
              <w:right w:type="dxa" w:w="120"/>
            </w:tcMar>
            <w:shd w:val="clear" w:fill="E8F5E9"/>
          </w:tcPr>
          <w:p>
            <w:pPr>
              <w:shd w:val="clear" w:fill="E8F5E9"/>
            </w:pPr>
            <w:r>
              <w:rPr>
                <w:sz w:val="22"/>
              </w:rPr>
              <w:t xml:space="preserve">Le référentiel géographique et les opérateurs telco sont chargés. Le catalogue produits est établi.</w:t>
            </w:r>
          </w:p>
        </w:tc>
      </w:tr>
      <w:tr>
        <w:tc>
          <w:tcPr>
            <w:tcW w:type="dxa" w:w="2400"/>
            <w:tcMar>
              <w:top w:type="dxa" w:w="80"/>
              <w:left w:type="dxa" w:w="120"/>
              <w:bottom w:type="dxa" w:w="80"/>
              <w:right w:type="dxa" w:w="120"/>
            </w:tcMar>
            <w:shd w:val="clear" w:fill="E8F5E9"/>
          </w:tcPr>
          <w:p>
            <w:pPr>
              <w:shd w:val="clear" w:fill="E8F5E9"/>
            </w:pPr>
            <w:r>
              <w:rPr>
                <w:sz w:val="22"/>
                <w:b/>
              </w:rPr>
              <w:t xml:space="preserve">Déclencheur</w:t>
            </w:r>
          </w:p>
        </w:tc>
        <w:tc>
          <w:tcPr>
            <w:tcW w:type="dxa" w:w="6800"/>
            <w:tcMar>
              <w:top w:type="dxa" w:w="80"/>
              <w:left w:type="dxa" w:w="120"/>
              <w:bottom w:type="dxa" w:w="80"/>
              <w:right w:type="dxa" w:w="120"/>
            </w:tcMar>
            <w:shd w:val="clear" w:fill="E8F5E9"/>
          </w:tcPr>
          <w:p>
            <w:pPr>
              <w:shd w:val="clear" w:fill="E8F5E9"/>
            </w:pPr>
            <w:r>
              <w:rPr>
                <w:sz w:val="22"/>
              </w:rPr>
              <w:t xml:space="preserve">Phase de population de la base client, itération journalière selon la cadence de génération.</w:t>
            </w:r>
          </w:p>
        </w:tc>
      </w:tr>
      <w:tr>
        <w:tc>
          <w:tcPr>
            <w:tcW w:type="dxa" w:w="2400"/>
            <w:tcMar>
              <w:top w:type="dxa" w:w="80"/>
              <w:left w:type="dxa" w:w="120"/>
              <w:bottom w:type="dxa" w:w="80"/>
              <w:right w:type="dxa" w:w="120"/>
            </w:tcMar>
            <w:shd w:val="clear" w:fill="E8F5E9"/>
          </w:tcPr>
          <w:p>
            <w:pPr>
              <w:shd w:val="clear" w:fill="E8F5E9"/>
            </w:pPr>
            <w:r>
              <w:rPr>
                <w:sz w:val="22"/>
                <w:b/>
              </w:rPr>
              <w:t xml:space="preserve">Postcondition</w:t>
            </w:r>
          </w:p>
        </w:tc>
        <w:tc>
          <w:tcPr>
            <w:tcW w:type="dxa" w:w="6800"/>
            <w:tcMar>
              <w:top w:type="dxa" w:w="80"/>
              <w:left w:type="dxa" w:w="120"/>
              <w:bottom w:type="dxa" w:w="80"/>
              <w:right w:type="dxa" w:w="120"/>
            </w:tcMar>
            <w:shd w:val="clear" w:fill="E8F5E9"/>
          </w:tcPr>
          <w:p>
            <w:pPr>
              <w:shd w:val="clear" w:fill="E8F5E9"/>
            </w:pPr>
            <w:r>
              <w:rPr>
                <w:sz w:val="22"/>
              </w:rPr>
              <w:t xml:space="preserve">Un payload client complet (Individual ou Business) est récupéré depuis Faker fintech4esg, validé pour la cohérence pays et opérateur, et prêt à être onboarder.</w:t>
            </w:r>
          </w:p>
        </w:tc>
      </w:tr>
      <w:tr>
        <w:tc>
          <w:tcPr>
            <w:tcW w:type="dxa" w:w="2400"/>
            <w:tcMar>
              <w:top w:type="dxa" w:w="80"/>
              <w:left w:type="dxa" w:w="120"/>
              <w:bottom w:type="dxa" w:w="80"/>
              <w:right w:type="dxa" w:w="120"/>
            </w:tcMar>
            <w:shd w:val="clear" w:fill="E8F5E9"/>
          </w:tcPr>
          <w:p>
            <w:pPr>
              <w:shd w:val="clear" w:fill="E8F5E9"/>
            </w:pPr>
            <w:r>
              <w:rPr>
                <w:sz w:val="22"/>
                <w:b/>
              </w:rPr>
              <w:t xml:space="preserve">Scénario nominal</w:t>
            </w:r>
          </w:p>
        </w:tc>
        <w:tc>
          <w:tcPr>
            <w:tcW w:type="dxa" w:w="6800"/>
            <w:tcMar>
              <w:top w:type="dxa" w:w="80"/>
              <w:left w:type="dxa" w:w="120"/>
              <w:bottom w:type="dxa" w:w="80"/>
              <w:right w:type="dxa" w:w="120"/>
            </w:tcMar>
            <w:shd w:val="clear" w:fill="E8F5E9"/>
          </w:tcPr>
          <w:p>
            <w:pPr>
              <w:shd w:val="clear" w:fill="E8F5E9"/>
            </w:pPr>
            <w:r>
              <w:rPr>
                <w:sz w:val="22"/>
              </w:rPr>
              <w:t xml:space="preserve">1) Le Loader appelle l'endpoint Faker approprié selon le type de client cible avec un seed variable pour garantir la diversité. 2) Il reçoit un payload contenant identité, MSISDN, géographie native, features, décision de scoring APPROVED ou DECLINED, produit sélectionné, montant sélectionné, segment de risque et historique de crédit éventuel. 3) Il vérifie que le pays retourné fait partie des 4 pays cibles CM, CI, BF, SN. 4) Il vérifie que le MSISDN respecte le regex de l'opérateur du pays. 5) Il vérifie que le client_id n'est pas déjà présent dans le registre local (garantie d'unicité).</w:t>
            </w:r>
          </w:p>
        </w:tc>
      </w:tr>
      <w:tr>
        <w:tc>
          <w:tcPr>
            <w:tcW w:type="dxa" w:w="2400"/>
            <w:tcMar>
              <w:top w:type="dxa" w:w="80"/>
              <w:left w:type="dxa" w:w="120"/>
              <w:bottom w:type="dxa" w:w="80"/>
              <w:right w:type="dxa" w:w="120"/>
            </w:tcMar>
            <w:shd w:val="clear" w:fill="E8F5E9"/>
          </w:tcPr>
          <w:p>
            <w:pPr>
              <w:shd w:val="clear" w:fill="E8F5E9"/>
            </w:pPr>
            <w:r>
              <w:rPr>
                <w:sz w:val="22"/>
                <w:b/>
              </w:rPr>
              <w:t xml:space="preserve">Cas alternatif</w:t>
            </w:r>
          </w:p>
        </w:tc>
        <w:tc>
          <w:tcPr>
            <w:tcW w:type="dxa" w:w="6800"/>
            <w:tcMar>
              <w:top w:type="dxa" w:w="80"/>
              <w:left w:type="dxa" w:w="120"/>
              <w:bottom w:type="dxa" w:w="80"/>
              <w:right w:type="dxa" w:w="120"/>
            </w:tcMar>
            <w:shd w:val="clear" w:fill="E8F5E9"/>
          </w:tcPr>
          <w:p>
            <w:pPr>
              <w:shd w:val="clear" w:fill="E8F5E9"/>
            </w:pPr>
            <w:r>
              <w:rPr>
                <w:sz w:val="22"/>
              </w:rPr>
              <w:t xml:space="preserve">Si le client_id est déjà consommé (déterminisme du cache Redis Faker), le Loader change le paramètre seed et refait un appel jusqu'à obtenir un nouveau client_id unique.</w:t>
            </w:r>
          </w:p>
        </w:tc>
      </w:tr>
      <w:tr>
        <w:tc>
          <w:tcPr>
            <w:tcW w:type="dxa" w:w="2400"/>
            <w:tcMar>
              <w:top w:type="dxa" w:w="80"/>
              <w:left w:type="dxa" w:w="120"/>
              <w:bottom w:type="dxa" w:w="80"/>
              <w:right w:type="dxa" w:w="120"/>
            </w:tcMar>
            <w:shd w:val="clear" w:fill="E8F5E9"/>
          </w:tcPr>
          <w:p>
            <w:pPr>
              <w:shd w:val="clear" w:fill="E8F5E9"/>
            </w:pPr>
            <w:r>
              <w:rPr>
                <w:sz w:val="22"/>
                <w:b/>
              </w:rPr>
              <w:t xml:space="preserve">Exception</w:t>
            </w:r>
          </w:p>
        </w:tc>
        <w:tc>
          <w:tcPr>
            <w:tcW w:type="dxa" w:w="6800"/>
            <w:tcMar>
              <w:top w:type="dxa" w:w="80"/>
              <w:left w:type="dxa" w:w="120"/>
              <w:bottom w:type="dxa" w:w="80"/>
              <w:right w:type="dxa" w:w="120"/>
            </w:tcMar>
            <w:shd w:val="clear" w:fill="E8F5E9"/>
          </w:tcPr>
          <w:p>
            <w:pPr>
              <w:shd w:val="clear" w:fill="E8F5E9"/>
            </w:pPr>
            <w:r>
              <w:rPr>
                <w:sz w:val="22"/>
              </w:rPr>
              <w:t xml:space="preserve">Si l'API Faker retourne une erreur ou un timeout, le Loader applique une stratégie de repli sur un cache local des payloads récemment récupérés.</w:t>
            </w:r>
          </w:p>
        </w:tc>
      </w:tr>
      <w:tr>
        <w:tc>
          <w:tcPr>
            <w:tcW w:type="dxa" w:w="2400"/>
            <w:tcMar>
              <w:top w:type="dxa" w:w="80"/>
              <w:left w:type="dxa" w:w="120"/>
              <w:bottom w:type="dxa" w:w="80"/>
              <w:right w:type="dxa" w:w="120"/>
            </w:tcMar>
            <w:shd w:val="clear" w:fill="E8F5E9"/>
          </w:tcPr>
          <w:p>
            <w:pPr>
              <w:shd w:val="clear" w:fill="E8F5E9"/>
            </w:pPr>
            <w:r>
              <w:rPr>
                <w:sz w:val="22"/>
                <w:b/>
              </w:rPr>
              <w:t xml:space="preserve">Exigences couvertes</w:t>
            </w:r>
          </w:p>
        </w:tc>
        <w:tc>
          <w:tcPr>
            <w:tcW w:type="dxa" w:w="6800"/>
            <w:tcMar>
              <w:top w:type="dxa" w:w="80"/>
              <w:left w:type="dxa" w:w="120"/>
              <w:bottom w:type="dxa" w:w="80"/>
              <w:right w:type="dxa" w:w="120"/>
            </w:tcMar>
            <w:shd w:val="clear" w:fill="E8F5E9"/>
          </w:tcPr>
          <w:p>
            <w:pPr>
              <w:shd w:val="clear" w:fill="E8F5E9"/>
            </w:pPr>
            <w:r>
              <w:rPr>
                <w:sz w:val="22"/>
              </w:rPr>
              <w:t xml:space="preserve">EF-20, EF-21, EF-22, EF-23, EF-24, EF-25</w:t>
            </w:r>
          </w:p>
        </w:tc>
      </w:tr>
    </w:tbl>
    <w:p/>
    <w:p>
      <w:pPr>
        <w:pStyle w:val="Heading3"/>
        <w:shd w:val="clear" w:fill="E8F5E9"/>
      </w:pPr>
      <w:r>
        <w:rPr>
          <w:color w:val="6B2E9E"/>
          <w:b/>
        </w:rPr>
        <w:t xml:space="preserve">UC-13 — Onboarding du client, incluant identité KYC et rattachement à un Kiosque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Mar>
              <w:top w:type="dxa" w:w="100"/>
              <w:left w:type="dxa" w:w="120"/>
              <w:bottom w:type="dxa" w:w="100"/>
              <w:right w:type="dxa" w:w="120"/>
            </w:tcMar>
            <w:shd w:val="clear" w:fill="E8F5E9"/>
          </w:tcPr>
          <w:p>
            <w:pPr>
              <w:shd w:val="clear" w:fill="E8F5E9"/>
            </w:pPr>
            <w:r>
              <w:rPr>
                <w:sz w:val="22"/>
                <w:b/>
              </w:rPr>
              <w:t xml:space="preserve">Champ</w:t>
            </w:r>
          </w:p>
        </w:tc>
        <w:tc>
          <w:tcPr>
            <w:tcW w:type="dxa" w:w="6800"/>
            <w:tcMar>
              <w:top w:type="dxa" w:w="100"/>
              <w:left w:type="dxa" w:w="120"/>
              <w:bottom w:type="dxa" w:w="100"/>
              <w:right w:type="dxa" w:w="120"/>
            </w:tcMar>
            <w:shd w:val="clear" w:fill="E8F5E9"/>
          </w:tcPr>
          <w:p>
            <w:pPr>
              <w:shd w:val="clear" w:fill="E8F5E9"/>
            </w:pPr>
            <w:r>
              <w:rPr>
                <w:sz w:val="22"/>
                <w:b/>
              </w:rPr>
              <w:t xml:space="preserve">Contenu</w:t>
            </w:r>
          </w:p>
        </w:tc>
      </w:tr>
      <w:tr>
        <w:tc>
          <w:tcPr>
            <w:tcW w:type="dxa" w:w="2400"/>
            <w:tcMar>
              <w:top w:type="dxa" w:w="80"/>
              <w:left w:type="dxa" w:w="120"/>
              <w:bottom w:type="dxa" w:w="80"/>
              <w:right w:type="dxa" w:w="120"/>
            </w:tcMar>
            <w:shd w:val="clear" w:fill="E8F5E9"/>
          </w:tcPr>
          <w:p>
            <w:pPr>
              <w:shd w:val="clear" w:fill="E8F5E9"/>
            </w:pPr>
            <w:r>
              <w:rPr>
                <w:sz w:val="22"/>
                <w:b/>
              </w:rPr>
              <w:t xml:space="preserve">Acteur principal</w:t>
            </w:r>
          </w:p>
        </w:tc>
        <w:tc>
          <w:tcPr>
            <w:tcW w:type="dxa" w:w="6800"/>
            <w:tcMar>
              <w:top w:type="dxa" w:w="80"/>
              <w:left w:type="dxa" w:w="120"/>
              <w:bottom w:type="dxa" w:w="80"/>
              <w:right w:type="dxa" w:w="120"/>
            </w:tcMar>
            <w:shd w:val="clear" w:fill="E8F5E9"/>
          </w:tcPr>
          <w:p>
            <w:pPr>
              <w:shd w:val="clear" w:fill="E8F5E9"/>
            </w:pPr>
            <w:r>
              <w:rPr>
                <w:sz w:val="22"/>
              </w:rPr>
              <w:t xml:space="preserve">Loader (dans son rôle d'onboarder de clients)</w:t>
            </w:r>
          </w:p>
        </w:tc>
      </w:tr>
      <w:tr>
        <w:tc>
          <w:tcPr>
            <w:tcW w:type="dxa" w:w="2400"/>
            <w:tcMar>
              <w:top w:type="dxa" w:w="80"/>
              <w:left w:type="dxa" w:w="120"/>
              <w:bottom w:type="dxa" w:w="80"/>
              <w:right w:type="dxa" w:w="120"/>
            </w:tcMar>
            <w:shd w:val="clear" w:fill="E8F5E9"/>
          </w:tcPr>
          <w:p>
            <w:pPr>
              <w:shd w:val="clear" w:fill="E8F5E9"/>
            </w:pPr>
            <w:r>
              <w:rPr>
                <w:sz w:val="22"/>
                <w:b/>
              </w:rPr>
              <w:t xml:space="preserve">Précondition</w:t>
            </w:r>
          </w:p>
        </w:tc>
        <w:tc>
          <w:tcPr>
            <w:tcW w:type="dxa" w:w="6800"/>
            <w:tcMar>
              <w:top w:type="dxa" w:w="80"/>
              <w:left w:type="dxa" w:w="120"/>
              <w:bottom w:type="dxa" w:w="80"/>
              <w:right w:type="dxa" w:w="120"/>
            </w:tcMar>
            <w:shd w:val="clear" w:fill="E8F5E9"/>
          </w:tcPr>
          <w:p>
            <w:pPr>
              <w:shd w:val="clear" w:fill="E8F5E9"/>
            </w:pPr>
            <w:r>
              <w:rPr>
                <w:sz w:val="22"/>
              </w:rPr>
              <w:t xml:space="preserve">Un payload client valide est obtenu via UC-12.</w:t>
            </w:r>
          </w:p>
        </w:tc>
      </w:tr>
      <w:tr>
        <w:tc>
          <w:tcPr>
            <w:tcW w:type="dxa" w:w="2400"/>
            <w:tcMar>
              <w:top w:type="dxa" w:w="80"/>
              <w:left w:type="dxa" w:w="120"/>
              <w:bottom w:type="dxa" w:w="80"/>
              <w:right w:type="dxa" w:w="120"/>
            </w:tcMar>
            <w:shd w:val="clear" w:fill="E8F5E9"/>
          </w:tcPr>
          <w:p>
            <w:pPr>
              <w:shd w:val="clear" w:fill="E8F5E9"/>
            </w:pPr>
            <w:r>
              <w:rPr>
                <w:sz w:val="22"/>
                <w:b/>
              </w:rPr>
              <w:t xml:space="preserve">Déclencheur</w:t>
            </w:r>
          </w:p>
        </w:tc>
        <w:tc>
          <w:tcPr>
            <w:tcW w:type="dxa" w:w="6800"/>
            <w:tcMar>
              <w:top w:type="dxa" w:w="80"/>
              <w:left w:type="dxa" w:w="120"/>
              <w:bottom w:type="dxa" w:w="80"/>
              <w:right w:type="dxa" w:w="120"/>
            </w:tcMar>
            <w:shd w:val="clear" w:fill="E8F5E9"/>
          </w:tcPr>
          <w:p>
            <w:pPr>
              <w:shd w:val="clear" w:fill="E8F5E9"/>
            </w:pPr>
            <w:r>
              <w:rPr>
                <w:sz w:val="22"/>
              </w:rPr>
              <w:t xml:space="preserve">Après validation du payload Faker.</w:t>
            </w:r>
          </w:p>
        </w:tc>
      </w:tr>
      <w:tr>
        <w:tc>
          <w:tcPr>
            <w:tcW w:type="dxa" w:w="2400"/>
            <w:tcMar>
              <w:top w:type="dxa" w:w="80"/>
              <w:left w:type="dxa" w:w="120"/>
              <w:bottom w:type="dxa" w:w="80"/>
              <w:right w:type="dxa" w:w="120"/>
            </w:tcMar>
            <w:shd w:val="clear" w:fill="E8F5E9"/>
          </w:tcPr>
          <w:p>
            <w:pPr>
              <w:shd w:val="clear" w:fill="E8F5E9"/>
            </w:pPr>
            <w:r>
              <w:rPr>
                <w:sz w:val="22"/>
                <w:b/>
              </w:rPr>
              <w:t xml:space="preserve">Postcondition</w:t>
            </w:r>
          </w:p>
        </w:tc>
        <w:tc>
          <w:tcPr>
            <w:tcW w:type="dxa" w:w="6800"/>
            <w:tcMar>
              <w:top w:type="dxa" w:w="80"/>
              <w:left w:type="dxa" w:w="120"/>
              <w:bottom w:type="dxa" w:w="80"/>
              <w:right w:type="dxa" w:w="120"/>
            </w:tcMar>
            <w:shd w:val="clear" w:fill="E8F5E9"/>
          </w:tcPr>
          <w:p>
            <w:pPr>
              <w:shd w:val="clear" w:fill="E8F5E9"/>
            </w:pPr>
            <w:r>
              <w:rPr>
                <w:sz w:val="22"/>
              </w:rPr>
              <w:t xml:space="preserve">Le client est enregistré dans la base FinZuu avec son identité complète, son MSISDN validé, un Kiosque de rattachement dans son pays, et 1 à 3 souscriptions à des produits Collecte.</w:t>
            </w:r>
          </w:p>
        </w:tc>
      </w:tr>
      <w:tr>
        <w:tc>
          <w:tcPr>
            <w:tcW w:type="dxa" w:w="2400"/>
            <w:tcMar>
              <w:top w:type="dxa" w:w="80"/>
              <w:left w:type="dxa" w:w="120"/>
              <w:bottom w:type="dxa" w:w="80"/>
              <w:right w:type="dxa" w:w="120"/>
            </w:tcMar>
            <w:shd w:val="clear" w:fill="E8F5E9"/>
          </w:tcPr>
          <w:p>
            <w:pPr>
              <w:shd w:val="clear" w:fill="E8F5E9"/>
            </w:pPr>
            <w:r>
              <w:rPr>
                <w:sz w:val="22"/>
                <w:b/>
              </w:rPr>
              <w:t xml:space="preserve">Scénario nominal</w:t>
            </w:r>
          </w:p>
        </w:tc>
        <w:tc>
          <w:tcPr>
            <w:tcW w:type="dxa" w:w="6800"/>
            <w:tcMar>
              <w:top w:type="dxa" w:w="80"/>
              <w:left w:type="dxa" w:w="120"/>
              <w:bottom w:type="dxa" w:w="80"/>
              <w:right w:type="dxa" w:w="120"/>
            </w:tcMar>
            <w:shd w:val="clear" w:fill="E8F5E9"/>
          </w:tcPr>
          <w:p>
            <w:pPr>
              <w:shd w:val="clear" w:fill="E8F5E9"/>
            </w:pPr>
            <w:r>
              <w:rPr>
                <w:sz w:val="22"/>
              </w:rPr>
              <w:t xml:space="preserve">1) Le Loader crée l'identité du client (nom, prénom, date de naissance, sexe, pays, ville, district). 2) Il enregistre le MSISDN comme unique. 3) Il rattache le client à un Kiosque disponible dans son pays de résidence. 4) Il souscrit le client à 1 à 3 produits Collecte (CASH, CASH_DAT, PRODUCT) selon son profil segmenté.</w:t>
            </w:r>
          </w:p>
        </w:tc>
      </w:tr>
      <w:tr>
        <w:tc>
          <w:tcPr>
            <w:tcW w:type="dxa" w:w="2400"/>
            <w:tcMar>
              <w:top w:type="dxa" w:w="80"/>
              <w:left w:type="dxa" w:w="120"/>
              <w:bottom w:type="dxa" w:w="80"/>
              <w:right w:type="dxa" w:w="120"/>
            </w:tcMar>
            <w:shd w:val="clear" w:fill="E8F5E9"/>
          </w:tcPr>
          <w:p>
            <w:pPr>
              <w:shd w:val="clear" w:fill="E8F5E9"/>
            </w:pPr>
            <w:r>
              <w:rPr>
                <w:sz w:val="22"/>
                <w:b/>
              </w:rPr>
              <w:t xml:space="preserve">Cas alternatif</w:t>
            </w:r>
          </w:p>
        </w:tc>
        <w:tc>
          <w:tcPr>
            <w:tcW w:type="dxa" w:w="6800"/>
            <w:tcMar>
              <w:top w:type="dxa" w:w="80"/>
              <w:left w:type="dxa" w:w="120"/>
              <w:bottom w:type="dxa" w:w="80"/>
              <w:right w:type="dxa" w:w="120"/>
            </w:tcMar>
            <w:shd w:val="clear" w:fill="E8F5E9"/>
          </w:tcPr>
          <w:p>
            <w:pPr>
              <w:shd w:val="clear" w:fill="E8F5E9"/>
            </w:pPr>
            <w:r>
              <w:rPr>
                <w:sz w:val="22"/>
              </w:rPr>
              <w:t xml:space="preserve">Si aucun Kiosque n'est disponible dans le pays du client au moment de l'onboarding, le Loader crée un Kiosque temporaire de secours dans la région du client, marqué pour revue.</w:t>
            </w:r>
          </w:p>
        </w:tc>
      </w:tr>
      <w:tr>
        <w:tc>
          <w:tcPr>
            <w:tcW w:type="dxa" w:w="2400"/>
            <w:tcMar>
              <w:top w:type="dxa" w:w="80"/>
              <w:left w:type="dxa" w:w="120"/>
              <w:bottom w:type="dxa" w:w="80"/>
              <w:right w:type="dxa" w:w="120"/>
            </w:tcMar>
            <w:shd w:val="clear" w:fill="E8F5E9"/>
          </w:tcPr>
          <w:p>
            <w:pPr>
              <w:shd w:val="clear" w:fill="E8F5E9"/>
            </w:pPr>
            <w:r>
              <w:rPr>
                <w:sz w:val="22"/>
                <w:b/>
              </w:rPr>
              <w:t xml:space="preserve">Exception</w:t>
            </w:r>
          </w:p>
        </w:tc>
        <w:tc>
          <w:tcPr>
            <w:tcW w:type="dxa" w:w="6800"/>
            <w:tcMar>
              <w:top w:type="dxa" w:w="80"/>
              <w:left w:type="dxa" w:w="120"/>
              <w:bottom w:type="dxa" w:w="80"/>
              <w:right w:type="dxa" w:w="120"/>
            </w:tcMar>
            <w:shd w:val="clear" w:fill="E8F5E9"/>
          </w:tcPr>
          <w:p>
            <w:pPr>
              <w:shd w:val="clear" w:fill="E8F5E9"/>
            </w:pPr>
            <w:r>
              <w:rPr>
                <w:sz w:val="22"/>
              </w:rPr>
              <w:t xml:space="preserve">Si le MSISDN est déjà présent en base (doublon détecté), le Loader ignore le client et poursuit avec le suivant.</w:t>
            </w:r>
          </w:p>
        </w:tc>
      </w:tr>
      <w:tr>
        <w:tc>
          <w:tcPr>
            <w:tcW w:type="dxa" w:w="2400"/>
            <w:tcMar>
              <w:top w:type="dxa" w:w="80"/>
              <w:left w:type="dxa" w:w="120"/>
              <w:bottom w:type="dxa" w:w="80"/>
              <w:right w:type="dxa" w:w="120"/>
            </w:tcMar>
            <w:shd w:val="clear" w:fill="E8F5E9"/>
          </w:tcPr>
          <w:p>
            <w:pPr>
              <w:shd w:val="clear" w:fill="E8F5E9"/>
            </w:pPr>
            <w:r>
              <w:rPr>
                <w:sz w:val="22"/>
                <w:b/>
              </w:rPr>
              <w:t xml:space="preserve">Exigences couvertes</w:t>
            </w:r>
          </w:p>
        </w:tc>
        <w:tc>
          <w:tcPr>
            <w:tcW w:type="dxa" w:w="6800"/>
            <w:tcMar>
              <w:top w:type="dxa" w:w="80"/>
              <w:left w:type="dxa" w:w="120"/>
              <w:bottom w:type="dxa" w:w="80"/>
              <w:right w:type="dxa" w:w="120"/>
            </w:tcMar>
            <w:shd w:val="clear" w:fill="E8F5E9"/>
          </w:tcPr>
          <w:p>
            <w:pPr>
              <w:shd w:val="clear" w:fill="E8F5E9"/>
            </w:pPr>
            <w:r>
              <w:rPr>
                <w:sz w:val="22"/>
              </w:rPr>
              <w:t xml:space="preserve">EF-26, EF-27, EF-28, EF-29</w:t>
            </w:r>
          </w:p>
        </w:tc>
      </w:tr>
    </w:tbl>
    <w:p/>
    <w:p>
      <w:pPr>
        <w:pStyle w:val="Heading3"/>
        <w:shd w:val="clear" w:fill="E8F5E9"/>
      </w:pPr>
      <w:r>
        <w:rPr>
          <w:color w:val="6B2E9E"/>
          <w:b/>
        </w:rPr>
        <w:t xml:space="preserve">UC-14 — Création du compte financier du client et de son solde initial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Mar>
              <w:top w:type="dxa" w:w="100"/>
              <w:left w:type="dxa" w:w="120"/>
              <w:bottom w:type="dxa" w:w="100"/>
              <w:right w:type="dxa" w:w="120"/>
            </w:tcMar>
            <w:shd w:val="clear" w:fill="E8F5E9"/>
          </w:tcPr>
          <w:p>
            <w:pPr>
              <w:shd w:val="clear" w:fill="E8F5E9"/>
            </w:pPr>
            <w:r>
              <w:rPr>
                <w:sz w:val="22"/>
                <w:b/>
              </w:rPr>
              <w:t xml:space="preserve">Champ</w:t>
            </w:r>
          </w:p>
        </w:tc>
        <w:tc>
          <w:tcPr>
            <w:tcW w:type="dxa" w:w="6800"/>
            <w:tcMar>
              <w:top w:type="dxa" w:w="100"/>
              <w:left w:type="dxa" w:w="120"/>
              <w:bottom w:type="dxa" w:w="100"/>
              <w:right w:type="dxa" w:w="120"/>
            </w:tcMar>
            <w:shd w:val="clear" w:fill="E8F5E9"/>
          </w:tcPr>
          <w:p>
            <w:pPr>
              <w:shd w:val="clear" w:fill="E8F5E9"/>
            </w:pPr>
            <w:r>
              <w:rPr>
                <w:sz w:val="22"/>
                <w:b/>
              </w:rPr>
              <w:t xml:space="preserve">Contenu</w:t>
            </w:r>
          </w:p>
        </w:tc>
      </w:tr>
      <w:tr>
        <w:tc>
          <w:tcPr>
            <w:tcW w:type="dxa" w:w="2400"/>
            <w:tcMar>
              <w:top w:type="dxa" w:w="80"/>
              <w:left w:type="dxa" w:w="120"/>
              <w:bottom w:type="dxa" w:w="80"/>
              <w:right w:type="dxa" w:w="120"/>
            </w:tcMar>
            <w:shd w:val="clear" w:fill="E8F5E9"/>
          </w:tcPr>
          <w:p>
            <w:pPr>
              <w:shd w:val="clear" w:fill="E8F5E9"/>
            </w:pPr>
            <w:r>
              <w:rPr>
                <w:sz w:val="22"/>
                <w:b/>
              </w:rPr>
              <w:t xml:space="preserve">Acteur principal</w:t>
            </w:r>
          </w:p>
        </w:tc>
        <w:tc>
          <w:tcPr>
            <w:tcW w:type="dxa" w:w="6800"/>
            <w:tcMar>
              <w:top w:type="dxa" w:w="80"/>
              <w:left w:type="dxa" w:w="120"/>
              <w:bottom w:type="dxa" w:w="80"/>
              <w:right w:type="dxa" w:w="120"/>
            </w:tcMar>
            <w:shd w:val="clear" w:fill="E8F5E9"/>
          </w:tcPr>
          <w:p>
            <w:pPr>
              <w:shd w:val="clear" w:fill="E8F5E9"/>
            </w:pPr>
            <w:r>
              <w:rPr>
                <w:sz w:val="22"/>
              </w:rPr>
              <w:t xml:space="preserve">Loader (dans son rôle de gestionnaire des comptes clients)</w:t>
            </w:r>
          </w:p>
        </w:tc>
      </w:tr>
      <w:tr>
        <w:tc>
          <w:tcPr>
            <w:tcW w:type="dxa" w:w="2400"/>
            <w:tcMar>
              <w:top w:type="dxa" w:w="80"/>
              <w:left w:type="dxa" w:w="120"/>
              <w:bottom w:type="dxa" w:w="80"/>
              <w:right w:type="dxa" w:w="120"/>
            </w:tcMar>
            <w:shd w:val="clear" w:fill="E8F5E9"/>
          </w:tcPr>
          <w:p>
            <w:pPr>
              <w:shd w:val="clear" w:fill="E8F5E9"/>
            </w:pPr>
            <w:r>
              <w:rPr>
                <w:sz w:val="22"/>
                <w:b/>
              </w:rPr>
              <w:t xml:space="preserve">Précondition</w:t>
            </w:r>
          </w:p>
        </w:tc>
        <w:tc>
          <w:tcPr>
            <w:tcW w:type="dxa" w:w="6800"/>
            <w:tcMar>
              <w:top w:type="dxa" w:w="80"/>
              <w:left w:type="dxa" w:w="120"/>
              <w:bottom w:type="dxa" w:w="80"/>
              <w:right w:type="dxa" w:w="120"/>
            </w:tcMar>
            <w:shd w:val="clear" w:fill="E8F5E9"/>
          </w:tcPr>
          <w:p>
            <w:pPr>
              <w:shd w:val="clear" w:fill="E8F5E9"/>
            </w:pPr>
            <w:r>
              <w:rPr>
                <w:sz w:val="22"/>
              </w:rPr>
              <w:t xml:space="preserve">Le client est onboardé (UC-13).</w:t>
            </w:r>
          </w:p>
        </w:tc>
      </w:tr>
      <w:tr>
        <w:tc>
          <w:tcPr>
            <w:tcW w:type="dxa" w:w="2400"/>
            <w:tcMar>
              <w:top w:type="dxa" w:w="80"/>
              <w:left w:type="dxa" w:w="120"/>
              <w:bottom w:type="dxa" w:w="80"/>
              <w:right w:type="dxa" w:w="120"/>
            </w:tcMar>
            <w:shd w:val="clear" w:fill="E8F5E9"/>
          </w:tcPr>
          <w:p>
            <w:pPr>
              <w:shd w:val="clear" w:fill="E8F5E9"/>
            </w:pPr>
            <w:r>
              <w:rPr>
                <w:sz w:val="22"/>
                <w:b/>
              </w:rPr>
              <w:t xml:space="preserve">Déclencheur</w:t>
            </w:r>
          </w:p>
        </w:tc>
        <w:tc>
          <w:tcPr>
            <w:tcW w:type="dxa" w:w="6800"/>
            <w:tcMar>
              <w:top w:type="dxa" w:w="80"/>
              <w:left w:type="dxa" w:w="120"/>
              <w:bottom w:type="dxa" w:w="80"/>
              <w:right w:type="dxa" w:w="120"/>
            </w:tcMar>
            <w:shd w:val="clear" w:fill="E8F5E9"/>
          </w:tcPr>
          <w:p>
            <w:pPr>
              <w:shd w:val="clear" w:fill="E8F5E9"/>
            </w:pPr>
            <w:r>
              <w:rPr>
                <w:sz w:val="22"/>
              </w:rPr>
              <w:t xml:space="preserve">Après l'onboarding complet du client.</w:t>
            </w:r>
          </w:p>
        </w:tc>
      </w:tr>
      <w:tr>
        <w:tc>
          <w:tcPr>
            <w:tcW w:type="dxa" w:w="2400"/>
            <w:tcMar>
              <w:top w:type="dxa" w:w="80"/>
              <w:left w:type="dxa" w:w="120"/>
              <w:bottom w:type="dxa" w:w="80"/>
              <w:right w:type="dxa" w:w="120"/>
            </w:tcMar>
            <w:shd w:val="clear" w:fill="E8F5E9"/>
          </w:tcPr>
          <w:p>
            <w:pPr>
              <w:shd w:val="clear" w:fill="E8F5E9"/>
            </w:pPr>
            <w:r>
              <w:rPr>
                <w:sz w:val="22"/>
                <w:b/>
              </w:rPr>
              <w:t xml:space="preserve">Postcondition</w:t>
            </w:r>
          </w:p>
        </w:tc>
        <w:tc>
          <w:tcPr>
            <w:tcW w:type="dxa" w:w="6800"/>
            <w:tcMar>
              <w:top w:type="dxa" w:w="80"/>
              <w:left w:type="dxa" w:w="120"/>
              <w:bottom w:type="dxa" w:w="80"/>
              <w:right w:type="dxa" w:w="120"/>
            </w:tcMar>
            <w:shd w:val="clear" w:fill="E8F5E9"/>
          </w:tcPr>
          <w:p>
            <w:pPr>
              <w:shd w:val="clear" w:fill="E8F5E9"/>
            </w:pPr>
            <w:r>
              <w:rPr>
                <w:sz w:val="22"/>
              </w:rPr>
              <w:t xml:space="preserve">Le client possède un compte financier avec un solde initial dérivé de son profil Mobile Money issu du payload Faker.</w:t>
            </w:r>
          </w:p>
        </w:tc>
      </w:tr>
      <w:tr>
        <w:tc>
          <w:tcPr>
            <w:tcW w:type="dxa" w:w="2400"/>
            <w:tcMar>
              <w:top w:type="dxa" w:w="80"/>
              <w:left w:type="dxa" w:w="120"/>
              <w:bottom w:type="dxa" w:w="80"/>
              <w:right w:type="dxa" w:w="120"/>
            </w:tcMar>
            <w:shd w:val="clear" w:fill="E8F5E9"/>
          </w:tcPr>
          <w:p>
            <w:pPr>
              <w:shd w:val="clear" w:fill="E8F5E9"/>
            </w:pPr>
            <w:r>
              <w:rPr>
                <w:sz w:val="22"/>
                <w:b/>
              </w:rPr>
              <w:t xml:space="preserve">Scénario nominal</w:t>
            </w:r>
          </w:p>
        </w:tc>
        <w:tc>
          <w:tcPr>
            <w:tcW w:type="dxa" w:w="6800"/>
            <w:tcMar>
              <w:top w:type="dxa" w:w="80"/>
              <w:left w:type="dxa" w:w="120"/>
              <w:bottom w:type="dxa" w:w="80"/>
              <w:right w:type="dxa" w:w="120"/>
            </w:tcMar>
            <w:shd w:val="clear" w:fill="E8F5E9"/>
          </w:tcPr>
          <w:p>
            <w:pPr>
              <w:shd w:val="clear" w:fill="E8F5E9"/>
            </w:pPr>
            <w:r>
              <w:rPr>
                <w:sz w:val="22"/>
              </w:rPr>
              <w:t xml:space="preserve">1) Le Loader crée le compte financier du client via l'account-service. 2) Il lit la valeur MOB_MONEY_ACCOUNT_AMOUNT du payload Faker. 3) Il dépose ce montant comme solde initial du compte. 4) Il enregistre l'événement d'ouverture dans l'historique des transactions du compte.</w:t>
            </w:r>
          </w:p>
        </w:tc>
      </w:tr>
      <w:tr>
        <w:tc>
          <w:tcPr>
            <w:tcW w:type="dxa" w:w="2400"/>
            <w:tcMar>
              <w:top w:type="dxa" w:w="80"/>
              <w:left w:type="dxa" w:w="120"/>
              <w:bottom w:type="dxa" w:w="80"/>
              <w:right w:type="dxa" w:w="120"/>
            </w:tcMar>
            <w:shd w:val="clear" w:fill="E8F5E9"/>
          </w:tcPr>
          <w:p>
            <w:pPr>
              <w:shd w:val="clear" w:fill="E8F5E9"/>
            </w:pPr>
            <w:r>
              <w:rPr>
                <w:sz w:val="22"/>
                <w:b/>
              </w:rPr>
              <w:t xml:space="preserve">Cas alternatif</w:t>
            </w:r>
          </w:p>
        </w:tc>
        <w:tc>
          <w:tcPr>
            <w:tcW w:type="dxa" w:w="6800"/>
            <w:tcMar>
              <w:top w:type="dxa" w:w="80"/>
              <w:left w:type="dxa" w:w="120"/>
              <w:bottom w:type="dxa" w:w="80"/>
              <w:right w:type="dxa" w:w="120"/>
            </w:tcMar>
            <w:shd w:val="clear" w:fill="E8F5E9"/>
          </w:tcPr>
          <w:p>
            <w:pPr>
              <w:shd w:val="clear" w:fill="E8F5E9"/>
            </w:pPr>
            <w:r>
              <w:rPr>
                <w:sz w:val="22"/>
              </w:rPr>
              <w:t xml:space="preserve">Si la valeur MOB_MONEY_ACCOUNT_AMOUNT est absente du payload, le Loader applique une valeur par défaut correspondant au segment de scoring du client.</w:t>
            </w:r>
          </w:p>
        </w:tc>
      </w:tr>
      <w:tr>
        <w:tc>
          <w:tcPr>
            <w:tcW w:type="dxa" w:w="2400"/>
            <w:tcMar>
              <w:top w:type="dxa" w:w="80"/>
              <w:left w:type="dxa" w:w="120"/>
              <w:bottom w:type="dxa" w:w="80"/>
              <w:right w:type="dxa" w:w="120"/>
            </w:tcMar>
            <w:shd w:val="clear" w:fill="E8F5E9"/>
          </w:tcPr>
          <w:p>
            <w:pPr>
              <w:shd w:val="clear" w:fill="E8F5E9"/>
            </w:pPr>
            <w:r>
              <w:rPr>
                <w:sz w:val="22"/>
                <w:b/>
              </w:rPr>
              <w:t xml:space="preserve">Exception</w:t>
            </w:r>
          </w:p>
        </w:tc>
        <w:tc>
          <w:tcPr>
            <w:tcW w:type="dxa" w:w="6800"/>
            <w:tcMar>
              <w:top w:type="dxa" w:w="80"/>
              <w:left w:type="dxa" w:w="120"/>
              <w:bottom w:type="dxa" w:w="80"/>
              <w:right w:type="dxa" w:w="120"/>
            </w:tcMar>
            <w:shd w:val="clear" w:fill="E8F5E9"/>
          </w:tcPr>
          <w:p>
            <w:pPr>
              <w:shd w:val="clear" w:fill="E8F5E9"/>
            </w:pPr>
            <w:r>
              <w:rPr>
                <w:sz w:val="22"/>
              </w:rPr>
              <w:t xml:space="preserve">Si la création du compte échoue, le client est marqué comme partiellement onboarder et son état est journalisé pour revue.</w:t>
            </w:r>
          </w:p>
        </w:tc>
      </w:tr>
      <w:tr>
        <w:tc>
          <w:tcPr>
            <w:tcW w:type="dxa" w:w="2400"/>
            <w:tcMar>
              <w:top w:type="dxa" w:w="80"/>
              <w:left w:type="dxa" w:w="120"/>
              <w:bottom w:type="dxa" w:w="80"/>
              <w:right w:type="dxa" w:w="120"/>
            </w:tcMar>
            <w:shd w:val="clear" w:fill="E8F5E9"/>
          </w:tcPr>
          <w:p>
            <w:pPr>
              <w:shd w:val="clear" w:fill="E8F5E9"/>
            </w:pPr>
            <w:r>
              <w:rPr>
                <w:sz w:val="22"/>
                <w:b/>
              </w:rPr>
              <w:t xml:space="preserve">Exigences couvertes</w:t>
            </w:r>
          </w:p>
        </w:tc>
        <w:tc>
          <w:tcPr>
            <w:tcW w:type="dxa" w:w="6800"/>
            <w:tcMar>
              <w:top w:type="dxa" w:w="80"/>
              <w:left w:type="dxa" w:w="120"/>
              <w:bottom w:type="dxa" w:w="80"/>
              <w:right w:type="dxa" w:w="120"/>
            </w:tcMar>
            <w:shd w:val="clear" w:fill="E8F5E9"/>
          </w:tcPr>
          <w:p>
            <w:pPr>
              <w:shd w:val="clear" w:fill="E8F5E9"/>
            </w:pPr>
            <w:r>
              <w:rPr>
                <w:sz w:val="22"/>
              </w:rPr>
              <w:t xml:space="preserve">EF-73</w:t>
            </w:r>
          </w:p>
        </w:tc>
      </w:tr>
    </w:tbl>
    <w:p/>
    <w:p>
      <w:pPr>
        <w:pStyle w:val="Heading3"/>
        <w:shd w:val="clear" w:fill="E8F5E9"/>
      </w:pPr>
      <w:r>
        <w:rPr>
          <w:color w:val="6B2E9E"/>
          <w:b/>
        </w:rPr>
        <w:t xml:space="preserve">UC-15 — Vie commune journalière pour tous les clients (Type 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Mar>
              <w:top w:type="dxa" w:w="100"/>
              <w:left w:type="dxa" w:w="120"/>
              <w:bottom w:type="dxa" w:w="100"/>
              <w:right w:type="dxa" w:w="120"/>
            </w:tcMar>
            <w:shd w:val="clear" w:fill="E8F5E9"/>
          </w:tcPr>
          <w:p>
            <w:pPr>
              <w:shd w:val="clear" w:fill="E8F5E9"/>
            </w:pPr>
            <w:r>
              <w:rPr>
                <w:sz w:val="22"/>
                <w:b/>
              </w:rPr>
              <w:t xml:space="preserve">Champ</w:t>
            </w:r>
          </w:p>
        </w:tc>
        <w:tc>
          <w:tcPr>
            <w:tcW w:type="dxa" w:w="6800"/>
            <w:tcMar>
              <w:top w:type="dxa" w:w="100"/>
              <w:left w:type="dxa" w:w="120"/>
              <w:bottom w:type="dxa" w:w="100"/>
              <w:right w:type="dxa" w:w="120"/>
            </w:tcMar>
            <w:shd w:val="clear" w:fill="E8F5E9"/>
          </w:tcPr>
          <w:p>
            <w:pPr>
              <w:shd w:val="clear" w:fill="E8F5E9"/>
            </w:pPr>
            <w:r>
              <w:rPr>
                <w:sz w:val="22"/>
                <w:b/>
              </w:rPr>
              <w:t xml:space="preserve">Contenu</w:t>
            </w:r>
          </w:p>
        </w:tc>
      </w:tr>
      <w:tr>
        <w:tc>
          <w:tcPr>
            <w:tcW w:type="dxa" w:w="2400"/>
            <w:tcMar>
              <w:top w:type="dxa" w:w="80"/>
              <w:left w:type="dxa" w:w="120"/>
              <w:bottom w:type="dxa" w:w="80"/>
              <w:right w:type="dxa" w:w="120"/>
            </w:tcMar>
            <w:shd w:val="clear" w:fill="E8F5E9"/>
          </w:tcPr>
          <w:p>
            <w:pPr>
              <w:shd w:val="clear" w:fill="E8F5E9"/>
            </w:pPr>
            <w:r>
              <w:rPr>
                <w:sz w:val="22"/>
                <w:b/>
              </w:rPr>
              <w:t xml:space="preserve">Acteur principal</w:t>
            </w:r>
          </w:p>
        </w:tc>
        <w:tc>
          <w:tcPr>
            <w:tcW w:type="dxa" w:w="6800"/>
            <w:tcMar>
              <w:top w:type="dxa" w:w="80"/>
              <w:left w:type="dxa" w:w="120"/>
              <w:bottom w:type="dxa" w:w="80"/>
              <w:right w:type="dxa" w:w="120"/>
            </w:tcMar>
            <w:shd w:val="clear" w:fill="E8F5E9"/>
          </w:tcPr>
          <w:p>
            <w:pPr>
              <w:shd w:val="clear" w:fill="E8F5E9"/>
            </w:pPr>
            <w:r>
              <w:rPr>
                <w:sz w:val="22"/>
              </w:rPr>
              <w:t xml:space="preserve">Loader (dans son rôle de simulateur d'activité quotidienne)</w:t>
            </w:r>
          </w:p>
        </w:tc>
      </w:tr>
      <w:tr>
        <w:tc>
          <w:tcPr>
            <w:tcW w:type="dxa" w:w="2400"/>
            <w:tcMar>
              <w:top w:type="dxa" w:w="80"/>
              <w:left w:type="dxa" w:w="120"/>
              <w:bottom w:type="dxa" w:w="80"/>
              <w:right w:type="dxa" w:w="120"/>
            </w:tcMar>
            <w:shd w:val="clear" w:fill="E8F5E9"/>
          </w:tcPr>
          <w:p>
            <w:pPr>
              <w:shd w:val="clear" w:fill="E8F5E9"/>
            </w:pPr>
            <w:r>
              <w:rPr>
                <w:sz w:val="22"/>
                <w:b/>
              </w:rPr>
              <w:t xml:space="preserve">Précondition</w:t>
            </w:r>
          </w:p>
        </w:tc>
        <w:tc>
          <w:tcPr>
            <w:tcW w:type="dxa" w:w="6800"/>
            <w:tcMar>
              <w:top w:type="dxa" w:w="80"/>
              <w:left w:type="dxa" w:w="120"/>
              <w:bottom w:type="dxa" w:w="80"/>
              <w:right w:type="dxa" w:w="120"/>
            </w:tcMar>
            <w:shd w:val="clear" w:fill="E8F5E9"/>
          </w:tcPr>
          <w:p>
            <w:pPr>
              <w:shd w:val="clear" w:fill="E8F5E9"/>
            </w:pPr>
            <w:r>
              <w:rPr>
                <w:sz w:val="22"/>
              </w:rPr>
              <w:t xml:space="preserve">Le client possède un compte financier (UC-14) et est actif dans son Kiosque de rattachement.</w:t>
            </w:r>
          </w:p>
        </w:tc>
      </w:tr>
      <w:tr>
        <w:tc>
          <w:tcPr>
            <w:tcW w:type="dxa" w:w="2400"/>
            <w:tcMar>
              <w:top w:type="dxa" w:w="80"/>
              <w:left w:type="dxa" w:w="120"/>
              <w:bottom w:type="dxa" w:w="80"/>
              <w:right w:type="dxa" w:w="120"/>
            </w:tcMar>
            <w:shd w:val="clear" w:fill="E8F5E9"/>
          </w:tcPr>
          <w:p>
            <w:pPr>
              <w:shd w:val="clear" w:fill="E8F5E9"/>
            </w:pPr>
            <w:r>
              <w:rPr>
                <w:sz w:val="22"/>
                <w:b/>
              </w:rPr>
              <w:t xml:space="preserve">Déclencheur</w:t>
            </w:r>
          </w:p>
        </w:tc>
        <w:tc>
          <w:tcPr>
            <w:tcW w:type="dxa" w:w="6800"/>
            <w:tcMar>
              <w:top w:type="dxa" w:w="80"/>
              <w:left w:type="dxa" w:w="120"/>
              <w:bottom w:type="dxa" w:w="80"/>
              <w:right w:type="dxa" w:w="120"/>
            </w:tcMar>
            <w:shd w:val="clear" w:fill="E8F5E9"/>
          </w:tcPr>
          <w:p>
            <w:pPr>
              <w:shd w:val="clear" w:fill="E8F5E9"/>
            </w:pPr>
            <w:r>
              <w:rPr>
                <w:sz w:val="22"/>
              </w:rPr>
              <w:t xml:space="preserve">Boucle journalière de simulation, sur toute la fenêtre historique de 180 jours.</w:t>
            </w:r>
          </w:p>
        </w:tc>
      </w:tr>
      <w:tr>
        <w:tc>
          <w:tcPr>
            <w:tcW w:type="dxa" w:w="2400"/>
            <w:tcMar>
              <w:top w:type="dxa" w:w="80"/>
              <w:left w:type="dxa" w:w="120"/>
              <w:bottom w:type="dxa" w:w="80"/>
              <w:right w:type="dxa" w:w="120"/>
            </w:tcMar>
            <w:shd w:val="clear" w:fill="E8F5E9"/>
          </w:tcPr>
          <w:p>
            <w:pPr>
              <w:shd w:val="clear" w:fill="E8F5E9"/>
            </w:pPr>
            <w:r>
              <w:rPr>
                <w:sz w:val="22"/>
                <w:b/>
              </w:rPr>
              <w:t xml:space="preserve">Postcondition</w:t>
            </w:r>
          </w:p>
        </w:tc>
        <w:tc>
          <w:tcPr>
            <w:tcW w:type="dxa" w:w="6800"/>
            <w:tcMar>
              <w:top w:type="dxa" w:w="80"/>
              <w:left w:type="dxa" w:w="120"/>
              <w:bottom w:type="dxa" w:w="80"/>
              <w:right w:type="dxa" w:w="120"/>
            </w:tcMar>
            <w:shd w:val="clear" w:fill="E8F5E9"/>
          </w:tcPr>
          <w:p>
            <w:pPr>
              <w:shd w:val="clear" w:fill="E8F5E9"/>
            </w:pPr>
            <w:r>
              <w:rPr>
                <w:sz w:val="22"/>
              </w:rPr>
              <w:t xml:space="preserve">Le compte du client reçoit et émet quotidiennement des mouvements financiers cohérents avec son profil segmenté, indépendamment de son statut de scoring crédit.</w:t>
            </w:r>
          </w:p>
        </w:tc>
      </w:tr>
      <w:tr>
        <w:tc>
          <w:tcPr>
            <w:tcW w:type="dxa" w:w="2400"/>
            <w:tcMar>
              <w:top w:type="dxa" w:w="80"/>
              <w:left w:type="dxa" w:w="120"/>
              <w:bottom w:type="dxa" w:w="80"/>
              <w:right w:type="dxa" w:w="120"/>
            </w:tcMar>
            <w:shd w:val="clear" w:fill="E8F5E9"/>
          </w:tcPr>
          <w:p>
            <w:pPr>
              <w:shd w:val="clear" w:fill="E8F5E9"/>
            </w:pPr>
            <w:r>
              <w:rPr>
                <w:sz w:val="22"/>
                <w:b/>
              </w:rPr>
              <w:t xml:space="preserve">Scénario nominal</w:t>
            </w:r>
          </w:p>
        </w:tc>
        <w:tc>
          <w:tcPr>
            <w:tcW w:type="dxa" w:w="6800"/>
            <w:tcMar>
              <w:top w:type="dxa" w:w="80"/>
              <w:left w:type="dxa" w:w="120"/>
              <w:bottom w:type="dxa" w:w="80"/>
              <w:right w:type="dxa" w:w="120"/>
            </w:tcMar>
            <w:shd w:val="clear" w:fill="E8F5E9"/>
          </w:tcPr>
          <w:p>
            <w:pPr>
              <w:shd w:val="clear" w:fill="E8F5E9"/>
            </w:pPr>
            <w:r>
              <w:rPr>
                <w:sz w:val="22"/>
              </w:rPr>
              <w:t xml:space="preserve">1) Le Loader parcourt chaque client actif à chaque jour simulé. 2) Il génère selon les cadences configurées 1 à 5 débits ou crédits P2P et Mobile Money. 3) Il génère selon les cadences 1 à 5 paiements marchands. 4) Il crédite ou débite le compte d'épargne selon le profil segmenté. 5) Il enregistre chaque mouvement dans l'historique des transactions avec l'horodatage réel issu des fonctions de conversion des jours de simulation.</w:t>
            </w:r>
          </w:p>
        </w:tc>
      </w:tr>
      <w:tr>
        <w:tc>
          <w:tcPr>
            <w:tcW w:type="dxa" w:w="2400"/>
            <w:tcMar>
              <w:top w:type="dxa" w:w="80"/>
              <w:left w:type="dxa" w:w="120"/>
              <w:bottom w:type="dxa" w:w="80"/>
              <w:right w:type="dxa" w:w="120"/>
            </w:tcMar>
            <w:shd w:val="clear" w:fill="E8F5E9"/>
          </w:tcPr>
          <w:p>
            <w:pPr>
              <w:shd w:val="clear" w:fill="E8F5E9"/>
            </w:pPr>
            <w:r>
              <w:rPr>
                <w:sz w:val="22"/>
                <w:b/>
              </w:rPr>
              <w:t xml:space="preserve">Cas alternatif</w:t>
            </w:r>
          </w:p>
        </w:tc>
        <w:tc>
          <w:tcPr>
            <w:tcW w:type="dxa" w:w="6800"/>
            <w:tcMar>
              <w:top w:type="dxa" w:w="80"/>
              <w:left w:type="dxa" w:w="120"/>
              <w:bottom w:type="dxa" w:w="80"/>
              <w:right w:type="dxa" w:w="120"/>
            </w:tcMar>
            <w:shd w:val="clear" w:fill="E8F5E9"/>
          </w:tcPr>
          <w:p>
            <w:pPr>
              <w:shd w:val="clear" w:fill="E8F5E9"/>
            </w:pPr>
            <w:r>
              <w:rPr>
                <w:sz w:val="22"/>
              </w:rPr>
              <w:t xml:space="preserve">Si le solde du compte devient insuffisant pour un débit prévu, le Loader marque l'opération comme rejetée et journalise l'incident.</w:t>
            </w:r>
          </w:p>
        </w:tc>
      </w:tr>
      <w:tr>
        <w:tc>
          <w:tcPr>
            <w:tcW w:type="dxa" w:w="2400"/>
            <w:tcMar>
              <w:top w:type="dxa" w:w="80"/>
              <w:left w:type="dxa" w:w="120"/>
              <w:bottom w:type="dxa" w:w="80"/>
              <w:right w:type="dxa" w:w="120"/>
            </w:tcMar>
            <w:shd w:val="clear" w:fill="E8F5E9"/>
          </w:tcPr>
          <w:p>
            <w:pPr>
              <w:shd w:val="clear" w:fill="E8F5E9"/>
            </w:pPr>
            <w:r>
              <w:rPr>
                <w:sz w:val="22"/>
                <w:b/>
              </w:rPr>
              <w:t xml:space="preserve">Exception</w:t>
            </w:r>
          </w:p>
        </w:tc>
        <w:tc>
          <w:tcPr>
            <w:tcW w:type="dxa" w:w="6800"/>
            <w:tcMar>
              <w:top w:type="dxa" w:w="80"/>
              <w:left w:type="dxa" w:w="120"/>
              <w:bottom w:type="dxa" w:w="80"/>
              <w:right w:type="dxa" w:w="120"/>
            </w:tcMar>
            <w:shd w:val="clear" w:fill="E8F5E9"/>
          </w:tcPr>
          <w:p>
            <w:pPr>
              <w:shd w:val="clear" w:fill="E8F5E9"/>
            </w:pPr>
            <w:r>
              <w:rPr>
                <w:sz w:val="22"/>
              </w:rPr>
              <w:t xml:space="preserve">Si la boucle journalière est interrompue, le Loader peut reprendre à partir du dernier jour traité grâce à l'idempotence des opérations.</w:t>
            </w:r>
          </w:p>
        </w:tc>
      </w:tr>
      <w:tr>
        <w:tc>
          <w:tcPr>
            <w:tcW w:type="dxa" w:w="2400"/>
            <w:tcMar>
              <w:top w:type="dxa" w:w="80"/>
              <w:left w:type="dxa" w:w="120"/>
              <w:bottom w:type="dxa" w:w="80"/>
              <w:right w:type="dxa" w:w="120"/>
            </w:tcMar>
            <w:shd w:val="clear" w:fill="E8F5E9"/>
          </w:tcPr>
          <w:p>
            <w:pPr>
              <w:shd w:val="clear" w:fill="E8F5E9"/>
            </w:pPr>
            <w:r>
              <w:rPr>
                <w:sz w:val="22"/>
                <w:b/>
              </w:rPr>
              <w:t xml:space="preserve">Exigences couvertes</w:t>
            </w:r>
          </w:p>
        </w:tc>
        <w:tc>
          <w:tcPr>
            <w:tcW w:type="dxa" w:w="6800"/>
            <w:tcMar>
              <w:top w:type="dxa" w:w="80"/>
              <w:left w:type="dxa" w:w="120"/>
              <w:bottom w:type="dxa" w:w="80"/>
              <w:right w:type="dxa" w:w="120"/>
            </w:tcMar>
            <w:shd w:val="clear" w:fill="E8F5E9"/>
          </w:tcPr>
          <w:p>
            <w:pPr>
              <w:shd w:val="clear" w:fill="E8F5E9"/>
            </w:pPr>
            <w:r>
              <w:rPr>
                <w:sz w:val="22"/>
              </w:rPr>
              <w:t xml:space="preserve">EF-42, EF-45, EF-74, EF-77</w:t>
            </w:r>
          </w:p>
        </w:tc>
      </w:tr>
    </w:tbl>
    <w:p/>
    <w:p>
      <w:pPr>
        <w:pStyle w:val="Heading3"/>
        <w:shd w:val="clear" w:fill="E8F5E9"/>
      </w:pPr>
      <w:r>
        <w:rPr>
          <w:color w:val="6B2E9E"/>
          <w:b/>
        </w:rPr>
        <w:t xml:space="preserve">UC-16 — Vie commune sans crédit pour les clients DECLINED ou NOT SCORED (Type 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Mar>
              <w:top w:type="dxa" w:w="100"/>
              <w:left w:type="dxa" w:w="120"/>
              <w:bottom w:type="dxa" w:w="100"/>
              <w:right w:type="dxa" w:w="120"/>
            </w:tcMar>
            <w:shd w:val="clear" w:fill="E8F5E9"/>
          </w:tcPr>
          <w:p>
            <w:pPr>
              <w:shd w:val="clear" w:fill="E8F5E9"/>
            </w:pPr>
            <w:r>
              <w:rPr>
                <w:sz w:val="22"/>
                <w:b/>
              </w:rPr>
              <w:t xml:space="preserve">Champ</w:t>
            </w:r>
          </w:p>
        </w:tc>
        <w:tc>
          <w:tcPr>
            <w:tcW w:type="dxa" w:w="6800"/>
            <w:tcMar>
              <w:top w:type="dxa" w:w="100"/>
              <w:left w:type="dxa" w:w="120"/>
              <w:bottom w:type="dxa" w:w="100"/>
              <w:right w:type="dxa" w:w="120"/>
            </w:tcMar>
            <w:shd w:val="clear" w:fill="E8F5E9"/>
          </w:tcPr>
          <w:p>
            <w:pPr>
              <w:shd w:val="clear" w:fill="E8F5E9"/>
            </w:pPr>
            <w:r>
              <w:rPr>
                <w:sz w:val="22"/>
                <w:b/>
              </w:rPr>
              <w:t xml:space="preserve">Contenu</w:t>
            </w:r>
          </w:p>
        </w:tc>
      </w:tr>
      <w:tr>
        <w:tc>
          <w:tcPr>
            <w:tcW w:type="dxa" w:w="2400"/>
            <w:tcMar>
              <w:top w:type="dxa" w:w="80"/>
              <w:left w:type="dxa" w:w="120"/>
              <w:bottom w:type="dxa" w:w="80"/>
              <w:right w:type="dxa" w:w="120"/>
            </w:tcMar>
            <w:shd w:val="clear" w:fill="E8F5E9"/>
          </w:tcPr>
          <w:p>
            <w:pPr>
              <w:shd w:val="clear" w:fill="E8F5E9"/>
            </w:pPr>
            <w:r>
              <w:rPr>
                <w:sz w:val="22"/>
                <w:b/>
              </w:rPr>
              <w:t xml:space="preserve">Acteur principal</w:t>
            </w:r>
          </w:p>
        </w:tc>
        <w:tc>
          <w:tcPr>
            <w:tcW w:type="dxa" w:w="6800"/>
            <w:tcMar>
              <w:top w:type="dxa" w:w="80"/>
              <w:left w:type="dxa" w:w="120"/>
              <w:bottom w:type="dxa" w:w="80"/>
              <w:right w:type="dxa" w:w="120"/>
            </w:tcMar>
            <w:shd w:val="clear" w:fill="E8F5E9"/>
          </w:tcPr>
          <w:p>
            <w:pPr>
              <w:shd w:val="clear" w:fill="E8F5E9"/>
            </w:pPr>
            <w:r>
              <w:rPr>
                <w:sz w:val="22"/>
              </w:rPr>
              <w:t xml:space="preserve">Loader (dans son rôle de simulateur d'activité pour clients non éligibles au crédit)</w:t>
            </w:r>
          </w:p>
        </w:tc>
      </w:tr>
      <w:tr>
        <w:tc>
          <w:tcPr>
            <w:tcW w:type="dxa" w:w="2400"/>
            <w:tcMar>
              <w:top w:type="dxa" w:w="80"/>
              <w:left w:type="dxa" w:w="120"/>
              <w:bottom w:type="dxa" w:w="80"/>
              <w:right w:type="dxa" w:w="120"/>
            </w:tcMar>
            <w:shd w:val="clear" w:fill="E8F5E9"/>
          </w:tcPr>
          <w:p>
            <w:pPr>
              <w:shd w:val="clear" w:fill="E8F5E9"/>
            </w:pPr>
            <w:r>
              <w:rPr>
                <w:sz w:val="22"/>
                <w:b/>
              </w:rPr>
              <w:t xml:space="preserve">Précondition</w:t>
            </w:r>
          </w:p>
        </w:tc>
        <w:tc>
          <w:tcPr>
            <w:tcW w:type="dxa" w:w="6800"/>
            <w:tcMar>
              <w:top w:type="dxa" w:w="80"/>
              <w:left w:type="dxa" w:w="120"/>
              <w:bottom w:type="dxa" w:w="80"/>
              <w:right w:type="dxa" w:w="120"/>
            </w:tcMar>
            <w:shd w:val="clear" w:fill="E8F5E9"/>
          </w:tcPr>
          <w:p>
            <w:pPr>
              <w:shd w:val="clear" w:fill="E8F5E9"/>
            </w:pPr>
            <w:r>
              <w:rPr>
                <w:sz w:val="22"/>
              </w:rPr>
              <w:t xml:space="preserve">Le client existe et est actif (UC-13), mais son statut de scoring est DECLINED ou aucun scoring n'a été demandé pour lui.</w:t>
            </w:r>
          </w:p>
        </w:tc>
      </w:tr>
      <w:tr>
        <w:tc>
          <w:tcPr>
            <w:tcW w:type="dxa" w:w="2400"/>
            <w:tcMar>
              <w:top w:type="dxa" w:w="80"/>
              <w:left w:type="dxa" w:w="120"/>
              <w:bottom w:type="dxa" w:w="80"/>
              <w:right w:type="dxa" w:w="120"/>
            </w:tcMar>
            <w:shd w:val="clear" w:fill="E8F5E9"/>
          </w:tcPr>
          <w:p>
            <w:pPr>
              <w:shd w:val="clear" w:fill="E8F5E9"/>
            </w:pPr>
            <w:r>
              <w:rPr>
                <w:sz w:val="22"/>
                <w:b/>
              </w:rPr>
              <w:t xml:space="preserve">Déclencheur</w:t>
            </w:r>
          </w:p>
        </w:tc>
        <w:tc>
          <w:tcPr>
            <w:tcW w:type="dxa" w:w="6800"/>
            <w:tcMar>
              <w:top w:type="dxa" w:w="80"/>
              <w:left w:type="dxa" w:w="120"/>
              <w:bottom w:type="dxa" w:w="80"/>
              <w:right w:type="dxa" w:w="120"/>
            </w:tcMar>
            <w:shd w:val="clear" w:fill="E8F5E9"/>
          </w:tcPr>
          <w:p>
            <w:pPr>
              <w:shd w:val="clear" w:fill="E8F5E9"/>
            </w:pPr>
            <w:r>
              <w:rPr>
                <w:sz w:val="22"/>
              </w:rPr>
              <w:t xml:space="preserve">Boucle journalière de simulation, en parallèle de UC-15.</w:t>
            </w:r>
          </w:p>
        </w:tc>
      </w:tr>
      <w:tr>
        <w:tc>
          <w:tcPr>
            <w:tcW w:type="dxa" w:w="2400"/>
            <w:tcMar>
              <w:top w:type="dxa" w:w="80"/>
              <w:left w:type="dxa" w:w="120"/>
              <w:bottom w:type="dxa" w:w="80"/>
              <w:right w:type="dxa" w:w="120"/>
            </w:tcMar>
            <w:shd w:val="clear" w:fill="E8F5E9"/>
          </w:tcPr>
          <w:p>
            <w:pPr>
              <w:shd w:val="clear" w:fill="E8F5E9"/>
            </w:pPr>
            <w:r>
              <w:rPr>
                <w:sz w:val="22"/>
                <w:b/>
              </w:rPr>
              <w:t xml:space="preserve">Postcondition</w:t>
            </w:r>
          </w:p>
        </w:tc>
        <w:tc>
          <w:tcPr>
            <w:tcW w:type="dxa" w:w="6800"/>
            <w:tcMar>
              <w:top w:type="dxa" w:w="80"/>
              <w:left w:type="dxa" w:w="120"/>
              <w:bottom w:type="dxa" w:w="80"/>
              <w:right w:type="dxa" w:w="120"/>
            </w:tcMar>
            <w:shd w:val="clear" w:fill="E8F5E9"/>
          </w:tcPr>
          <w:p>
            <w:pPr>
              <w:shd w:val="clear" w:fill="E8F5E9"/>
            </w:pPr>
            <w:r>
              <w:rPr>
                <w:sz w:val="22"/>
              </w:rPr>
              <w:t xml:space="preserve">Le client conserve une activité normale sur ses comptes épargne, ses paiements marchands, ses souscriptions Collecte et ses opérations P2P et Mobile Money, sans aucun prêt actif.</w:t>
            </w:r>
          </w:p>
        </w:tc>
      </w:tr>
      <w:tr>
        <w:tc>
          <w:tcPr>
            <w:tcW w:type="dxa" w:w="2400"/>
            <w:tcMar>
              <w:top w:type="dxa" w:w="80"/>
              <w:left w:type="dxa" w:w="120"/>
              <w:bottom w:type="dxa" w:w="80"/>
              <w:right w:type="dxa" w:w="120"/>
            </w:tcMar>
            <w:shd w:val="clear" w:fill="E8F5E9"/>
          </w:tcPr>
          <w:p>
            <w:pPr>
              <w:shd w:val="clear" w:fill="E8F5E9"/>
            </w:pPr>
            <w:r>
              <w:rPr>
                <w:sz w:val="22"/>
                <w:b/>
              </w:rPr>
              <w:t xml:space="preserve">Scénario nominal</w:t>
            </w:r>
          </w:p>
        </w:tc>
        <w:tc>
          <w:tcPr>
            <w:tcW w:type="dxa" w:w="6800"/>
            <w:tcMar>
              <w:top w:type="dxa" w:w="80"/>
              <w:left w:type="dxa" w:w="120"/>
              <w:bottom w:type="dxa" w:w="80"/>
              <w:right w:type="dxa" w:w="120"/>
            </w:tcMar>
            <w:shd w:val="clear" w:fill="E8F5E9"/>
          </w:tcPr>
          <w:p>
            <w:pPr>
              <w:shd w:val="clear" w:fill="E8F5E9"/>
            </w:pPr>
            <w:r>
              <w:rPr>
                <w:sz w:val="22"/>
              </w:rPr>
              <w:t xml:space="preserve">1) Le Loader identifie les clients avec statut DECLINED ou sans scoring. 2) Il applique la vie commune de UC-15 à ces clients sans distinction. 3) Il exclut explicitement toute génération d'événement de prêt (CREATE_LOAN, REPAY_LOAN, SET_DPD) pour ces clients. 4) Il enregistre l'activité normale dans l'historique.</w:t>
            </w:r>
          </w:p>
        </w:tc>
      </w:tr>
      <w:tr>
        <w:tc>
          <w:tcPr>
            <w:tcW w:type="dxa" w:w="2400"/>
            <w:tcMar>
              <w:top w:type="dxa" w:w="80"/>
              <w:left w:type="dxa" w:w="120"/>
              <w:bottom w:type="dxa" w:w="80"/>
              <w:right w:type="dxa" w:w="120"/>
            </w:tcMar>
            <w:shd w:val="clear" w:fill="E8F5E9"/>
          </w:tcPr>
          <w:p>
            <w:pPr>
              <w:shd w:val="clear" w:fill="E8F5E9"/>
            </w:pPr>
            <w:r>
              <w:rPr>
                <w:sz w:val="22"/>
                <w:b/>
              </w:rPr>
              <w:t xml:space="preserve">Cas alternatif</w:t>
            </w:r>
          </w:p>
        </w:tc>
        <w:tc>
          <w:tcPr>
            <w:tcW w:type="dxa" w:w="6800"/>
            <w:tcMar>
              <w:top w:type="dxa" w:w="80"/>
              <w:left w:type="dxa" w:w="120"/>
              <w:bottom w:type="dxa" w:w="80"/>
              <w:right w:type="dxa" w:w="120"/>
            </w:tcMar>
            <w:shd w:val="clear" w:fill="E8F5E9"/>
          </w:tcPr>
          <w:p>
            <w:pPr>
              <w:shd w:val="clear" w:fill="E8F5E9"/>
            </w:pPr>
            <w:r>
              <w:rPr>
                <w:sz w:val="22"/>
              </w:rPr>
              <w:t xml:space="preserve">Le client DECLINED peut être ré-évalué périodiquement via UC-17. En cas de nouveau scoring APPROVED, il bascule vers la couche cycle crédit.</w:t>
            </w:r>
          </w:p>
        </w:tc>
      </w:tr>
      <w:tr>
        <w:tc>
          <w:tcPr>
            <w:tcW w:type="dxa" w:w="2400"/>
            <w:tcMar>
              <w:top w:type="dxa" w:w="80"/>
              <w:left w:type="dxa" w:w="120"/>
              <w:bottom w:type="dxa" w:w="80"/>
              <w:right w:type="dxa" w:w="120"/>
            </w:tcMar>
            <w:shd w:val="clear" w:fill="E8F5E9"/>
          </w:tcPr>
          <w:p>
            <w:pPr>
              <w:shd w:val="clear" w:fill="E8F5E9"/>
            </w:pPr>
            <w:r>
              <w:rPr>
                <w:sz w:val="22"/>
                <w:b/>
              </w:rPr>
              <w:t xml:space="preserve">Exception</w:t>
            </w:r>
          </w:p>
        </w:tc>
        <w:tc>
          <w:tcPr>
            <w:tcW w:type="dxa" w:w="6800"/>
            <w:tcMar>
              <w:top w:type="dxa" w:w="80"/>
              <w:left w:type="dxa" w:w="120"/>
              <w:bottom w:type="dxa" w:w="80"/>
              <w:right w:type="dxa" w:w="120"/>
            </w:tcMar>
            <w:shd w:val="clear" w:fill="E8F5E9"/>
          </w:tcPr>
          <w:p>
            <w:pPr>
              <w:shd w:val="clear" w:fill="E8F5E9"/>
            </w:pPr>
            <w:r>
              <w:rPr>
                <w:sz w:val="22"/>
              </w:rPr>
              <w:t xml:space="preserve">Aucune exception métier attendue. Toute anomalie technique est journalisée.</w:t>
            </w:r>
          </w:p>
        </w:tc>
      </w:tr>
      <w:tr>
        <w:tc>
          <w:tcPr>
            <w:tcW w:type="dxa" w:w="2400"/>
            <w:tcMar>
              <w:top w:type="dxa" w:w="80"/>
              <w:left w:type="dxa" w:w="120"/>
              <w:bottom w:type="dxa" w:w="80"/>
              <w:right w:type="dxa" w:w="120"/>
            </w:tcMar>
            <w:shd w:val="clear" w:fill="E8F5E9"/>
          </w:tcPr>
          <w:p>
            <w:pPr>
              <w:shd w:val="clear" w:fill="E8F5E9"/>
            </w:pPr>
            <w:r>
              <w:rPr>
                <w:sz w:val="22"/>
                <w:b/>
              </w:rPr>
              <w:t xml:space="preserve">Exigences couvertes</w:t>
            </w:r>
          </w:p>
        </w:tc>
        <w:tc>
          <w:tcPr>
            <w:tcW w:type="dxa" w:w="6800"/>
            <w:tcMar>
              <w:top w:type="dxa" w:w="80"/>
              <w:left w:type="dxa" w:w="120"/>
              <w:bottom w:type="dxa" w:w="80"/>
              <w:right w:type="dxa" w:w="120"/>
            </w:tcMar>
            <w:shd w:val="clear" w:fill="E8F5E9"/>
          </w:tcPr>
          <w:p>
            <w:pPr>
              <w:shd w:val="clear" w:fill="E8F5E9"/>
            </w:pPr>
            <w:r>
              <w:rPr>
                <w:sz w:val="22"/>
              </w:rPr>
              <w:t xml:space="preserve">EF-78</w:t>
            </w:r>
          </w:p>
        </w:tc>
      </w:tr>
    </w:tbl>
    <w:p/>
    <w:p>
      <w:pPr>
        <w:pStyle w:val="Heading3"/>
        <w:shd w:val="clear" w:fill="E8F5E9"/>
      </w:pPr>
      <w:r>
        <w:rPr>
          <w:color w:val="6B2E9E"/>
          <w:b/>
        </w:rPr>
        <w:t xml:space="preserve">UC-17 — Re-scoring périodique des clients DECLINED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Mar>
              <w:top w:type="dxa" w:w="100"/>
              <w:left w:type="dxa" w:w="120"/>
              <w:bottom w:type="dxa" w:w="100"/>
              <w:right w:type="dxa" w:w="120"/>
            </w:tcMar>
            <w:shd w:val="clear" w:fill="E8F5E9"/>
          </w:tcPr>
          <w:p>
            <w:pPr>
              <w:shd w:val="clear" w:fill="E8F5E9"/>
            </w:pPr>
            <w:r>
              <w:rPr>
                <w:sz w:val="22"/>
                <w:b/>
              </w:rPr>
              <w:t xml:space="preserve">Champ</w:t>
            </w:r>
          </w:p>
        </w:tc>
        <w:tc>
          <w:tcPr>
            <w:tcW w:type="dxa" w:w="6800"/>
            <w:tcMar>
              <w:top w:type="dxa" w:w="100"/>
              <w:left w:type="dxa" w:w="120"/>
              <w:bottom w:type="dxa" w:w="100"/>
              <w:right w:type="dxa" w:w="120"/>
            </w:tcMar>
            <w:shd w:val="clear" w:fill="E8F5E9"/>
          </w:tcPr>
          <w:p>
            <w:pPr>
              <w:shd w:val="clear" w:fill="E8F5E9"/>
            </w:pPr>
            <w:r>
              <w:rPr>
                <w:sz w:val="22"/>
                <w:b/>
              </w:rPr>
              <w:t xml:space="preserve">Contenu</w:t>
            </w:r>
          </w:p>
        </w:tc>
      </w:tr>
      <w:tr>
        <w:tc>
          <w:tcPr>
            <w:tcW w:type="dxa" w:w="2400"/>
            <w:tcMar>
              <w:top w:type="dxa" w:w="80"/>
              <w:left w:type="dxa" w:w="120"/>
              <w:bottom w:type="dxa" w:w="80"/>
              <w:right w:type="dxa" w:w="120"/>
            </w:tcMar>
            <w:shd w:val="clear" w:fill="E8F5E9"/>
          </w:tcPr>
          <w:p>
            <w:pPr>
              <w:shd w:val="clear" w:fill="E8F5E9"/>
            </w:pPr>
            <w:r>
              <w:rPr>
                <w:sz w:val="22"/>
                <w:b/>
              </w:rPr>
              <w:t xml:space="preserve">Acteur principal</w:t>
            </w:r>
          </w:p>
        </w:tc>
        <w:tc>
          <w:tcPr>
            <w:tcW w:type="dxa" w:w="6800"/>
            <w:tcMar>
              <w:top w:type="dxa" w:w="80"/>
              <w:left w:type="dxa" w:w="120"/>
              <w:bottom w:type="dxa" w:w="80"/>
              <w:right w:type="dxa" w:w="120"/>
            </w:tcMar>
            <w:shd w:val="clear" w:fill="E8F5E9"/>
          </w:tcPr>
          <w:p>
            <w:pPr>
              <w:shd w:val="clear" w:fill="E8F5E9"/>
            </w:pPr>
            <w:r>
              <w:rPr>
                <w:sz w:val="22"/>
              </w:rPr>
              <w:t xml:space="preserve">Loader (dans son rôle de gestionnaire des tentatives de re-scoring)</w:t>
            </w:r>
          </w:p>
        </w:tc>
      </w:tr>
      <w:tr>
        <w:tc>
          <w:tcPr>
            <w:tcW w:type="dxa" w:w="2400"/>
            <w:tcMar>
              <w:top w:type="dxa" w:w="80"/>
              <w:left w:type="dxa" w:w="120"/>
              <w:bottom w:type="dxa" w:w="80"/>
              <w:right w:type="dxa" w:w="120"/>
            </w:tcMar>
            <w:shd w:val="clear" w:fill="E8F5E9"/>
          </w:tcPr>
          <w:p>
            <w:pPr>
              <w:shd w:val="clear" w:fill="E8F5E9"/>
            </w:pPr>
            <w:r>
              <w:rPr>
                <w:sz w:val="22"/>
                <w:b/>
              </w:rPr>
              <w:t xml:space="preserve">Précondition</w:t>
            </w:r>
          </w:p>
        </w:tc>
        <w:tc>
          <w:tcPr>
            <w:tcW w:type="dxa" w:w="6800"/>
            <w:tcMar>
              <w:top w:type="dxa" w:w="80"/>
              <w:left w:type="dxa" w:w="120"/>
              <w:bottom w:type="dxa" w:w="80"/>
              <w:right w:type="dxa" w:w="120"/>
            </w:tcMar>
            <w:shd w:val="clear" w:fill="E8F5E9"/>
          </w:tcPr>
          <w:p>
            <w:pPr>
              <w:shd w:val="clear" w:fill="E8F5E9"/>
            </w:pPr>
            <w:r>
              <w:rPr>
                <w:sz w:val="22"/>
              </w:rPr>
              <w:t xml:space="preserve">Un client a été refusé (statut DECLINED) lors d'un scoring précédent.</w:t>
            </w:r>
          </w:p>
        </w:tc>
      </w:tr>
      <w:tr>
        <w:tc>
          <w:tcPr>
            <w:tcW w:type="dxa" w:w="2400"/>
            <w:tcMar>
              <w:top w:type="dxa" w:w="80"/>
              <w:left w:type="dxa" w:w="120"/>
              <w:bottom w:type="dxa" w:w="80"/>
              <w:right w:type="dxa" w:w="120"/>
            </w:tcMar>
            <w:shd w:val="clear" w:fill="E8F5E9"/>
          </w:tcPr>
          <w:p>
            <w:pPr>
              <w:shd w:val="clear" w:fill="E8F5E9"/>
            </w:pPr>
            <w:r>
              <w:rPr>
                <w:sz w:val="22"/>
                <w:b/>
              </w:rPr>
              <w:t xml:space="preserve">Déclencheur</w:t>
            </w:r>
          </w:p>
        </w:tc>
        <w:tc>
          <w:tcPr>
            <w:tcW w:type="dxa" w:w="6800"/>
            <w:tcMar>
              <w:top w:type="dxa" w:w="80"/>
              <w:left w:type="dxa" w:w="120"/>
              <w:bottom w:type="dxa" w:w="80"/>
              <w:right w:type="dxa" w:w="120"/>
            </w:tcMar>
            <w:shd w:val="clear" w:fill="E8F5E9"/>
          </w:tcPr>
          <w:p>
            <w:pPr>
              <w:shd w:val="clear" w:fill="E8F5E9"/>
            </w:pPr>
            <w:r>
              <w:rPr>
                <w:sz w:val="22"/>
              </w:rPr>
              <w:t xml:space="preserve">Écoulement du délai de re-scoring configuré (30, 60 ou 90 jours après le refus).</w:t>
            </w:r>
          </w:p>
        </w:tc>
      </w:tr>
      <w:tr>
        <w:tc>
          <w:tcPr>
            <w:tcW w:type="dxa" w:w="2400"/>
            <w:tcMar>
              <w:top w:type="dxa" w:w="80"/>
              <w:left w:type="dxa" w:w="120"/>
              <w:bottom w:type="dxa" w:w="80"/>
              <w:right w:type="dxa" w:w="120"/>
            </w:tcMar>
            <w:shd w:val="clear" w:fill="E8F5E9"/>
          </w:tcPr>
          <w:p>
            <w:pPr>
              <w:shd w:val="clear" w:fill="E8F5E9"/>
            </w:pPr>
            <w:r>
              <w:rPr>
                <w:sz w:val="22"/>
                <w:b/>
              </w:rPr>
              <w:t xml:space="preserve">Postcondition</w:t>
            </w:r>
          </w:p>
        </w:tc>
        <w:tc>
          <w:tcPr>
            <w:tcW w:type="dxa" w:w="6800"/>
            <w:tcMar>
              <w:top w:type="dxa" w:w="80"/>
              <w:left w:type="dxa" w:w="120"/>
              <w:bottom w:type="dxa" w:w="80"/>
              <w:right w:type="dxa" w:w="120"/>
            </w:tcMar>
            <w:shd w:val="clear" w:fill="E8F5E9"/>
          </w:tcPr>
          <w:p>
            <w:pPr>
              <w:shd w:val="clear" w:fill="E8F5E9"/>
            </w:pPr>
            <w:r>
              <w:rPr>
                <w:sz w:val="22"/>
              </w:rPr>
              <w:t xml:space="preserve">Le client obtient une nouvelle tentative de scoring. Selon le résultat, il bascule éventuellement vers la couche cycle crédit ou reste dans la vie commune sans crédit.</w:t>
            </w:r>
          </w:p>
        </w:tc>
      </w:tr>
      <w:tr>
        <w:tc>
          <w:tcPr>
            <w:tcW w:type="dxa" w:w="2400"/>
            <w:tcMar>
              <w:top w:type="dxa" w:w="80"/>
              <w:left w:type="dxa" w:w="120"/>
              <w:bottom w:type="dxa" w:w="80"/>
              <w:right w:type="dxa" w:w="120"/>
            </w:tcMar>
            <w:shd w:val="clear" w:fill="E8F5E9"/>
          </w:tcPr>
          <w:p>
            <w:pPr>
              <w:shd w:val="clear" w:fill="E8F5E9"/>
            </w:pPr>
            <w:r>
              <w:rPr>
                <w:sz w:val="22"/>
                <w:b/>
              </w:rPr>
              <w:t xml:space="preserve">Scénario nominal</w:t>
            </w:r>
          </w:p>
        </w:tc>
        <w:tc>
          <w:tcPr>
            <w:tcW w:type="dxa" w:w="6800"/>
            <w:tcMar>
              <w:top w:type="dxa" w:w="80"/>
              <w:left w:type="dxa" w:w="120"/>
              <w:bottom w:type="dxa" w:w="80"/>
              <w:right w:type="dxa" w:w="120"/>
            </w:tcMar>
            <w:shd w:val="clear" w:fill="E8F5E9"/>
          </w:tcPr>
          <w:p>
            <w:pPr>
              <w:shd w:val="clear" w:fill="E8F5E9"/>
            </w:pPr>
            <w:r>
              <w:rPr>
                <w:sz w:val="22"/>
              </w:rPr>
              <w:t xml:space="preserve">1) Le Loader parcourt périodiquement les clients au statut DECLINED. 2) Il vérifie si le délai de re-scoring configuré est écoulé. 3) Si oui, il déclenche une nouvelle simulation de scoring en tirant un nouveau payload Faker pour le même client_id ou en ré-évaluant le payload existant. 4) Selon le résultat, il met à jour le statut du client (APPROVED ou DECLINED) et enregistre la tentative dans l'historique.</w:t>
            </w:r>
          </w:p>
        </w:tc>
      </w:tr>
      <w:tr>
        <w:tc>
          <w:tcPr>
            <w:tcW w:type="dxa" w:w="2400"/>
            <w:tcMar>
              <w:top w:type="dxa" w:w="80"/>
              <w:left w:type="dxa" w:w="120"/>
              <w:bottom w:type="dxa" w:w="80"/>
              <w:right w:type="dxa" w:w="120"/>
            </w:tcMar>
            <w:shd w:val="clear" w:fill="E8F5E9"/>
          </w:tcPr>
          <w:p>
            <w:pPr>
              <w:shd w:val="clear" w:fill="E8F5E9"/>
            </w:pPr>
            <w:r>
              <w:rPr>
                <w:sz w:val="22"/>
                <w:b/>
              </w:rPr>
              <w:t xml:space="preserve">Cas alternatif</w:t>
            </w:r>
          </w:p>
        </w:tc>
        <w:tc>
          <w:tcPr>
            <w:tcW w:type="dxa" w:w="6800"/>
            <w:tcMar>
              <w:top w:type="dxa" w:w="80"/>
              <w:left w:type="dxa" w:w="120"/>
              <w:bottom w:type="dxa" w:w="80"/>
              <w:right w:type="dxa" w:w="120"/>
            </w:tcMar>
            <w:shd w:val="clear" w:fill="E8F5E9"/>
          </w:tcPr>
          <w:p>
            <w:pPr>
              <w:shd w:val="clear" w:fill="E8F5E9"/>
            </w:pPr>
            <w:r>
              <w:rPr>
                <w:sz w:val="22"/>
              </w:rPr>
              <w:t xml:space="preserve">Le délai de re-scoring est paramétrable via le fichier de configuration du Loader.</w:t>
            </w:r>
          </w:p>
        </w:tc>
      </w:tr>
      <w:tr>
        <w:tc>
          <w:tcPr>
            <w:tcW w:type="dxa" w:w="2400"/>
            <w:tcMar>
              <w:top w:type="dxa" w:w="80"/>
              <w:left w:type="dxa" w:w="120"/>
              <w:bottom w:type="dxa" w:w="80"/>
              <w:right w:type="dxa" w:w="120"/>
            </w:tcMar>
            <w:shd w:val="clear" w:fill="E8F5E9"/>
          </w:tcPr>
          <w:p>
            <w:pPr>
              <w:shd w:val="clear" w:fill="E8F5E9"/>
            </w:pPr>
            <w:r>
              <w:rPr>
                <w:sz w:val="22"/>
                <w:b/>
              </w:rPr>
              <w:t xml:space="preserve">Exception</w:t>
            </w:r>
          </w:p>
        </w:tc>
        <w:tc>
          <w:tcPr>
            <w:tcW w:type="dxa" w:w="6800"/>
            <w:tcMar>
              <w:top w:type="dxa" w:w="80"/>
              <w:left w:type="dxa" w:w="120"/>
              <w:bottom w:type="dxa" w:w="80"/>
              <w:right w:type="dxa" w:w="120"/>
            </w:tcMar>
            <w:shd w:val="clear" w:fill="E8F5E9"/>
          </w:tcPr>
          <w:p>
            <w:pPr>
              <w:shd w:val="clear" w:fill="E8F5E9"/>
            </w:pPr>
            <w:r>
              <w:rPr>
                <w:sz w:val="22"/>
              </w:rPr>
              <w:t xml:space="preserve">Si le nombre maximal de tentatives de re-scoring est atteint sans APPROVED, le client reste durablement en statut DECLINED.</w:t>
            </w:r>
          </w:p>
        </w:tc>
      </w:tr>
      <w:tr>
        <w:tc>
          <w:tcPr>
            <w:tcW w:type="dxa" w:w="2400"/>
            <w:tcMar>
              <w:top w:type="dxa" w:w="80"/>
              <w:left w:type="dxa" w:w="120"/>
              <w:bottom w:type="dxa" w:w="80"/>
              <w:right w:type="dxa" w:w="120"/>
            </w:tcMar>
            <w:shd w:val="clear" w:fill="E8F5E9"/>
          </w:tcPr>
          <w:p>
            <w:pPr>
              <w:shd w:val="clear" w:fill="E8F5E9"/>
            </w:pPr>
            <w:r>
              <w:rPr>
                <w:sz w:val="22"/>
                <w:b/>
              </w:rPr>
              <w:t xml:space="preserve">Exigences couvertes</w:t>
            </w:r>
          </w:p>
        </w:tc>
        <w:tc>
          <w:tcPr>
            <w:tcW w:type="dxa" w:w="6800"/>
            <w:tcMar>
              <w:top w:type="dxa" w:w="80"/>
              <w:left w:type="dxa" w:w="120"/>
              <w:bottom w:type="dxa" w:w="80"/>
              <w:right w:type="dxa" w:w="120"/>
            </w:tcMar>
            <w:shd w:val="clear" w:fill="E8F5E9"/>
          </w:tcPr>
          <w:p>
            <w:pPr>
              <w:shd w:val="clear" w:fill="E8F5E9"/>
            </w:pPr>
            <w:r>
              <w:rPr>
                <w:sz w:val="22"/>
              </w:rPr>
              <w:t xml:space="preserve">EF-79</w:t>
            </w:r>
          </w:p>
        </w:tc>
      </w:tr>
    </w:tbl>
    <w:p/>
    <w:p>
      <w:pPr>
        <w:pStyle w:val="Heading2"/>
        <w:shd w:val="clear" w:fill="E8F5E9"/>
      </w:pPr>
      <w:r>
        <w:rPr>
          <w:sz w:val="26"/>
          <w:b/>
          <w:color w:val="6B2E9E"/>
        </w:rPr>
        <w:t xml:space="preserve">6.6 Population et sous-populations — AJOUT V1.2</w:t>
      </w:r>
    </w:p>
    <w:p>
      <w:pPr>
        <w:shd w:val="clear" w:fill="E8F5E9"/>
      </w:pPr>
      <w:r>
        <w:rPr>
          <w:sz w:val="22"/>
          <w:i/>
        </w:rPr>
        <w:t xml:space="preserve">AJOUT V1.2 — Cette section formalise la répartition des 2000 clients cibles selon leur destin dans la simulation. Le Loader distingue trois types de vie simulée qui coexistent sur la fenêtre historique de 180 jours.</w:t>
      </w:r>
    </w:p>
    <w:p>
      <w:pPr/>
      <w:r>
        <w:rPr>
          <w:sz w:val="24"/>
          <w:b/>
          <w:color w:val="6B2E9E"/>
        </w:rPr>
        <w:t xml:space="preserve">Type 1 — Vie commune (applicable à 100% des 2000 clients)</w:t>
      </w:r>
    </w:p>
    <w:p>
      <w:pPr/>
      <w:r>
        <w:rPr>
          <w:sz w:val="22"/>
        </w:rPr>
        <w:t xml:space="preserve">Chaque client, indépendamment de son statut de scoring crédit, mène une vie financière normale : un compte financier avec solde initial dérivé de la valeur MOB_MONEY_ACCOUNT_AMOUNT du payload Faker, des mouvements P2P et Mobile Money quotidiens, des paiements marchands, des souscriptions à 1 à 3 produits Collecte (CASH, CASH_DAT, PRODUCT), des crédits et débits sur les comptes d'épargne, et des opérations aux Kiosques (dépôts, retraits terrain). Cette vie commune est couverte par les UC-14 et UC-15 et se prolonge sur les 180 jours de la fenêtre historique.</w:t>
      </w:r>
    </w:p>
    <w:p>
      <w:pPr/>
      <w:r>
        <w:rPr>
          <w:sz w:val="24"/>
          <w:b/>
          <w:color w:val="6B2E9E"/>
        </w:rPr>
        <w:t xml:space="preserve">Type 2 — Vie crédit APPROVED (sous-population)</w:t>
      </w:r>
    </w:p>
    <w:p>
      <w:pPr/>
      <w:r>
        <w:rPr>
          <w:sz w:val="22"/>
        </w:rPr>
        <w:t xml:space="preserve">Cette sous-population concerne les clients dont le payload Faker retourne un decision_status égal à APPROVED. En plus de la vie commune de Type 1, ces clients entrent dans la couche cycle crédit : attribution d'un profil comportemental parmi les 4 profils de la méthodologie du référent loan-simulation, décaissement d'un prêt selon le catalogue loan_json.json officiel et selon le produit et le montant retournés par Faker, cycle de remboursement journalier avec évènements REPAY_LOAN programmés selon le profil, et clôture du prêt en état REPAID ou DEFAULTED en fin de cycle. Cette sous-population est couverte par les UC-01 à UC-04 (méthodologie loan-simulation) et le UC-15.</w:t>
      </w:r>
    </w:p>
    <w:p>
      <w:pPr/>
      <w:r>
        <w:rPr>
          <w:sz w:val="24"/>
          <w:b/>
          <w:color w:val="6B2E9E"/>
        </w:rPr>
        <w:t xml:space="preserve">Type 3 — Vie sans crédit pour clients DECLINED ou NOT SCORED (sous-population)</w:t>
      </w:r>
    </w:p>
    <w:p>
      <w:pPr/>
      <w:r>
        <w:rPr>
          <w:sz w:val="22"/>
        </w:rPr>
        <w:t xml:space="preserve">Cette sous-population concerne les clients dont le payload Faker retourne un decision_status égal à DECLINED, ainsi que ceux pour lesquels aucun scoring n'a été demandé. Ces clients ne reçoivent aucun prêt et ne génèrent aucun événement de crédit dans leur historique. Ils conservent une vie commune de Type 1 tout au long de la fenêtre 180 jours : activité normale sur les comptes épargne, paiements marchands, souscriptions Collecte et opérations P2P et Mobile Money. Cette sous-population est couverte par les UC-16 et UC-17 et confirme que le Loader alimente la base FinZuu d'un écosystème complet, pas uniquement des clients scored favorablement. Un mécanisme de re-scoring périodique (30, 60 ou 90 jours paramétrable) permet à ces clients de basculer éventuellement vers la couche cycle crédit.</w:t>
      </w:r>
    </w:p>
    <w:p>
      <w:pPr/>
      <w:r>
        <w:rPr>
          <w:sz w:val="24"/>
          <w:b/>
          <w:color w:val="6B2E9E"/>
        </w:rPr>
        <w:t xml:space="preserve">Tableau récapitulatif des trois types de vie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w="2500" w:type="dxa"/>
            <w:tcBorders>
              <w:top w:val="single" w:sz="4" w:color="000000"/>
              <w:left w:val="single" w:sz="4" w:color="000000"/>
              <w:bottom w:val="single" w:sz="4" w:color="000000"/>
              <w:right w:val="single" w:sz="4" w:color="000000"/>
            </w:tcBorders>
            <w:shd w:val="clear" w:fill="E8F5E9"/>
          </w:tcPr>
          <w:p>
            <w:r>
              <w:rPr>
                <w:sz w:val="20"/>
                <w:b/>
              </w:rPr>
              <w:t xml:space="preserve">Type de vie</w:t>
            </w:r>
          </w:p>
        </w:tc>
        <w:tc>
          <w:tcPr>
            <w:tcW w:w="3500" w:type="dxa"/>
            <w:tcBorders>
              <w:top w:val="single" w:sz="4" w:color="000000"/>
              <w:left w:val="single" w:sz="4" w:color="000000"/>
              <w:bottom w:val="single" w:sz="4" w:color="000000"/>
              <w:right w:val="single" w:sz="4" w:color="000000"/>
            </w:tcBorders>
            <w:shd w:val="clear" w:fill="E8F5E9"/>
          </w:tcPr>
          <w:p>
            <w:r>
              <w:rPr>
                <w:sz w:val="20"/>
                <w:b/>
              </w:rPr>
              <w:t xml:space="preserve">Sous-population cible</w:t>
            </w:r>
          </w:p>
        </w:tc>
        <w:tc>
          <w:tcPr>
            <w:tcW w:w="6000" w:type="dxa"/>
            <w:tcBorders>
              <w:top w:val="single" w:sz="4" w:color="000000"/>
              <w:left w:val="single" w:sz="4" w:color="000000"/>
              <w:bottom w:val="single" w:sz="4" w:color="000000"/>
              <w:right w:val="single" w:sz="4" w:color="000000"/>
            </w:tcBorders>
            <w:shd w:val="clear" w:fill="E8F5E9"/>
          </w:tcPr>
          <w:p>
            <w:r>
              <w:rPr>
                <w:sz w:val="20"/>
                <w:b/>
              </w:rPr>
              <w:t xml:space="preserve">Description</w:t>
            </w:r>
          </w:p>
        </w:tc>
        <w:tc>
          <w:tcPr>
            <w:tcW w:w="3000" w:type="dxa"/>
            <w:tcBorders>
              <w:top w:val="single" w:sz="4" w:color="000000"/>
              <w:left w:val="single" w:sz="4" w:color="000000"/>
              <w:bottom w:val="single" w:sz="4" w:color="000000"/>
              <w:right w:val="single" w:sz="4" w:color="000000"/>
            </w:tcBorders>
            <w:shd w:val="clear" w:fill="E8F5E9"/>
          </w:tcPr>
          <w:p>
            <w:r>
              <w:rPr>
                <w:sz w:val="20"/>
                <w:b/>
              </w:rPr>
              <w:t xml:space="preserve">UC couverts</w:t>
            </w:r>
          </w:p>
        </w:tc>
      </w:tr>
      <w:tr>
        <w:tc>
          <w:tcPr>
            <w:tcW w:w="2500" w:type="dxa"/>
            <w:tcBorders>
              <w:top w:val="single" w:sz="4" w:color="000000"/>
              <w:left w:val="single" w:sz="4" w:color="000000"/>
              <w:bottom w:val="single" w:sz="4" w:color="000000"/>
              <w:right w:val="single" w:sz="4" w:color="000000"/>
            </w:tcBorders>
            <w:shd w:val="clear" w:fill="E8F5E9"/>
          </w:tcPr>
          <w:p>
            <w:r>
              <w:rPr>
                <w:sz w:val="20"/>
              </w:rPr>
              <w:t xml:space="preserve">Type 1 - Vie commune</w:t>
            </w:r>
          </w:p>
        </w:tc>
        <w:tc>
          <w:tcPr>
            <w:tcW w:w="3500" w:type="dxa"/>
            <w:tcBorders>
              <w:top w:val="single" w:sz="4" w:color="000000"/>
              <w:left w:val="single" w:sz="4" w:color="000000"/>
              <w:bottom w:val="single" w:sz="4" w:color="000000"/>
              <w:right w:val="single" w:sz="4" w:color="000000"/>
            </w:tcBorders>
            <w:shd w:val="clear" w:fill="E8F5E9"/>
          </w:tcPr>
          <w:p>
            <w:r>
              <w:rPr>
                <w:sz w:val="20"/>
              </w:rPr>
              <w:t xml:space="preserve">TOUS les 2000 clients (100%)</w:t>
            </w:r>
          </w:p>
        </w:tc>
        <w:tc>
          <w:tcPr>
            <w:tcW w:w="6000" w:type="dxa"/>
            <w:tcBorders>
              <w:top w:val="single" w:sz="4" w:color="000000"/>
              <w:left w:val="single" w:sz="4" w:color="000000"/>
              <w:bottom w:val="single" w:sz="4" w:color="000000"/>
              <w:right w:val="single" w:sz="4" w:color="000000"/>
            </w:tcBorders>
            <w:shd w:val="clear" w:fill="E8F5E9"/>
          </w:tcPr>
          <w:p>
            <w:r>
              <w:rPr>
                <w:sz w:val="20"/>
              </w:rPr>
              <w:t xml:space="preserve">Comptes, épargne, paiements marchands, P2P, Mobile Money, souscriptions Collecte, opérations Kiosques</w:t>
            </w:r>
          </w:p>
        </w:tc>
        <w:tc>
          <w:tcPr>
            <w:tcW w:w="3000" w:type="dxa"/>
            <w:tcBorders>
              <w:top w:val="single" w:sz="4" w:color="000000"/>
              <w:left w:val="single" w:sz="4" w:color="000000"/>
              <w:bottom w:val="single" w:sz="4" w:color="000000"/>
              <w:right w:val="single" w:sz="4" w:color="000000"/>
            </w:tcBorders>
            <w:shd w:val="clear" w:fill="E8F5E9"/>
          </w:tcPr>
          <w:p>
            <w:r>
              <w:rPr>
                <w:sz w:val="20"/>
              </w:rPr>
              <w:t xml:space="preserve">UC-14, UC-15</w:t>
            </w:r>
          </w:p>
        </w:tc>
      </w:tr>
      <w:tr>
        <w:tc>
          <w:tcPr>
            <w:tcW w:w="2500" w:type="dxa"/>
            <w:tcBorders>
              <w:top w:val="single" w:sz="4" w:color="000000"/>
              <w:left w:val="single" w:sz="4" w:color="000000"/>
              <w:bottom w:val="single" w:sz="4" w:color="000000"/>
              <w:right w:val="single" w:sz="4" w:color="000000"/>
            </w:tcBorders>
            <w:shd w:val="clear" w:fill="E8F5E9"/>
          </w:tcPr>
          <w:p>
            <w:r>
              <w:rPr>
                <w:sz w:val="20"/>
              </w:rPr>
              <w:t xml:space="preserve">Type 2 - Cycle crédit APPROVED</w:t>
            </w:r>
          </w:p>
        </w:tc>
        <w:tc>
          <w:tcPr>
            <w:tcW w:w="3500" w:type="dxa"/>
            <w:tcBorders>
              <w:top w:val="single" w:sz="4" w:color="000000"/>
              <w:left w:val="single" w:sz="4" w:color="000000"/>
              <w:bottom w:val="single" w:sz="4" w:color="000000"/>
              <w:right w:val="single" w:sz="4" w:color="000000"/>
            </w:tcBorders>
            <w:shd w:val="clear" w:fill="E8F5E9"/>
          </w:tcPr>
          <w:p>
            <w:r>
              <w:rPr>
                <w:sz w:val="20"/>
              </w:rPr>
              <w:t xml:space="preserve">Clients avec decision_status = APPROVED</w:t>
            </w:r>
          </w:p>
        </w:tc>
        <w:tc>
          <w:tcPr>
            <w:tcW w:w="6000" w:type="dxa"/>
            <w:tcBorders>
              <w:top w:val="single" w:sz="4" w:color="000000"/>
              <w:left w:val="single" w:sz="4" w:color="000000"/>
              <w:bottom w:val="single" w:sz="4" w:color="000000"/>
              <w:right w:val="single" w:sz="4" w:color="000000"/>
            </w:tcBorders>
            <w:shd w:val="clear" w:fill="E8F5E9"/>
          </w:tcPr>
          <w:p>
            <w:r>
              <w:rPr>
                <w:sz w:val="20"/>
              </w:rPr>
              <w:t xml:space="preserve">Attribution profil comportemental, décaissement prêt, cycle remboursement, clôture REPAID ou DEFAULTED</w:t>
            </w:r>
          </w:p>
        </w:tc>
        <w:tc>
          <w:tcPr>
            <w:tcW w:w="3000" w:type="dxa"/>
            <w:tcBorders>
              <w:top w:val="single" w:sz="4" w:color="000000"/>
              <w:left w:val="single" w:sz="4" w:color="000000"/>
              <w:bottom w:val="single" w:sz="4" w:color="000000"/>
              <w:right w:val="single" w:sz="4" w:color="000000"/>
            </w:tcBorders>
            <w:shd w:val="clear" w:fill="E8F5E9"/>
          </w:tcPr>
          <w:p>
            <w:r>
              <w:rPr>
                <w:sz w:val="20"/>
              </w:rPr>
              <w:t xml:space="preserve">UC-01, UC-02, UC-03, UC-04</w:t>
            </w:r>
          </w:p>
        </w:tc>
      </w:tr>
      <w:tr>
        <w:tc>
          <w:tcPr>
            <w:tcW w:w="2500" w:type="dxa"/>
            <w:tcBorders>
              <w:top w:val="single" w:sz="4" w:color="000000"/>
              <w:left w:val="single" w:sz="4" w:color="000000"/>
              <w:bottom w:val="single" w:sz="4" w:color="000000"/>
              <w:right w:val="single" w:sz="4" w:color="000000"/>
            </w:tcBorders>
            <w:shd w:val="clear" w:fill="E8F5E9"/>
          </w:tcPr>
          <w:p>
            <w:r>
              <w:rPr>
                <w:sz w:val="20"/>
              </w:rPr>
              <w:t xml:space="preserve">Type 3 - Sans crédit</w:t>
            </w:r>
          </w:p>
        </w:tc>
        <w:tc>
          <w:tcPr>
            <w:tcW w:w="3500" w:type="dxa"/>
            <w:tcBorders>
              <w:top w:val="single" w:sz="4" w:color="000000"/>
              <w:left w:val="single" w:sz="4" w:color="000000"/>
              <w:bottom w:val="single" w:sz="4" w:color="000000"/>
              <w:right w:val="single" w:sz="4" w:color="000000"/>
            </w:tcBorders>
            <w:shd w:val="clear" w:fill="E8F5E9"/>
          </w:tcPr>
          <w:p>
            <w:r>
              <w:rPr>
                <w:sz w:val="20"/>
              </w:rPr>
              <w:t xml:space="preserve">Clients DECLINED ou NOT SCORED</w:t>
            </w:r>
          </w:p>
        </w:tc>
        <w:tc>
          <w:tcPr>
            <w:tcW w:w="6000" w:type="dxa"/>
            <w:tcBorders>
              <w:top w:val="single" w:sz="4" w:color="000000"/>
              <w:left w:val="single" w:sz="4" w:color="000000"/>
              <w:bottom w:val="single" w:sz="4" w:color="000000"/>
              <w:right w:val="single" w:sz="4" w:color="000000"/>
            </w:tcBorders>
            <w:shd w:val="clear" w:fill="E8F5E9"/>
          </w:tcPr>
          <w:p>
            <w:r>
              <w:rPr>
                <w:sz w:val="20"/>
              </w:rPr>
              <w:t xml:space="preserve">Vie commune Type 1 uniquement, aucun prêt, re-scoring périodique optionnel</w:t>
            </w:r>
          </w:p>
        </w:tc>
        <w:tc>
          <w:tcPr>
            <w:tcW w:w="3000" w:type="dxa"/>
            <w:tcBorders>
              <w:top w:val="single" w:sz="4" w:color="000000"/>
              <w:left w:val="single" w:sz="4" w:color="000000"/>
              <w:bottom w:val="single" w:sz="4" w:color="000000"/>
              <w:right w:val="single" w:sz="4" w:color="000000"/>
            </w:tcBorders>
            <w:shd w:val="clear" w:fill="E8F5E9"/>
          </w:tcPr>
          <w:p>
            <w:r>
              <w:rPr>
                <w:sz w:val="20"/>
              </w:rPr>
              <w:t xml:space="preserve">UC-16, UC-17</w:t>
            </w:r>
          </w:p>
        </w:tc>
      </w:tr>
    </w:tbl>
    <w:p/>
    <w:p>
      <w:pPr>
        <w:spacing w:after="120"/>
        <w:jc w:val="both"/>
      </w:pPr>
      <w:r>
        <w:rPr>
          <w:b w:val="false"/>
          <w:bCs w:val="false"/>
          <w:i w:val="false"/>
          <w:iCs w:val="false"/>
          <w:sz w:val="22"/>
          <w:szCs w:val="22"/>
        </w:rPr>
        <w:t xml:space="preserve">7. Exigences fonctionnelles</w:t>
      </w:r>
    </w:p>
    <w:p>
      <w:pPr>
        <w:spacing w:after="120"/>
        <w:jc w:val="both"/>
      </w:pPr>
      <w:r>
        <w:rPr>
          <w:b w:val="false"/>
          <w:bCs w:val="false"/>
          <w:i w:val="false"/>
          <w:iCs w:val="false"/>
          <w:sz w:val="22"/>
          <w:szCs w:val="22"/>
        </w:rPr>
        <w:t xml:space="preserve">8. Exigences non fonctionnelles</w:t>
      </w:r>
    </w:p>
    <w:p>
      <w:pPr>
        <w:spacing w:after="120"/>
        <w:jc w:val="both"/>
      </w:pPr>
      <w:r>
        <w:rPr>
          <w:b w:val="false"/>
          <w:bCs w:val="false"/>
          <w:i w:val="false"/>
          <w:iCs w:val="false"/>
          <w:sz w:val="22"/>
          <w:szCs w:val="22"/>
        </w:rPr>
        <w:t xml:space="preserve">9. Contraintes</w:t>
      </w:r>
    </w:p>
    <w:p>
      <w:pPr>
        <w:spacing w:after="120"/>
        <w:jc w:val="both"/>
      </w:pPr>
      <w:r>
        <w:rPr>
          <w:b w:val="false"/>
          <w:bCs w:val="false"/>
          <w:i w:val="false"/>
          <w:iCs w:val="false"/>
          <w:sz w:val="22"/>
          <w:szCs w:val="22"/>
        </w:rPr>
        <w:t xml:space="preserve">10. Hypothèses et risques</w:t>
      </w:r>
    </w:p>
    <w:p>
      <w:pPr>
        <w:spacing w:after="120"/>
        <w:jc w:val="both"/>
      </w:pPr>
      <w:r>
        <w:rPr>
          <w:b w:val="false"/>
          <w:bCs w:val="false"/>
          <w:i w:val="false"/>
          <w:iCs w:val="false"/>
          <w:sz w:val="22"/>
          <w:szCs w:val="22"/>
        </w:rPr>
        <w:t xml:space="preserve">11. Livrables et jalons</w:t>
      </w:r>
    </w:p>
    <w:p>
      <w:pPr>
        <w:spacing w:after="120"/>
        <w:jc w:val="both"/>
      </w:pPr>
      <w:r>
        <w:rPr>
          <w:b w:val="false"/>
          <w:bCs w:val="false"/>
          <w:i w:val="false"/>
          <w:iCs w:val="false"/>
          <w:sz w:val="22"/>
          <w:szCs w:val="22"/>
        </w:rPr>
        <w:t xml:space="preserve">12. Critères de recette</w:t>
      </w:r>
    </w:p>
    <w:p>
      <w:pPr>
        <w:spacing w:after="120"/>
        <w:jc w:val="both"/>
      </w:pPr>
      <w:r>
        <w:rPr>
          <w:b w:val="false"/>
          <w:bCs w:val="false"/>
          <w:i w:val="false"/>
          <w:iCs w:val="false"/>
          <w:sz w:val="22"/>
          <w:szCs w:val="22"/>
        </w:rPr>
        <w:t xml:space="preserve">13. Annexes</w:t>
      </w:r>
    </w:p>
    <w:p>
      <w:r>
        <w:br w:type="page"/>
      </w:r>
    </w:p>
    <w:p>
      <w:pPr>
        <w:pStyle w:val="Heading1"/>
        <w:spacing w:after="240" w:before="480"/>
      </w:pPr>
      <w:r>
        <w:rPr>
          <w:b/>
          <w:bCs/>
          <w:color w:val="6B2E9E"/>
          <w:sz w:val="32"/>
          <w:szCs w:val="32"/>
        </w:rPr>
        <w:t xml:space="preserve">1. Résumé exécutif</w:t>
      </w:r>
    </w:p>
    <w:p>
      <w:pPr>
        <w:spacing w:after="120"/>
        <w:jc w:val="both"/>
      </w:pPr>
      <w:r>
        <w:rPr>
          <w:b w:val="false"/>
          <w:bCs w:val="false"/>
          <w:i w:val="false"/>
          <w:iCs w:val="false"/>
          <w:sz w:val="22"/>
          <w:szCs w:val="22"/>
        </w:rPr>
        <w:t xml:space="preserve">FinZuu SAS déploie ReadyCollect, une plateforme B2B2C de services financiers destinée aux institutions de microfinance en Afrique subsaharienne. La plateforme couvre l'onboarding client, la collecte d'épargne, l'octroi de crédits, la gestion de bailleurs de fonds et les opérations de kiosque.</w:t>
      </w:r>
    </w:p>
    <w:p>
      <w:pPr>
        <w:spacing w:after="120"/>
        <w:jc w:val="both"/>
      </w:pPr>
      <w:r>
        <w:rPr>
          <w:b w:val="false"/>
          <w:bCs w:val="false"/>
          <w:i w:val="false"/>
          <w:iCs w:val="false"/>
          <w:sz w:val="22"/>
          <w:szCs w:val="22"/>
        </w:rPr>
        <w:t xml:space="preserve">À ce jour, les environnements TEST et DEMO de la plateforme ne disposent d'aucun jeu de données représentatif. Cette absence bloque trois activités stratégiques : les démonstrations commerciales auprès des prospects institutionnels (Nordic Microfinance, IFC, AFD, BAD), la validation qualité du Module Prêt, et la formation des utilisateurs finaux.</w:t>
      </w:r>
    </w:p>
    <w:p>
      <w:pPr>
        <w:spacing w:after="120"/>
        <w:jc w:val="both"/>
      </w:pPr>
      <w:r>
        <w:rPr>
          <w:b w:val="false"/>
          <w:bCs w:val="false"/>
          <w:i w:val="false"/>
          <w:iCs w:val="false"/>
          <w:sz w:val="22"/>
          <w:szCs w:val="22"/>
        </w:rPr>
        <w:t xml:space="preserve">Le présent cahier des charges spécifie un outil logiciel, dénommé Loader, dont la mission est de peupler les environnements TEST et DEMO avec des données fictives mais cohérentes, reflétant fidèlement l'écosystème financier de quatre pays cibles : Cameroun, Côte d'Ivoire, Burkina Faso et Sénégal.</w:t>
      </w:r>
    </w:p>
    <w:p>
      <w:pPr>
        <w:spacing w:after="120"/>
        <w:jc w:val="both"/>
      </w:pPr>
      <w:r>
        <w:rPr>
          <w:b w:val="false"/>
          <w:bCs w:val="false"/>
          <w:i w:val="false"/>
          <w:iCs w:val="false"/>
          <w:sz w:val="22"/>
          <w:szCs w:val="22"/>
        </w:rPr>
        <w:t xml:space="preserve">L'outil combinera deux sources de génération : d'une part l'API Faker fintech4esg pour les payloads clients et l'historique de crédit, d'autre part un générateur interne pour les entités organisationnelles absentes de Faker (compagnies, lenders institutionnels, branches, agences, kiosques, agents). Un référentiel géographique structuré sur cinq niveaux (Pays, Région, Ville, Quartier, Adresse) garantira la cohérence spatiale des données.</w:t>
      </w:r>
    </w:p>
    <w:p>
      <w:pPr>
        <w:spacing w:after="120"/>
        <w:jc w:val="both"/>
      </w:pPr>
      <w:r>
        <w:rPr>
          <w:b w:val="false"/>
          <w:bCs w:val="false"/>
          <w:i w:val="false"/>
          <w:iCs w:val="false"/>
          <w:sz w:val="22"/>
          <w:szCs w:val="22"/>
        </w:rPr>
        <w:t xml:space="preserve">Le Loader sera piloté via une interface graphique dédiée, permettant à un utilisateur non technique de configurer, lancer, suivre et réinitialiser les générations. L'ensemble sera hébergé sur le domaine loader.fintech4esg.com.</w:t>
      </w:r>
    </w:p>
    <w:p>
      <w:pPr>
        <w:pBdr>
          <w:top w:val="single" w:color="A5D6A7" w:sz="6" w:space="4"/>
          <w:bottom w:val="single" w:color="A5D6A7" w:sz="6" w:space="4"/>
          <w:left w:val="single" w:color="4CAF50" w:sz="24" w:space="8"/>
          <w:right w:val="single" w:color="A5D6A7" w:sz="6" w:space="4"/>
        </w:pBdr>
        <w:shd w:fill="E8F5E9" w:val="clear"/>
        <w:spacing w:after="120" w:before="120"/>
      </w:pPr>
      <w:r>
        <w:rPr>
          <w:b/>
          <w:bCs/>
          <w:color w:val="4CAF50"/>
          <w:sz w:val="22"/>
          <w:szCs w:val="22"/>
        </w:rPr>
        <w:t xml:space="preserve">AJOUT V1.2 — </w:t>
      </w:r>
      <w:r>
        <w:rPr>
          <w:i/>
          <w:iCs/>
          <w:sz w:val="22"/>
          <w:szCs w:val="22"/>
        </w:rPr>
        <w:t xml:space="preserve">La version 1.2 enrichit l'outil d'une méthodologie de simulation comportementale des clients, issue du travail du référent loan-simulation. Chaque client généré porte désormais un profil de comportement de remboursement réaliste, permettant de produire un historique de crédit fidèle aux distributions observées dans la microfinance mondiale et alimenter les tableaux de bord de démonstration en indicateurs Portfolio At Risk (PAR) crédibles.</w:t>
      </w:r>
    </w:p>
    <w:p>
      <w:r>
        <w:br w:type="page"/>
      </w:r>
    </w:p>
    <w:p>
      <w:pPr>
        <w:pStyle w:val="Heading1"/>
        <w:spacing w:after="240" w:before="480"/>
      </w:pPr>
      <w:r>
        <w:rPr>
          <w:b/>
          <w:bCs/>
          <w:color w:val="6B2E9E"/>
          <w:sz w:val="32"/>
          <w:szCs w:val="32"/>
        </w:rPr>
        <w:t xml:space="preserve">2. Contexte et justification</w:t>
      </w:r>
    </w:p>
    <w:p>
      <w:pPr>
        <w:pStyle w:val="Heading2"/>
        <w:spacing w:after="180" w:before="360"/>
      </w:pPr>
      <w:r>
        <w:rPr>
          <w:b/>
          <w:bCs/>
          <w:color w:val="6B2E9E"/>
          <w:sz w:val="26"/>
          <w:szCs w:val="26"/>
        </w:rPr>
        <w:t xml:space="preserve">2.1 Situation actuelle</w:t>
      </w:r>
    </w:p>
    <w:p>
      <w:pPr>
        <w:spacing w:after="120"/>
        <w:jc w:val="both"/>
      </w:pPr>
      <w:r>
        <w:rPr>
          <w:b w:val="false"/>
          <w:bCs w:val="false"/>
          <w:i w:val="false"/>
          <w:iCs w:val="false"/>
          <w:sz w:val="22"/>
          <w:szCs w:val="22"/>
        </w:rPr>
        <w:t xml:space="preserve">La plateforme FinZuu comprend neuf services de production confirmés empiriquement au 14 juillet 2026 : user-service, company-service, identity-service, account-service, config-service, client-service, product-service, depositary-service et collect-service. Les modules bulk-payment, loan, lender et notification sont à l'état de spécification ou en cours de développement externe.</w:t>
      </w:r>
    </w:p>
    <w:p>
      <w:pPr>
        <w:spacing w:after="120"/>
        <w:jc w:val="both"/>
      </w:pPr>
      <w:r>
        <w:rPr>
          <w:b w:val="false"/>
          <w:bCs w:val="false"/>
          <w:i w:val="false"/>
          <w:iCs w:val="false"/>
          <w:sz w:val="22"/>
          <w:szCs w:val="22"/>
        </w:rPr>
        <w:t xml:space="preserve">Les environnements TEST et DEMO sont opérationnels mais vides. Toute tentative de démonstration ou de test intégrées se heurte à l'absence de clients, de compagnies, de kiosques, de produits et de comptes financiers. Les démonstrations commerciales sont actuellement réalisées à partir de créations manuelles ponctuelles, sans cohérence globale ni volumétrie réaliste.</w:t>
      </w:r>
    </w:p>
    <w:p>
      <w:pPr>
        <w:pStyle w:val="Heading2"/>
        <w:spacing w:after="180" w:before="360"/>
      </w:pPr>
      <w:r>
        <w:rPr>
          <w:b/>
          <w:bCs/>
          <w:color w:val="6B2E9E"/>
          <w:sz w:val="26"/>
          <w:szCs w:val="26"/>
        </w:rPr>
        <w:t xml:space="preserve">2.2 Problème à résoudre</w:t>
      </w:r>
    </w:p>
    <w:p>
      <w:pPr>
        <w:spacing w:after="120"/>
        <w:jc w:val="both"/>
      </w:pPr>
      <w:r>
        <w:rPr>
          <w:b w:val="false"/>
          <w:bCs w:val="false"/>
          <w:i w:val="false"/>
          <w:iCs w:val="false"/>
          <w:sz w:val="22"/>
          <w:szCs w:val="22"/>
        </w:rPr>
        <w:t xml:space="preserve">L'absence de données de test cohérentes génère quatre effets néfastes :</w:t>
      </w:r>
    </w:p>
    <w:p>
      <w:pPr>
        <w:pStyle w:val="ListParagraph"/>
        <w:numPr>
          <w:ilvl w:val="0"/>
          <w:numId w:val="1"/>
        </w:numPr>
        <w:spacing w:after="80"/>
      </w:pPr>
      <w:r>
        <w:rPr>
          <w:sz w:val="22"/>
          <w:szCs w:val="22"/>
        </w:rPr>
        <w:t xml:space="preserve">Les démonstrations commerciales manquent de crédibilité, faute de volumétrie et de diversité.</w:t>
      </w:r>
    </w:p>
    <w:p>
      <w:pPr>
        <w:pStyle w:val="ListParagraph"/>
        <w:numPr>
          <w:ilvl w:val="0"/>
          <w:numId w:val="1"/>
        </w:numPr>
        <w:spacing w:after="80"/>
      </w:pPr>
      <w:r>
        <w:rPr>
          <w:sz w:val="22"/>
          <w:szCs w:val="22"/>
        </w:rPr>
        <w:t xml:space="preserve">Les tests de bout en bout du Module Prêt ne peuvent être exécutés sans clients préexistants disposant d'un historique de crédit.</w:t>
      </w:r>
    </w:p>
    <w:p>
      <w:pPr>
        <w:pStyle w:val="ListParagraph"/>
        <w:numPr>
          <w:ilvl w:val="0"/>
          <w:numId w:val="1"/>
        </w:numPr>
        <w:spacing w:after="80"/>
      </w:pPr>
      <w:r>
        <w:rPr>
          <w:sz w:val="22"/>
          <w:szCs w:val="22"/>
        </w:rPr>
        <w:t xml:space="preserve">Les nouveaux membres de l'équipe QA doivent recréer manuellement leurs jeux de données à chaque cycle de test, avec un coût de temps significatif.</w:t>
      </w:r>
    </w:p>
    <w:p>
      <w:pPr>
        <w:pStyle w:val="ListParagraph"/>
        <w:numPr>
          <w:ilvl w:val="0"/>
          <w:numId w:val="1"/>
        </w:numPr>
        <w:spacing w:after="80"/>
      </w:pPr>
      <w:r>
        <w:rPr>
          <w:sz w:val="22"/>
          <w:szCs w:val="22"/>
        </w:rPr>
        <w:t xml:space="preserve">Les critères d'acceptation des sprints ne peuvent être validés sur des volumes représentatifs des environnements de production cibles.</w:t>
      </w:r>
    </w:p>
    <w:p>
      <w:pPr>
        <w:pStyle w:val="Heading2"/>
        <w:spacing w:after="180" w:before="360"/>
      </w:pPr>
      <w:r>
        <w:rPr>
          <w:b/>
          <w:bCs/>
          <w:color w:val="6B2E9E"/>
          <w:sz w:val="26"/>
          <w:szCs w:val="26"/>
        </w:rPr>
        <w:t xml:space="preserve">2.3 Origine de la demande</w:t>
      </w:r>
    </w:p>
    <w:p>
      <w:pPr>
        <w:spacing w:after="120"/>
        <w:jc w:val="both"/>
      </w:pPr>
      <w:r>
        <w:rPr>
          <w:b w:val="false"/>
          <w:bCs w:val="false"/>
          <w:i w:val="false"/>
          <w:iCs w:val="false"/>
          <w:sz w:val="22"/>
          <w:szCs w:val="22"/>
        </w:rPr>
        <w:t xml:space="preserve">La construction de cet outil est ordonnée par la Direction Technique le 16 juillet 2026, via message adressé à l'équipe QA. Le mandat précise les proportions démographiques attendues, la cadence de génération, la liste des bailleurs institutionnels à intégrer, et le recours au module de prêt développé par Duhamel (dt@finzuu.com).</w:t>
      </w:r>
    </w:p>
    <w:p>
      <w:pPr>
        <w:spacing w:after="120"/>
        <w:jc w:val="both"/>
      </w:pPr>
      <w:r>
        <w:rPr>
          <w:b w:val="false"/>
          <w:bCs w:val="false"/>
          <w:i w:val="false"/>
          <w:iCs w:val="false"/>
          <w:sz w:val="22"/>
          <w:szCs w:val="22"/>
        </w:rPr>
        <w:t xml:space="preserve">La conception de l'outil est confiée au QA Lead. La production s'inscrit dans le Sprint 4 du projet ReadyCollect, avec une première livraison attendue avant la fin juillet 2026.</w:t>
      </w:r>
    </w:p>
    <w:p>
      <w:r>
        <w:br w:type="page"/>
      </w:r>
    </w:p>
    <w:p>
      <w:pPr>
        <w:pStyle w:val="Heading1"/>
        <w:spacing w:after="240" w:before="480"/>
      </w:pPr>
      <w:r>
        <w:rPr>
          <w:b/>
          <w:bCs/>
          <w:color w:val="6B2E9E"/>
          <w:sz w:val="32"/>
          <w:szCs w:val="32"/>
        </w:rPr>
        <w:t xml:space="preserve">3. Objectifs du projet</w:t>
      </w:r>
    </w:p>
    <w:p>
      <w:pPr>
        <w:pStyle w:val="Heading2"/>
        <w:spacing w:after="180" w:before="360"/>
      </w:pPr>
      <w:r>
        <w:rPr>
          <w:b/>
          <w:bCs/>
          <w:color w:val="6B2E9E"/>
          <w:sz w:val="26"/>
          <w:szCs w:val="26"/>
        </w:rPr>
        <w:t xml:space="preserve">3.1 Objectif général</w:t>
      </w:r>
    </w:p>
    <w:p>
      <w:pPr>
        <w:spacing w:after="120"/>
        <w:jc w:val="both"/>
      </w:pPr>
      <w:r>
        <w:rPr>
          <w:b w:val="false"/>
          <w:bCs w:val="false"/>
          <w:i w:val="false"/>
          <w:iCs w:val="false"/>
          <w:sz w:val="22"/>
          <w:szCs w:val="22"/>
        </w:rPr>
        <w:t xml:space="preserve">Concevoir et livrer un outil autonome, réutilisable et paramétrable, capable de générer et d'injecter dans les environnements TEST et DEMO de FinZuu un jeu de données complet, cohérent et représentatif, couvrant les quatre pays cibles et l'ensemble des entités métier du Module Collecte et du Module Prêt.</w:t>
      </w:r>
    </w:p>
    <w:p>
      <w:pPr>
        <w:pStyle w:val="Heading2"/>
        <w:spacing w:after="180" w:before="360"/>
      </w:pPr>
      <w:r>
        <w:rPr>
          <w:b/>
          <w:bCs/>
          <w:color w:val="6B2E9E"/>
          <w:sz w:val="26"/>
          <w:szCs w:val="26"/>
        </w:rPr>
        <w:t xml:space="preserve">3.2 Objectifs spécifiques</w:t>
      </w:r>
    </w:p>
    <w:p>
      <w:pPr>
        <w:spacing w:after="120"/>
        <w:jc w:val="both"/>
      </w:pPr>
      <w:r>
        <w:rPr>
          <w:b w:val="false"/>
          <w:bCs w:val="false"/>
          <w:i w:val="false"/>
          <w:iCs w:val="false"/>
          <w:sz w:val="22"/>
          <w:szCs w:val="22"/>
        </w:rPr>
        <w:t xml:space="preserve">Les objectifs spécifiques sont formulés selon la méthodologie SMART (Spécifique, Mesurable, Atteignable, Réaliste, Temporel)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4000"/>
      </w:tblGrid>
      <w:tr>
        <w:trPr>
          <w:tblHeader/>
        </w:trPr>
        <w:tc>
          <w:tcPr>
            <w:tcW w:type="dxa" w:w="1000"/>
            <w:shd w:fill="6B2E9E" w:val="clear"/>
            <w:tcMar>
              <w:top w:type="dxa" w:w="100"/>
              <w:left w:type="dxa" w:w="120"/>
              <w:bottom w:type="dxa" w:w="100"/>
              <w:right w:type="dxa" w:w="120"/>
            </w:tcMar>
          </w:tcPr>
          <w:p>
            <w:pPr>
              <w:jc w:val="center"/>
            </w:pPr>
            <w:r>
              <w:rPr>
                <w:b/>
                <w:bCs/>
                <w:color w:val="FFFFFF"/>
                <w:sz w:val="20"/>
                <w:szCs w:val="20"/>
              </w:rPr>
              <w:t xml:space="preserve">Réf.</w:t>
            </w:r>
          </w:p>
        </w:tc>
        <w:tc>
          <w:tcPr>
            <w:tcW w:type="dxa" w:w="4200"/>
            <w:shd w:fill="6B2E9E" w:val="clear"/>
            <w:tcMar>
              <w:top w:type="dxa" w:w="100"/>
              <w:left w:type="dxa" w:w="120"/>
              <w:bottom w:type="dxa" w:w="100"/>
              <w:right w:type="dxa" w:w="120"/>
            </w:tcMar>
          </w:tcPr>
          <w:p>
            <w:pPr>
              <w:jc w:val="center"/>
            </w:pPr>
            <w:r>
              <w:rPr>
                <w:b/>
                <w:bCs/>
                <w:color w:val="FFFFFF"/>
                <w:sz w:val="20"/>
                <w:szCs w:val="20"/>
              </w:rPr>
              <w:t xml:space="preserve">Objectif</w:t>
            </w:r>
          </w:p>
        </w:tc>
        <w:tc>
          <w:tcPr>
            <w:tcW w:type="dxa" w:w="4000"/>
            <w:shd w:fill="6B2E9E" w:val="clear"/>
            <w:tcMar>
              <w:top w:type="dxa" w:w="100"/>
              <w:left w:type="dxa" w:w="120"/>
              <w:bottom w:type="dxa" w:w="100"/>
              <w:right w:type="dxa" w:w="120"/>
            </w:tcMar>
          </w:tcPr>
          <w:p>
            <w:pPr>
              <w:jc w:val="center"/>
            </w:pPr>
            <w:r>
              <w:rPr>
                <w:b/>
                <w:bCs/>
                <w:color w:val="FFFFFF"/>
                <w:sz w:val="20"/>
                <w:szCs w:val="20"/>
              </w:rPr>
              <w:t xml:space="preserve">Cible mesurable</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OBJ-01</w:t>
            </w:r>
          </w:p>
        </w:tc>
        <w:tc>
          <w:tcPr>
            <w:tcW w:type="dxa" w:w="4200"/>
            <w:tcMar>
              <w:top w:type="dxa" w:w="80"/>
              <w:left w:type="dxa" w:w="120"/>
              <w:bottom w:type="dxa" w:w="80"/>
              <w:right w:type="dxa" w:w="120"/>
            </w:tcMar>
          </w:tcPr>
          <w:p>
            <w:pPr>
              <w:jc w:val="left"/>
            </w:pPr>
            <w:r>
              <w:rPr>
                <w:b w:val="false"/>
                <w:bCs w:val="false"/>
                <w:color w:val="000000"/>
                <w:sz w:val="20"/>
                <w:szCs w:val="20"/>
              </w:rPr>
              <w:t xml:space="preserve">Établir un référentiel géographique complet et exact</w:t>
            </w:r>
          </w:p>
        </w:tc>
        <w:tc>
          <w:tcPr>
            <w:tcW w:type="dxa" w:w="4000"/>
            <w:tcMar>
              <w:top w:type="dxa" w:w="80"/>
              <w:left w:type="dxa" w:w="120"/>
              <w:bottom w:type="dxa" w:w="80"/>
              <w:right w:type="dxa" w:w="120"/>
            </w:tcMar>
          </w:tcPr>
          <w:p>
            <w:pPr>
              <w:jc w:val="left"/>
            </w:pPr>
            <w:r>
              <w:rPr>
                <w:b w:val="false"/>
                <w:bCs w:val="false"/>
                <w:color w:val="000000"/>
                <w:sz w:val="20"/>
                <w:szCs w:val="20"/>
              </w:rPr>
              <w:t xml:space="preserve">51 régions, 50 villes, 82 quartiers pour 4 pays</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OBJ-02</w:t>
            </w:r>
          </w:p>
        </w:tc>
        <w:tc>
          <w:tcPr>
            <w:tcW w:type="dxa" w:w="4200"/>
            <w:tcMar>
              <w:top w:type="dxa" w:w="80"/>
              <w:left w:type="dxa" w:w="120"/>
              <w:bottom w:type="dxa" w:w="80"/>
              <w:right w:type="dxa" w:w="120"/>
            </w:tcMar>
          </w:tcPr>
          <w:p>
            <w:pPr>
              <w:jc w:val="left"/>
            </w:pPr>
            <w:r>
              <w:rPr>
                <w:b w:val="false"/>
                <w:bCs w:val="false"/>
                <w:color w:val="000000"/>
                <w:sz w:val="20"/>
                <w:szCs w:val="20"/>
              </w:rPr>
              <w:t xml:space="preserve">Générer une population de clients diversifiée et cohérente</w:t>
            </w:r>
          </w:p>
        </w:tc>
        <w:tc>
          <w:tcPr>
            <w:tcW w:type="dxa" w:w="4000"/>
            <w:tcMar>
              <w:top w:type="dxa" w:w="80"/>
              <w:left w:type="dxa" w:w="120"/>
              <w:bottom w:type="dxa" w:w="80"/>
              <w:right w:type="dxa" w:w="120"/>
            </w:tcMar>
          </w:tcPr>
          <w:p>
            <w:pPr>
              <w:jc w:val="left"/>
            </w:pPr>
            <w:r>
              <w:rPr>
                <w:b w:val="false"/>
                <w:bCs w:val="false"/>
                <w:color w:val="000000"/>
                <w:sz w:val="20"/>
                <w:szCs w:val="20"/>
              </w:rPr>
              <w:t xml:space="preserve">2000 clients par exécution, 4 pays, distribution paramétrable</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OBJ-03</w:t>
            </w:r>
          </w:p>
        </w:tc>
        <w:tc>
          <w:tcPr>
            <w:tcW w:type="dxa" w:w="4200"/>
            <w:tcMar>
              <w:top w:type="dxa" w:w="80"/>
              <w:left w:type="dxa" w:w="120"/>
              <w:bottom w:type="dxa" w:w="80"/>
              <w:right w:type="dxa" w:w="120"/>
            </w:tcMar>
          </w:tcPr>
          <w:p>
            <w:pPr>
              <w:jc w:val="left"/>
            </w:pPr>
            <w:r>
              <w:rPr>
                <w:b w:val="false"/>
                <w:bCs w:val="false"/>
                <w:color w:val="000000"/>
                <w:sz w:val="20"/>
                <w:szCs w:val="20"/>
              </w:rPr>
              <w:t xml:space="preserve">Peupler l'écosystème organisationnel avec des lenders réalistes</w:t>
            </w:r>
          </w:p>
        </w:tc>
        <w:tc>
          <w:tcPr>
            <w:tcW w:type="dxa" w:w="4000"/>
            <w:tcMar>
              <w:top w:type="dxa" w:w="80"/>
              <w:left w:type="dxa" w:w="120"/>
              <w:bottom w:type="dxa" w:w="80"/>
              <w:right w:type="dxa" w:w="120"/>
            </w:tcMar>
          </w:tcPr>
          <w:p>
            <w:pPr>
              <w:jc w:val="left"/>
            </w:pPr>
            <w:r>
              <w:rPr>
                <w:b w:val="false"/>
                <w:bCs w:val="false"/>
                <w:color w:val="000000"/>
                <w:sz w:val="20"/>
                <w:szCs w:val="20"/>
              </w:rPr>
              <w:t xml:space="preserve">12 lenders locaux + 4 institutionnels</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OBJ-04</w:t>
            </w:r>
          </w:p>
        </w:tc>
        <w:tc>
          <w:tcPr>
            <w:tcW w:type="dxa" w:w="4200"/>
            <w:tcMar>
              <w:top w:type="dxa" w:w="80"/>
              <w:left w:type="dxa" w:w="120"/>
              <w:bottom w:type="dxa" w:w="80"/>
              <w:right w:type="dxa" w:w="120"/>
            </w:tcMar>
          </w:tcPr>
          <w:p>
            <w:pPr>
              <w:jc w:val="left"/>
            </w:pPr>
            <w:r>
              <w:rPr>
                <w:b w:val="false"/>
                <w:bCs w:val="false"/>
                <w:color w:val="000000"/>
                <w:sz w:val="20"/>
                <w:szCs w:val="20"/>
              </w:rPr>
              <w:t xml:space="preserve">Réduire le temps de mise à disposition d'un environnement de démonstration</w:t>
            </w:r>
          </w:p>
        </w:tc>
        <w:tc>
          <w:tcPr>
            <w:tcW w:type="dxa" w:w="4000"/>
            <w:tcMar>
              <w:top w:type="dxa" w:w="80"/>
              <w:left w:type="dxa" w:w="120"/>
              <w:bottom w:type="dxa" w:w="80"/>
              <w:right w:type="dxa" w:w="120"/>
            </w:tcMar>
          </w:tcPr>
          <w:p>
            <w:pPr>
              <w:jc w:val="left"/>
            </w:pPr>
            <w:r>
              <w:rPr>
                <w:b w:val="false"/>
                <w:bCs w:val="false"/>
                <w:color w:val="000000"/>
                <w:sz w:val="20"/>
                <w:szCs w:val="20"/>
              </w:rPr>
              <w:t xml:space="preserve">Durée cible : moins de 30 minutes par exécution</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OBJ-05</w:t>
            </w:r>
          </w:p>
        </w:tc>
        <w:tc>
          <w:tcPr>
            <w:tcW w:type="dxa" w:w="4200"/>
            <w:tcMar>
              <w:top w:type="dxa" w:w="80"/>
              <w:left w:type="dxa" w:w="120"/>
              <w:bottom w:type="dxa" w:w="80"/>
              <w:right w:type="dxa" w:w="120"/>
            </w:tcMar>
          </w:tcPr>
          <w:p>
            <w:pPr>
              <w:jc w:val="left"/>
            </w:pPr>
            <w:r>
              <w:rPr>
                <w:b w:val="false"/>
                <w:bCs w:val="false"/>
                <w:color w:val="000000"/>
                <w:sz w:val="20"/>
                <w:szCs w:val="20"/>
              </w:rPr>
              <w:t xml:space="preserve">Garantir la réversibilité des données générées</w:t>
            </w:r>
          </w:p>
        </w:tc>
        <w:tc>
          <w:tcPr>
            <w:tcW w:type="dxa" w:w="4000"/>
            <w:tcMar>
              <w:top w:type="dxa" w:w="80"/>
              <w:left w:type="dxa" w:w="120"/>
              <w:bottom w:type="dxa" w:w="80"/>
              <w:right w:type="dxa" w:w="120"/>
            </w:tcMar>
          </w:tcPr>
          <w:p>
            <w:pPr>
              <w:jc w:val="left"/>
            </w:pPr>
            <w:r>
              <w:rPr>
                <w:b w:val="false"/>
                <w:bCs w:val="false"/>
                <w:color w:val="000000"/>
                <w:sz w:val="20"/>
                <w:szCs w:val="20"/>
              </w:rPr>
              <w:t xml:space="preserve">Chaque donnée identifiable par préfixe et supprimable</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OBJ-06</w:t>
            </w:r>
          </w:p>
        </w:tc>
        <w:tc>
          <w:tcPr>
            <w:tcW w:type="dxa" w:w="4200"/>
            <w:tcMar>
              <w:top w:type="dxa" w:w="80"/>
              <w:left w:type="dxa" w:w="120"/>
              <w:bottom w:type="dxa" w:w="80"/>
              <w:right w:type="dxa" w:w="120"/>
            </w:tcMar>
          </w:tcPr>
          <w:p>
            <w:pPr>
              <w:jc w:val="left"/>
            </w:pPr>
            <w:r>
              <w:rPr>
                <w:b w:val="false"/>
                <w:bCs w:val="false"/>
                <w:color w:val="000000"/>
                <w:sz w:val="20"/>
                <w:szCs w:val="20"/>
              </w:rPr>
              <w:t xml:space="preserve">Permettre l'utilisation par un membre non technique de l'équipe</w:t>
            </w:r>
          </w:p>
        </w:tc>
        <w:tc>
          <w:tcPr>
            <w:tcW w:type="dxa" w:w="4000"/>
            <w:tcMar>
              <w:top w:type="dxa" w:w="80"/>
              <w:left w:type="dxa" w:w="120"/>
              <w:bottom w:type="dxa" w:w="80"/>
              <w:right w:type="dxa" w:w="120"/>
            </w:tcMar>
          </w:tcPr>
          <w:p>
            <w:pPr>
              <w:jc w:val="left"/>
            </w:pPr>
            <w:r>
              <w:rPr>
                <w:b w:val="false"/>
                <w:bCs w:val="false"/>
                <w:color w:val="000000"/>
                <w:sz w:val="20"/>
                <w:szCs w:val="20"/>
              </w:rPr>
              <w:t xml:space="preserve">Interface graphique opérationnelle sans ligne de commande</w:t>
            </w:r>
          </w:p>
        </w:tc>
      </w:tr>
    </w:tbl>
    <w:p>
      <w:pPr>
        <w:spacing w:after="120"/>
        <w:jc w:val="both"/>
      </w:pPr>
      <w:r>
        <w:rPr>
          <w:b w:val="false"/>
          <w:bCs w:val="false"/>
          <w:i w:val="false"/>
          <w:iCs w:val="false"/>
          <w:sz w:val="22"/>
          <w:szCs w:val="22"/>
        </w:rPr>
        <w:t xml:space="preserve"/>
      </w:r>
    </w:p>
    <w:p>
      <w:pPr>
        <w:pStyle w:val="Heading2"/>
        <w:spacing w:after="180" w:before="360"/>
      </w:pPr>
      <w:r>
        <w:rPr>
          <w:b/>
          <w:bCs/>
          <w:color w:val="6B2E9E"/>
          <w:sz w:val="26"/>
          <w:szCs w:val="26"/>
        </w:rPr>
        <w:t xml:space="preserve">3.3 Bénéfices attendus</w:t>
      </w:r>
    </w:p>
    <w:p>
      <w:pPr>
        <w:pStyle w:val="ListParagraph"/>
        <w:numPr>
          <w:ilvl w:val="0"/>
          <w:numId w:val="1"/>
        </w:numPr>
        <w:spacing w:after="80"/>
      </w:pPr>
      <w:r>
        <w:rPr>
          <w:b/>
          <w:bCs/>
          <w:sz w:val="22"/>
          <w:szCs w:val="22"/>
        </w:rPr>
        <w:t xml:space="preserve">Commercial : </w:t>
      </w:r>
      <w:r>
        <w:rPr>
          <w:sz w:val="22"/>
          <w:szCs w:val="22"/>
        </w:rPr>
        <w:t xml:space="preserve">présentations produits plus crédibles aux prospects, délai de mise en démonstration réduit de plusieurs jours à moins d'une heure.</w:t>
      </w:r>
    </w:p>
    <w:p>
      <w:pPr>
        <w:pStyle w:val="ListParagraph"/>
        <w:numPr>
          <w:ilvl w:val="0"/>
          <w:numId w:val="1"/>
        </w:numPr>
        <w:spacing w:after="80"/>
      </w:pPr>
      <w:r>
        <w:rPr>
          <w:b/>
          <w:bCs/>
          <w:sz w:val="22"/>
          <w:szCs w:val="22"/>
        </w:rPr>
        <w:t xml:space="preserve">Qualité : </w:t>
      </w:r>
      <w:r>
        <w:rPr>
          <w:sz w:val="22"/>
          <w:szCs w:val="22"/>
        </w:rPr>
        <w:t xml:space="preserve">couverture de test étendue sur des volumes représentatifs, détection précoce des anomalies de performance et d'intégrité référentielle.</w:t>
      </w:r>
    </w:p>
    <w:p>
      <w:pPr>
        <w:pStyle w:val="ListParagraph"/>
        <w:numPr>
          <w:ilvl w:val="0"/>
          <w:numId w:val="1"/>
        </w:numPr>
        <w:spacing w:after="80"/>
      </w:pPr>
      <w:r>
        <w:rPr>
          <w:b/>
          <w:bCs/>
          <w:sz w:val="22"/>
          <w:szCs w:val="22"/>
        </w:rPr>
        <w:t xml:space="preserve">Opérationnel : </w:t>
      </w:r>
      <w:r>
        <w:rPr>
          <w:sz w:val="22"/>
          <w:szCs w:val="22"/>
        </w:rPr>
        <w:t xml:space="preserve">libération du temps de l'équipe QA sur la création manuelle de données, redirection vers l'analyse et le testing effectif.</w:t>
      </w:r>
    </w:p>
    <w:p>
      <w:pPr>
        <w:pStyle w:val="ListParagraph"/>
        <w:numPr>
          <w:ilvl w:val="0"/>
          <w:numId w:val="1"/>
        </w:numPr>
        <w:spacing w:after="80"/>
      </w:pPr>
      <w:r>
        <w:rPr>
          <w:b/>
          <w:bCs/>
          <w:sz w:val="22"/>
          <w:szCs w:val="22"/>
        </w:rPr>
        <w:t xml:space="preserve">Stratégique : </w:t>
      </w:r>
      <w:r>
        <w:rPr>
          <w:sz w:val="22"/>
          <w:szCs w:val="22"/>
        </w:rPr>
        <w:t xml:space="preserve">construction d'un actif réutilisable pour tous les futurs environnements (nouveaux pays, nouvelles fonctionnalités, environnements clients).</w:t>
      </w:r>
    </w:p>
    <w:p>
      <w:r>
        <w:br w:type="page"/>
      </w:r>
    </w:p>
    <w:p>
      <w:pPr>
        <w:pStyle w:val="Heading1"/>
        <w:spacing w:after="240" w:before="480"/>
      </w:pPr>
      <w:r>
        <w:rPr>
          <w:b/>
          <w:bCs/>
          <w:color w:val="6B2E9E"/>
          <w:sz w:val="32"/>
          <w:szCs w:val="32"/>
        </w:rPr>
        <w:t xml:space="preserve">4. Périmètre</w:t>
      </w:r>
    </w:p>
    <w:p>
      <w:pPr>
        <w:pStyle w:val="Heading2"/>
        <w:spacing w:after="180" w:before="360"/>
      </w:pPr>
      <w:r>
        <w:rPr>
          <w:b/>
          <w:bCs/>
          <w:color w:val="6B2E9E"/>
          <w:sz w:val="26"/>
          <w:szCs w:val="26"/>
        </w:rPr>
        <w:t xml:space="preserve">4.1 Périmètre inclus (In-scope)</w:t>
      </w:r>
    </w:p>
    <w:p>
      <w:pPr>
        <w:spacing w:after="120"/>
        <w:jc w:val="both"/>
      </w:pPr>
      <w:r>
        <w:rPr>
          <w:b w:val="false"/>
          <w:bCs w:val="false"/>
          <w:i w:val="false"/>
          <w:iCs w:val="false"/>
          <w:sz w:val="22"/>
          <w:szCs w:val="22"/>
        </w:rPr>
        <w:t xml:space="preserve">L'outil DOIT couvrir les capacités suivantes :</w:t>
      </w:r>
    </w:p>
    <w:p>
      <w:pPr>
        <w:pStyle w:val="ListParagraph"/>
        <w:numPr>
          <w:ilvl w:val="0"/>
          <w:numId w:val="1"/>
        </w:numPr>
        <w:spacing w:after="80"/>
      </w:pPr>
      <w:r>
        <w:rPr>
          <w:sz w:val="22"/>
          <w:szCs w:val="22"/>
        </w:rPr>
        <w:t xml:space="preserve">Chargement et exploitation d'un référentiel géographique structuré sur cinq niveaux, pour les quatre pays cibles.</w:t>
      </w:r>
    </w:p>
    <w:p>
      <w:pPr>
        <w:pStyle w:val="ListParagraph"/>
        <w:numPr>
          <w:ilvl w:val="0"/>
          <w:numId w:val="1"/>
        </w:numPr>
        <w:spacing w:after="80"/>
      </w:pPr>
      <w:r>
        <w:rPr>
          <w:sz w:val="22"/>
          <w:szCs w:val="22"/>
        </w:rPr>
        <w:t xml:space="preserve">Génération d'entités organisationnelles : compagnies (IMF, banques, fondations, merchants), branches, agences, kiosques, agents.</w:t>
      </w:r>
    </w:p>
    <w:p>
      <w:pPr>
        <w:pStyle w:val="ListParagraph"/>
        <w:numPr>
          <w:ilvl w:val="0"/>
          <w:numId w:val="1"/>
        </w:numPr>
        <w:spacing w:after="80"/>
      </w:pPr>
      <w:r>
        <w:rPr>
          <w:sz w:val="22"/>
          <w:szCs w:val="22"/>
        </w:rPr>
        <w:t xml:space="preserve">Génération de clients Individuels et Corporate avec identité KYC réaliste, cohérence pays et opérateur telco.</w:t>
      </w:r>
    </w:p>
    <w:p>
      <w:pPr>
        <w:pStyle w:val="ListParagraph"/>
        <w:numPr>
          <w:ilvl w:val="0"/>
          <w:numId w:val="1"/>
        </w:numPr>
        <w:spacing w:after="80"/>
      </w:pPr>
      <w:r>
        <w:rPr>
          <w:sz w:val="22"/>
          <w:szCs w:val="22"/>
        </w:rPr>
        <w:t xml:space="preserve">Intégration à l'API Faker fintech4esg pour l'obtention de payloads clients et d'historique de crédit.</w:t>
      </w:r>
    </w:p>
    <w:p>
      <w:pPr>
        <w:pStyle w:val="ListParagraph"/>
        <w:numPr>
          <w:ilvl w:val="0"/>
          <w:numId w:val="1"/>
        </w:numPr>
        <w:spacing w:after="80"/>
      </w:pPr>
      <w:r>
        <w:rPr>
          <w:sz w:val="22"/>
          <w:szCs w:val="22"/>
        </w:rPr>
        <w:t xml:space="preserve">Injection des données générées dans les neuf services vivants de la plateforme via leurs API REST respectives.</w:t>
      </w:r>
    </w:p>
    <w:p>
      <w:pPr>
        <w:pStyle w:val="ListParagraph"/>
        <w:numPr>
          <w:ilvl w:val="0"/>
          <w:numId w:val="1"/>
        </w:numPr>
        <w:spacing w:after="80"/>
      </w:pPr>
      <w:r>
        <w:rPr>
          <w:sz w:val="22"/>
          <w:szCs w:val="22"/>
        </w:rPr>
        <w:t xml:space="preserve">Simulation de mouvements financiers : dépôts, retraits, transferts, souscriptions.</w:t>
      </w:r>
    </w:p>
    <w:p>
      <w:pPr>
        <w:pStyle w:val="ListParagraph"/>
        <w:numPr>
          <w:ilvl w:val="0"/>
          <w:numId w:val="1"/>
        </w:numPr>
        <w:spacing w:after="80"/>
      </w:pPr>
      <w:r>
        <w:rPr>
          <w:sz w:val="22"/>
          <w:szCs w:val="22"/>
        </w:rPr>
        <w:t xml:space="preserve">Interface graphique de pilotage : configuration, lancement, suivi, journal, réinitialisation.</w:t>
      </w:r>
    </w:p>
    <w:p>
      <w:pPr>
        <w:pStyle w:val="ListParagraph"/>
        <w:numPr>
          <w:ilvl w:val="0"/>
          <w:numId w:val="1"/>
        </w:numPr>
        <w:spacing w:after="80"/>
      </w:pPr>
      <w:r>
        <w:rPr>
          <w:sz w:val="22"/>
          <w:szCs w:val="22"/>
        </w:rPr>
        <w:t xml:space="preserve">Traçabilité complète des exécutions et idempotence garantie.</w:t>
      </w:r>
    </w:p>
    <w:p>
      <w:pPr>
        <w:pBdr>
          <w:top w:val="single" w:color="A5D6A7" w:sz="6" w:space="4"/>
          <w:bottom w:val="single" w:color="A5D6A7" w:sz="6" w:space="4"/>
          <w:left w:val="single" w:color="4CAF50" w:sz="24" w:space="8"/>
          <w:right w:val="single" w:color="A5D6A7" w:sz="6" w:space="4"/>
        </w:pBdr>
        <w:shd w:fill="E8F5E9" w:val="clear"/>
        <w:spacing w:after="120" w:before="120"/>
      </w:pPr>
      <w:r>
        <w:rPr>
          <w:b/>
          <w:bCs/>
          <w:color w:val="4CAF50"/>
          <w:sz w:val="22"/>
          <w:szCs w:val="22"/>
        </w:rPr>
        <w:t xml:space="preserve">AJOUT V1.2 — </w:t>
      </w:r>
      <w:r>
        <w:rPr>
          <w:i/>
          <w:iCs/>
          <w:sz w:val="22"/>
          <w:szCs w:val="22"/>
        </w:rPr>
        <w:t xml:space="preserve">La version 1.2 ajoute au périmètre inclus : (a) l'attribution d'un profil comportemental de remboursement à chaque client généré, (b) la génération d'historiques de crédit cohérents avec ce profil, (c) la production d'indicateurs Portfolio At Risk (PAR) et Days Past Due (DPD) conformes aux standards microfinance.</w:t>
      </w:r>
    </w:p>
    <w:p>
      <w:pPr>
        <w:pStyle w:val="Heading2"/>
        <w:spacing w:after="180" w:before="360"/>
      </w:pPr>
      <w:r>
        <w:rPr>
          <w:b/>
          <w:bCs/>
          <w:color w:val="6B2E9E"/>
          <w:sz w:val="26"/>
          <w:szCs w:val="26"/>
        </w:rPr>
        <w:t xml:space="preserve">4.2 Périmètre exclu (Out-of-scope)</w:t>
      </w:r>
    </w:p>
    <w:p>
      <w:pPr>
        <w:spacing w:after="120"/>
        <w:jc w:val="both"/>
      </w:pPr>
      <w:r>
        <w:rPr>
          <w:b w:val="false"/>
          <w:bCs w:val="false"/>
          <w:i w:val="false"/>
          <w:iCs w:val="false"/>
          <w:sz w:val="22"/>
          <w:szCs w:val="22"/>
        </w:rPr>
        <w:t xml:space="preserve">L'outil NE COUVRE PAS les capacités suivantes :</w:t>
      </w:r>
    </w:p>
    <w:p>
      <w:pPr>
        <w:pStyle w:val="ListParagraph"/>
        <w:numPr>
          <w:ilvl w:val="0"/>
          <w:numId w:val="1"/>
        </w:numPr>
        <w:spacing w:after="80"/>
      </w:pPr>
      <w:r>
        <w:rPr>
          <w:sz w:val="22"/>
          <w:szCs w:val="22"/>
        </w:rPr>
        <w:t xml:space="preserve">L'injection réelle des prêts tant que loan-service n'est pas livré en production ; l'outil prépare et valide les payloads, l'injection sera activée ultérieurement.</w:t>
      </w:r>
    </w:p>
    <w:p>
      <w:pPr>
        <w:pStyle w:val="ListParagraph"/>
        <w:numPr>
          <w:ilvl w:val="0"/>
          <w:numId w:val="1"/>
        </w:numPr>
        <w:spacing w:after="80"/>
      </w:pPr>
      <w:r>
        <w:rPr>
          <w:sz w:val="22"/>
          <w:szCs w:val="22"/>
        </w:rPr>
        <w:t xml:space="preserve">La génération pour les pays hors des quatre pays cibles ; l'architecture doit toutefois être extensible.</w:t>
      </w:r>
    </w:p>
    <w:p>
      <w:pPr>
        <w:pStyle w:val="ListParagraph"/>
        <w:numPr>
          <w:ilvl w:val="0"/>
          <w:numId w:val="1"/>
        </w:numPr>
        <w:spacing w:after="80"/>
      </w:pPr>
      <w:r>
        <w:rPr>
          <w:sz w:val="22"/>
          <w:szCs w:val="22"/>
        </w:rPr>
        <w:t xml:space="preserve">L'édition manuelle des données générées ; toute modification passe par une réinitialisation puis une nouvelle génération.</w:t>
      </w:r>
    </w:p>
    <w:p>
      <w:pPr>
        <w:pStyle w:val="ListParagraph"/>
        <w:numPr>
          <w:ilvl w:val="0"/>
          <w:numId w:val="1"/>
        </w:numPr>
        <w:spacing w:after="80"/>
      </w:pPr>
      <w:r>
        <w:rPr>
          <w:sz w:val="22"/>
          <w:szCs w:val="22"/>
        </w:rPr>
        <w:t xml:space="preserve">La gestion multi-utilisateurs avec droits différenciés ; une gestion basique de verrou d'exécution est suffisante.</w:t>
      </w:r>
    </w:p>
    <w:p>
      <w:pPr>
        <w:pStyle w:val="ListParagraph"/>
        <w:numPr>
          <w:ilvl w:val="0"/>
          <w:numId w:val="1"/>
        </w:numPr>
        <w:spacing w:after="80"/>
      </w:pPr>
      <w:r>
        <w:rPr>
          <w:sz w:val="22"/>
          <w:szCs w:val="22"/>
        </w:rPr>
        <w:t xml:space="preserve">L'alimentation des environnements de production ; le Loader est strictement réservé à TEST et DEMO.</w:t>
      </w:r>
    </w:p>
    <w:p>
      <w:pPr>
        <w:pStyle w:val="Heading2"/>
        <w:spacing w:after="180" w:before="360"/>
      </w:pPr>
      <w:r>
        <w:rPr>
          <w:b/>
          <w:bCs/>
          <w:color w:val="6B2E9E"/>
          <w:sz w:val="26"/>
          <w:szCs w:val="26"/>
        </w:rPr>
        <w:t xml:space="preserve">4.3 Diagramme de séquence</w:t>
      </w:r>
    </w:p>
    <w:p>
      <w:pPr>
        <w:spacing w:after="120"/>
        <w:jc w:val="both"/>
      </w:pPr>
      <w:r>
        <w:rPr>
          <w:b w:val="false"/>
          <w:bCs w:val="false"/>
          <w:i w:val="false"/>
          <w:iCs w:val="false"/>
          <w:sz w:val="22"/>
          <w:szCs w:val="22"/>
        </w:rPr>
        <w:t xml:space="preserve">Les diagrammes de séquence détaillés illustrant les interactions entre le Loader, l'API Faker, les services FinZuu et le module loan-service sont produits dans le document de conception associé (Software Design Document — hors périmètre du présent cahier des charges).</w:t>
      </w:r>
    </w:p>
    <w:p>
      <w:pPr>
        <w:pStyle w:val="Heading2"/>
        <w:spacing w:after="180" w:before="360"/>
      </w:pPr>
      <w:r>
        <w:rPr>
          <w:b/>
          <w:bCs/>
          <w:color w:val="6B2E9E"/>
          <w:sz w:val="26"/>
          <w:szCs w:val="26"/>
        </w:rPr>
        <w:t xml:space="preserve">4.4 Interfaces avec les systèmes existants</w:t>
      </w:r>
    </w:p>
    <w:p>
      <w:pPr>
        <w:spacing w:after="120"/>
        <w:jc w:val="both"/>
      </w:pPr>
      <w:r>
        <w:rPr>
          <w:b w:val="false"/>
          <w:bCs w:val="false"/>
          <w:i w:val="false"/>
          <w:iCs w:val="false"/>
          <w:sz w:val="22"/>
          <w:szCs w:val="22"/>
        </w:rPr>
        <w:t xml:space="preserve">Le Loader interagit avec les composants suivants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600"/>
      </w:tblGrid>
      <w:tr>
        <w:trPr>
          <w:tblHeader/>
        </w:trPr>
        <w:tc>
          <w:tcPr>
            <w:tcW w:type="dxa" w:w="3200"/>
            <w:shd w:fill="6B2E9E" w:val="clear"/>
            <w:tcMar>
              <w:top w:type="dxa" w:w="100"/>
              <w:left w:type="dxa" w:w="120"/>
              <w:bottom w:type="dxa" w:w="100"/>
              <w:right w:type="dxa" w:w="120"/>
            </w:tcMar>
          </w:tcPr>
          <w:p>
            <w:pPr>
              <w:jc w:val="center"/>
            </w:pPr>
            <w:r>
              <w:rPr>
                <w:b/>
                <w:bCs/>
                <w:color w:val="FFFFFF"/>
                <w:sz w:val="20"/>
                <w:szCs w:val="20"/>
              </w:rPr>
              <w:t xml:space="preserve">Composant</w:t>
            </w:r>
          </w:p>
        </w:tc>
        <w:tc>
          <w:tcPr>
            <w:tcW w:type="dxa" w:w="2400"/>
            <w:shd w:fill="6B2E9E" w:val="clear"/>
            <w:tcMar>
              <w:top w:type="dxa" w:w="100"/>
              <w:left w:type="dxa" w:w="120"/>
              <w:bottom w:type="dxa" w:w="100"/>
              <w:right w:type="dxa" w:w="120"/>
            </w:tcMar>
          </w:tcPr>
          <w:p>
            <w:pPr>
              <w:jc w:val="center"/>
            </w:pPr>
            <w:r>
              <w:rPr>
                <w:b/>
                <w:bCs/>
                <w:color w:val="FFFFFF"/>
                <w:sz w:val="20"/>
                <w:szCs w:val="20"/>
              </w:rPr>
              <w:t xml:space="preserve">Type</w:t>
            </w:r>
          </w:p>
        </w:tc>
        <w:tc>
          <w:tcPr>
            <w:tcW w:type="dxa" w:w="3600"/>
            <w:shd w:fill="6B2E9E" w:val="clear"/>
            <w:tcMar>
              <w:top w:type="dxa" w:w="100"/>
              <w:left w:type="dxa" w:w="120"/>
              <w:bottom w:type="dxa" w:w="100"/>
              <w:right w:type="dxa" w:w="120"/>
            </w:tcMar>
          </w:tcPr>
          <w:p>
            <w:pPr>
              <w:jc w:val="center"/>
            </w:pPr>
            <w:r>
              <w:rPr>
                <w:b/>
                <w:bCs/>
                <w:color w:val="FFFFFF"/>
                <w:sz w:val="20"/>
                <w:szCs w:val="20"/>
              </w:rPr>
              <w:t xml:space="preserve">Nature de l'interaction</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user-service</w:t>
            </w:r>
          </w:p>
        </w:tc>
        <w:tc>
          <w:tcPr>
            <w:tcW w:type="dxa" w:w="2400"/>
            <w:tcMar>
              <w:top w:type="dxa" w:w="80"/>
              <w:left w:type="dxa" w:w="120"/>
              <w:bottom w:type="dxa" w:w="80"/>
              <w:right w:type="dxa" w:w="120"/>
            </w:tcMar>
          </w:tcPr>
          <w:p>
            <w:pPr>
              <w:jc w:val="left"/>
            </w:pPr>
            <w:r>
              <w:rPr>
                <w:b w:val="false"/>
                <w:bCs w:val="false"/>
                <w:color w:val="000000"/>
                <w:sz w:val="20"/>
                <w:szCs w:val="20"/>
              </w:rPr>
              <w:t xml:space="preserve">FinZuu</w:t>
            </w:r>
          </w:p>
        </w:tc>
        <w:tc>
          <w:tcPr>
            <w:tcW w:type="dxa" w:w="3600"/>
            <w:tcMar>
              <w:top w:type="dxa" w:w="80"/>
              <w:left w:type="dxa" w:w="120"/>
              <w:bottom w:type="dxa" w:w="80"/>
              <w:right w:type="dxa" w:w="120"/>
            </w:tcMar>
          </w:tcPr>
          <w:p>
            <w:pPr>
              <w:jc w:val="left"/>
            </w:pPr>
            <w:r>
              <w:rPr>
                <w:b w:val="false"/>
                <w:bCs w:val="false"/>
                <w:color w:val="000000"/>
                <w:sz w:val="20"/>
                <w:szCs w:val="20"/>
              </w:rPr>
              <w:t xml:space="preserve">Authentification, obtention de tokens</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company-service</w:t>
            </w:r>
          </w:p>
        </w:tc>
        <w:tc>
          <w:tcPr>
            <w:tcW w:type="dxa" w:w="2400"/>
            <w:tcMar>
              <w:top w:type="dxa" w:w="80"/>
              <w:left w:type="dxa" w:w="120"/>
              <w:bottom w:type="dxa" w:w="80"/>
              <w:right w:type="dxa" w:w="120"/>
            </w:tcMar>
          </w:tcPr>
          <w:p>
            <w:pPr>
              <w:jc w:val="left"/>
            </w:pPr>
            <w:r>
              <w:rPr>
                <w:b w:val="false"/>
                <w:bCs w:val="false"/>
                <w:color w:val="000000"/>
                <w:sz w:val="20"/>
                <w:szCs w:val="20"/>
              </w:rPr>
              <w:t xml:space="preserve">FinZuu</w:t>
            </w:r>
          </w:p>
        </w:tc>
        <w:tc>
          <w:tcPr>
            <w:tcW w:type="dxa" w:w="3600"/>
            <w:tcMar>
              <w:top w:type="dxa" w:w="80"/>
              <w:left w:type="dxa" w:w="120"/>
              <w:bottom w:type="dxa" w:w="80"/>
              <w:right w:type="dxa" w:w="120"/>
            </w:tcMar>
          </w:tcPr>
          <w:p>
            <w:pPr>
              <w:jc w:val="left"/>
            </w:pPr>
            <w:r>
              <w:rPr>
                <w:b w:val="false"/>
                <w:bCs w:val="false"/>
                <w:color w:val="000000"/>
                <w:sz w:val="20"/>
                <w:szCs w:val="20"/>
              </w:rPr>
              <w:t xml:space="preserve">Création des compagnies et lenders</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identity-service</w:t>
            </w:r>
          </w:p>
        </w:tc>
        <w:tc>
          <w:tcPr>
            <w:tcW w:type="dxa" w:w="2400"/>
            <w:tcMar>
              <w:top w:type="dxa" w:w="80"/>
              <w:left w:type="dxa" w:w="120"/>
              <w:bottom w:type="dxa" w:w="80"/>
              <w:right w:type="dxa" w:w="120"/>
            </w:tcMar>
          </w:tcPr>
          <w:p>
            <w:pPr>
              <w:jc w:val="left"/>
            </w:pPr>
            <w:r>
              <w:rPr>
                <w:b w:val="false"/>
                <w:bCs w:val="false"/>
                <w:color w:val="000000"/>
                <w:sz w:val="20"/>
                <w:szCs w:val="20"/>
              </w:rPr>
              <w:t xml:space="preserve">FinZuu</w:t>
            </w:r>
          </w:p>
        </w:tc>
        <w:tc>
          <w:tcPr>
            <w:tcW w:type="dxa" w:w="3600"/>
            <w:tcMar>
              <w:top w:type="dxa" w:w="80"/>
              <w:left w:type="dxa" w:w="120"/>
              <w:bottom w:type="dxa" w:w="80"/>
              <w:right w:type="dxa" w:w="120"/>
            </w:tcMar>
          </w:tcPr>
          <w:p>
            <w:pPr>
              <w:jc w:val="left"/>
            </w:pPr>
            <w:r>
              <w:rPr>
                <w:b w:val="false"/>
                <w:bCs w:val="false"/>
                <w:color w:val="000000"/>
                <w:sz w:val="20"/>
                <w:szCs w:val="20"/>
              </w:rPr>
              <w:t xml:space="preserve">Création des identités KYC</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account-service</w:t>
            </w:r>
          </w:p>
        </w:tc>
        <w:tc>
          <w:tcPr>
            <w:tcW w:type="dxa" w:w="2400"/>
            <w:tcMar>
              <w:top w:type="dxa" w:w="80"/>
              <w:left w:type="dxa" w:w="120"/>
              <w:bottom w:type="dxa" w:w="80"/>
              <w:right w:type="dxa" w:w="120"/>
            </w:tcMar>
          </w:tcPr>
          <w:p>
            <w:pPr>
              <w:jc w:val="left"/>
            </w:pPr>
            <w:r>
              <w:rPr>
                <w:b w:val="false"/>
                <w:bCs w:val="false"/>
                <w:color w:val="000000"/>
                <w:sz w:val="20"/>
                <w:szCs w:val="20"/>
              </w:rPr>
              <w:t xml:space="preserve">FinZuu</w:t>
            </w:r>
          </w:p>
        </w:tc>
        <w:tc>
          <w:tcPr>
            <w:tcW w:type="dxa" w:w="3600"/>
            <w:tcMar>
              <w:top w:type="dxa" w:w="80"/>
              <w:left w:type="dxa" w:w="120"/>
              <w:bottom w:type="dxa" w:w="80"/>
              <w:right w:type="dxa" w:w="120"/>
            </w:tcMar>
          </w:tcPr>
          <w:p>
            <w:pPr>
              <w:jc w:val="left"/>
            </w:pPr>
            <w:r>
              <w:rPr>
                <w:b w:val="false"/>
                <w:bCs w:val="false"/>
                <w:color w:val="000000"/>
                <w:sz w:val="20"/>
                <w:szCs w:val="20"/>
              </w:rPr>
              <w:t xml:space="preserve">Création des comptes financiers</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config-service</w:t>
            </w:r>
          </w:p>
        </w:tc>
        <w:tc>
          <w:tcPr>
            <w:tcW w:type="dxa" w:w="2400"/>
            <w:tcMar>
              <w:top w:type="dxa" w:w="80"/>
              <w:left w:type="dxa" w:w="120"/>
              <w:bottom w:type="dxa" w:w="80"/>
              <w:right w:type="dxa" w:w="120"/>
            </w:tcMar>
          </w:tcPr>
          <w:p>
            <w:pPr>
              <w:jc w:val="left"/>
            </w:pPr>
            <w:r>
              <w:rPr>
                <w:b w:val="false"/>
                <w:bCs w:val="false"/>
                <w:color w:val="000000"/>
                <w:sz w:val="20"/>
                <w:szCs w:val="20"/>
              </w:rPr>
              <w:t xml:space="preserve">FinZuu</w:t>
            </w:r>
          </w:p>
        </w:tc>
        <w:tc>
          <w:tcPr>
            <w:tcW w:type="dxa" w:w="3600"/>
            <w:tcMar>
              <w:top w:type="dxa" w:w="80"/>
              <w:left w:type="dxa" w:w="120"/>
              <w:bottom w:type="dxa" w:w="80"/>
              <w:right w:type="dxa" w:w="120"/>
            </w:tcMar>
          </w:tcPr>
          <w:p>
            <w:pPr>
              <w:jc w:val="left"/>
            </w:pPr>
            <w:r>
              <w:rPr>
                <w:b w:val="false"/>
                <w:bCs w:val="false"/>
                <w:color w:val="000000"/>
                <w:sz w:val="20"/>
                <w:szCs w:val="20"/>
              </w:rPr>
              <w:t xml:space="preserve">Consultation pays, monnaies, opérateurs telco</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product-service</w:t>
            </w:r>
          </w:p>
        </w:tc>
        <w:tc>
          <w:tcPr>
            <w:tcW w:type="dxa" w:w="2400"/>
            <w:tcMar>
              <w:top w:type="dxa" w:w="80"/>
              <w:left w:type="dxa" w:w="120"/>
              <w:bottom w:type="dxa" w:w="80"/>
              <w:right w:type="dxa" w:w="120"/>
            </w:tcMar>
          </w:tcPr>
          <w:p>
            <w:pPr>
              <w:jc w:val="left"/>
            </w:pPr>
            <w:r>
              <w:rPr>
                <w:b w:val="false"/>
                <w:bCs w:val="false"/>
                <w:color w:val="000000"/>
                <w:sz w:val="20"/>
                <w:szCs w:val="20"/>
              </w:rPr>
              <w:t xml:space="preserve">FinZuu</w:t>
            </w:r>
          </w:p>
        </w:tc>
        <w:tc>
          <w:tcPr>
            <w:tcW w:type="dxa" w:w="3600"/>
            <w:tcMar>
              <w:top w:type="dxa" w:w="80"/>
              <w:left w:type="dxa" w:w="120"/>
              <w:bottom w:type="dxa" w:w="80"/>
              <w:right w:type="dxa" w:w="120"/>
            </w:tcMar>
          </w:tcPr>
          <w:p>
            <w:pPr>
              <w:jc w:val="left"/>
            </w:pPr>
            <w:r>
              <w:rPr>
                <w:b w:val="false"/>
                <w:bCs w:val="false"/>
                <w:color w:val="000000"/>
                <w:sz w:val="20"/>
                <w:szCs w:val="20"/>
              </w:rPr>
              <w:t xml:space="preserve">Création et lecture des produits Collecte et Prêt</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depositary-service</w:t>
            </w:r>
          </w:p>
        </w:tc>
        <w:tc>
          <w:tcPr>
            <w:tcW w:type="dxa" w:w="2400"/>
            <w:tcMar>
              <w:top w:type="dxa" w:w="80"/>
              <w:left w:type="dxa" w:w="120"/>
              <w:bottom w:type="dxa" w:w="80"/>
              <w:right w:type="dxa" w:w="120"/>
            </w:tcMar>
          </w:tcPr>
          <w:p>
            <w:pPr>
              <w:jc w:val="left"/>
            </w:pPr>
            <w:r>
              <w:rPr>
                <w:b w:val="false"/>
                <w:bCs w:val="false"/>
                <w:color w:val="000000"/>
                <w:sz w:val="20"/>
                <w:szCs w:val="20"/>
              </w:rPr>
              <w:t xml:space="preserve">FinZuu</w:t>
            </w:r>
          </w:p>
        </w:tc>
        <w:tc>
          <w:tcPr>
            <w:tcW w:type="dxa" w:w="3600"/>
            <w:tcMar>
              <w:top w:type="dxa" w:w="80"/>
              <w:left w:type="dxa" w:w="120"/>
              <w:bottom w:type="dxa" w:w="80"/>
              <w:right w:type="dxa" w:w="120"/>
            </w:tcMar>
          </w:tcPr>
          <w:p>
            <w:pPr>
              <w:jc w:val="left"/>
            </w:pPr>
            <w:r>
              <w:rPr>
                <w:b w:val="false"/>
                <w:bCs w:val="false"/>
                <w:color w:val="000000"/>
                <w:sz w:val="20"/>
                <w:szCs w:val="20"/>
              </w:rPr>
              <w:t xml:space="preserve">Création des kiosques et souscriptions</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client-service</w:t>
            </w:r>
          </w:p>
        </w:tc>
        <w:tc>
          <w:tcPr>
            <w:tcW w:type="dxa" w:w="2400"/>
            <w:tcMar>
              <w:top w:type="dxa" w:w="80"/>
              <w:left w:type="dxa" w:w="120"/>
              <w:bottom w:type="dxa" w:w="80"/>
              <w:right w:type="dxa" w:w="120"/>
            </w:tcMar>
          </w:tcPr>
          <w:p>
            <w:pPr>
              <w:jc w:val="left"/>
            </w:pPr>
            <w:r>
              <w:rPr>
                <w:b w:val="false"/>
                <w:bCs w:val="false"/>
                <w:color w:val="000000"/>
                <w:sz w:val="20"/>
                <w:szCs w:val="20"/>
              </w:rPr>
              <w:t xml:space="preserve">FinZuu</w:t>
            </w:r>
          </w:p>
        </w:tc>
        <w:tc>
          <w:tcPr>
            <w:tcW w:type="dxa" w:w="3600"/>
            <w:tcMar>
              <w:top w:type="dxa" w:w="80"/>
              <w:left w:type="dxa" w:w="120"/>
              <w:bottom w:type="dxa" w:w="80"/>
              <w:right w:type="dxa" w:w="120"/>
            </w:tcMar>
          </w:tcPr>
          <w:p>
            <w:pPr>
              <w:jc w:val="left"/>
            </w:pPr>
            <w:r>
              <w:rPr>
                <w:b w:val="false"/>
                <w:bCs w:val="false"/>
                <w:color w:val="000000"/>
                <w:sz w:val="20"/>
                <w:szCs w:val="20"/>
              </w:rPr>
              <w:t xml:space="preserve">Onboarding et souscription clients</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collect-service</w:t>
            </w:r>
          </w:p>
        </w:tc>
        <w:tc>
          <w:tcPr>
            <w:tcW w:type="dxa" w:w="2400"/>
            <w:tcMar>
              <w:top w:type="dxa" w:w="80"/>
              <w:left w:type="dxa" w:w="120"/>
              <w:bottom w:type="dxa" w:w="80"/>
              <w:right w:type="dxa" w:w="120"/>
            </w:tcMar>
          </w:tcPr>
          <w:p>
            <w:pPr>
              <w:jc w:val="left"/>
            </w:pPr>
            <w:r>
              <w:rPr>
                <w:b w:val="false"/>
                <w:bCs w:val="false"/>
                <w:color w:val="000000"/>
                <w:sz w:val="20"/>
                <w:szCs w:val="20"/>
              </w:rPr>
              <w:t xml:space="preserve">FinZuu</w:t>
            </w:r>
          </w:p>
        </w:tc>
        <w:tc>
          <w:tcPr>
            <w:tcW w:type="dxa" w:w="3600"/>
            <w:tcMar>
              <w:top w:type="dxa" w:w="80"/>
              <w:left w:type="dxa" w:w="120"/>
              <w:bottom w:type="dxa" w:w="80"/>
              <w:right w:type="dxa" w:w="120"/>
            </w:tcMar>
          </w:tcPr>
          <w:p>
            <w:pPr>
              <w:jc w:val="left"/>
            </w:pPr>
            <w:r>
              <w:rPr>
                <w:b w:val="false"/>
                <w:bCs w:val="false"/>
                <w:color w:val="000000"/>
                <w:sz w:val="20"/>
                <w:szCs w:val="20"/>
              </w:rPr>
              <w:t xml:space="preserve">Injection des transactions de collecte</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Faker fintech4esg</w:t>
            </w:r>
          </w:p>
        </w:tc>
        <w:tc>
          <w:tcPr>
            <w:tcW w:type="dxa" w:w="2400"/>
            <w:tcMar>
              <w:top w:type="dxa" w:w="80"/>
              <w:left w:type="dxa" w:w="120"/>
              <w:bottom w:type="dxa" w:w="80"/>
              <w:right w:type="dxa" w:w="120"/>
            </w:tcMar>
          </w:tcPr>
          <w:p>
            <w:pPr>
              <w:jc w:val="left"/>
            </w:pPr>
            <w:r>
              <w:rPr>
                <w:b w:val="false"/>
                <w:bCs w:val="false"/>
                <w:color w:val="000000"/>
                <w:sz w:val="20"/>
                <w:szCs w:val="20"/>
              </w:rPr>
              <w:t xml:space="preserve">FinZuu / ReadyScore</w:t>
            </w:r>
          </w:p>
        </w:tc>
        <w:tc>
          <w:tcPr>
            <w:tcW w:type="dxa" w:w="3600"/>
            <w:tcMar>
              <w:top w:type="dxa" w:w="80"/>
              <w:left w:type="dxa" w:w="120"/>
              <w:bottom w:type="dxa" w:w="80"/>
              <w:right w:type="dxa" w:w="120"/>
            </w:tcMar>
          </w:tcPr>
          <w:p>
            <w:pPr>
              <w:jc w:val="left"/>
            </w:pPr>
            <w:r>
              <w:rPr>
                <w:b w:val="false"/>
                <w:bCs w:val="false"/>
                <w:color w:val="000000"/>
                <w:sz w:val="20"/>
                <w:szCs w:val="20"/>
              </w:rPr>
              <w:t xml:space="preserve">Obtention des payloads clients et historique crédit</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loan-service (Duhamel — dt@finzuu.com)</w:t>
            </w:r>
          </w:p>
        </w:tc>
        <w:tc>
          <w:tcPr>
            <w:tcW w:type="dxa" w:w="2400"/>
            <w:tcMar>
              <w:top w:type="dxa" w:w="80"/>
              <w:left w:type="dxa" w:w="120"/>
              <w:bottom w:type="dxa" w:w="80"/>
              <w:right w:type="dxa" w:w="120"/>
            </w:tcMar>
          </w:tcPr>
          <w:p>
            <w:pPr>
              <w:jc w:val="left"/>
            </w:pPr>
            <w:r>
              <w:rPr>
                <w:b w:val="false"/>
                <w:bCs w:val="false"/>
                <w:color w:val="000000"/>
                <w:sz w:val="20"/>
                <w:szCs w:val="20"/>
              </w:rPr>
              <w:t xml:space="preserve">Externe / Interne</w:t>
            </w:r>
          </w:p>
        </w:tc>
        <w:tc>
          <w:tcPr>
            <w:tcW w:type="dxa" w:w="3600"/>
            <w:tcMar>
              <w:top w:type="dxa" w:w="80"/>
              <w:left w:type="dxa" w:w="120"/>
              <w:bottom w:type="dxa" w:w="80"/>
              <w:right w:type="dxa" w:w="120"/>
            </w:tcMar>
          </w:tcPr>
          <w:p>
            <w:pPr>
              <w:jc w:val="left"/>
            </w:pPr>
            <w:r>
              <w:rPr>
                <w:b w:val="false"/>
                <w:bCs w:val="false"/>
                <w:color w:val="000000"/>
                <w:sz w:val="20"/>
                <w:szCs w:val="20"/>
              </w:rPr>
              <w:t xml:space="preserve">Demande de prêt et gestion du cycle de vie</w:t>
            </w:r>
          </w:p>
        </w:tc>
      </w:tr>
    </w:tbl>
    <w:p>
      <w:r>
        <w:br w:type="page"/>
      </w:r>
    </w:p>
    <w:p>
      <w:pPr>
        <w:pStyle w:val="Heading1"/>
        <w:spacing w:after="240" w:before="480"/>
      </w:pPr>
      <w:r>
        <w:rPr>
          <w:b/>
          <w:bCs/>
          <w:color w:val="6B2E9E"/>
          <w:sz w:val="32"/>
          <w:szCs w:val="32"/>
        </w:rPr>
        <w:t xml:space="preserve">5. Acteurs et parties prenantes</w:t>
      </w:r>
    </w:p>
    <w:p>
      <w:pPr>
        <w:pStyle w:val="Heading2"/>
        <w:spacing w:after="180" w:before="360"/>
      </w:pPr>
      <w:r>
        <w:rPr>
          <w:b/>
          <w:bCs/>
          <w:color w:val="6B2E9E"/>
          <w:sz w:val="26"/>
          <w:szCs w:val="26"/>
        </w:rPr>
        <w:t xml:space="preserve">5.1 Cartographie des acteurs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600"/>
      </w:tblGrid>
      <w:tr>
        <w:trPr>
          <w:tblHeader/>
        </w:trPr>
        <w:tc>
          <w:tcPr>
            <w:tcW w:type="dxa" w:w="2600"/>
            <w:shd w:fill="6B2E9E" w:val="clear"/>
            <w:tcMar>
              <w:top w:type="dxa" w:w="100"/>
              <w:left w:type="dxa" w:w="120"/>
              <w:bottom w:type="dxa" w:w="100"/>
              <w:right w:type="dxa" w:w="120"/>
            </w:tcMar>
          </w:tcPr>
          <w:p>
            <w:pPr>
              <w:jc w:val="center"/>
            </w:pPr>
            <w:r>
              <w:rPr>
                <w:b/>
                <w:bCs/>
                <w:color w:val="FFFFFF"/>
                <w:sz w:val="20"/>
                <w:szCs w:val="20"/>
              </w:rPr>
              <w:t xml:space="preserve">Acteur</w:t>
            </w:r>
          </w:p>
        </w:tc>
        <w:tc>
          <w:tcPr>
            <w:tcW w:type="dxa" w:w="5000"/>
            <w:shd w:fill="6B2E9E" w:val="clear"/>
            <w:tcMar>
              <w:top w:type="dxa" w:w="100"/>
              <w:left w:type="dxa" w:w="120"/>
              <w:bottom w:type="dxa" w:w="100"/>
              <w:right w:type="dxa" w:w="120"/>
            </w:tcMar>
          </w:tcPr>
          <w:p>
            <w:pPr>
              <w:jc w:val="center"/>
            </w:pPr>
            <w:r>
              <w:rPr>
                <w:b/>
                <w:bCs/>
                <w:color w:val="FFFFFF"/>
                <w:sz w:val="20"/>
                <w:szCs w:val="20"/>
              </w:rPr>
              <w:t xml:space="preserve">Rôle dans le projet</w:t>
            </w:r>
          </w:p>
        </w:tc>
        <w:tc>
          <w:tcPr>
            <w:tcW w:type="dxa" w:w="1600"/>
            <w:shd w:fill="6B2E9E" w:val="clear"/>
            <w:tcMar>
              <w:top w:type="dxa" w:w="100"/>
              <w:left w:type="dxa" w:w="120"/>
              <w:bottom w:type="dxa" w:w="100"/>
              <w:right w:type="dxa" w:w="120"/>
            </w:tcMar>
          </w:tcPr>
          <w:p>
            <w:pPr>
              <w:jc w:val="center"/>
            </w:pPr>
            <w:r>
              <w:rPr>
                <w:b/>
                <w:bCs/>
                <w:color w:val="FFFFFF"/>
                <w:sz w:val="20"/>
                <w:szCs w:val="20"/>
              </w:rPr>
              <w:t xml:space="preserve">RACI</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JJ Bwanga</w:t>
            </w:r>
          </w:p>
        </w:tc>
        <w:tc>
          <w:tcPr>
            <w:tcW w:type="dxa" w:w="5000"/>
            <w:tcMar>
              <w:top w:type="dxa" w:w="80"/>
              <w:left w:type="dxa" w:w="120"/>
              <w:bottom w:type="dxa" w:w="80"/>
              <w:right w:type="dxa" w:w="120"/>
            </w:tcMar>
          </w:tcPr>
          <w:p>
            <w:pPr>
              <w:jc w:val="left"/>
            </w:pPr>
            <w:r>
              <w:rPr>
                <w:b w:val="false"/>
                <w:bCs w:val="false"/>
                <w:color w:val="000000"/>
                <w:sz w:val="20"/>
                <w:szCs w:val="20"/>
              </w:rPr>
              <w:t xml:space="preserve">CTO/COO — Sponsor du projet, valide les livrables et la mise en production</w:t>
            </w:r>
          </w:p>
        </w:tc>
        <w:tc>
          <w:tcPr>
            <w:tcW w:type="dxa" w:w="1600"/>
            <w:tcMar>
              <w:top w:type="dxa" w:w="80"/>
              <w:left w:type="dxa" w:w="120"/>
              <w:bottom w:type="dxa" w:w="80"/>
              <w:right w:type="dxa" w:w="120"/>
            </w:tcMar>
          </w:tcPr>
          <w:p>
            <w:pPr>
              <w:jc w:val="left"/>
            </w:pPr>
            <w:r>
              <w:rPr>
                <w:b w:val="false"/>
                <w:bCs w:val="false"/>
                <w:color w:val="000000"/>
                <w:sz w:val="20"/>
                <w:szCs w:val="20"/>
              </w:rPr>
              <w:t xml:space="preserve">A</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Raphaël Moutot</w:t>
            </w:r>
          </w:p>
        </w:tc>
        <w:tc>
          <w:tcPr>
            <w:tcW w:type="dxa" w:w="5000"/>
            <w:tcMar>
              <w:top w:type="dxa" w:w="80"/>
              <w:left w:type="dxa" w:w="120"/>
              <w:bottom w:type="dxa" w:w="80"/>
              <w:right w:type="dxa" w:w="120"/>
            </w:tcMar>
          </w:tcPr>
          <w:p>
            <w:pPr>
              <w:jc w:val="left"/>
            </w:pPr>
            <w:r>
              <w:rPr>
                <w:b w:val="false"/>
                <w:bCs w:val="false"/>
                <w:color w:val="000000"/>
                <w:sz w:val="20"/>
                <w:szCs w:val="20"/>
              </w:rPr>
              <w:t xml:space="preserve">PM — Définit la méthodologie documentaire (4 piliers), valide la conformité</w:t>
            </w:r>
          </w:p>
        </w:tc>
        <w:tc>
          <w:tcPr>
            <w:tcW w:type="dxa" w:w="1600"/>
            <w:tcMar>
              <w:top w:type="dxa" w:w="80"/>
              <w:left w:type="dxa" w:w="120"/>
              <w:bottom w:type="dxa" w:w="80"/>
              <w:right w:type="dxa" w:w="120"/>
            </w:tcMar>
          </w:tcPr>
          <w:p>
            <w:pPr>
              <w:jc w:val="left"/>
            </w:pPr>
            <w:r>
              <w:rPr>
                <w:b w:val="false"/>
                <w:bCs w:val="false"/>
                <w:color w:val="000000"/>
                <w:sz w:val="20"/>
                <w:szCs w:val="20"/>
              </w:rPr>
              <w:t xml:space="preserve">C</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Kuate Abdel Yaniv</w:t>
            </w:r>
          </w:p>
        </w:tc>
        <w:tc>
          <w:tcPr>
            <w:tcW w:type="dxa" w:w="5000"/>
            <w:tcMar>
              <w:top w:type="dxa" w:w="80"/>
              <w:left w:type="dxa" w:w="120"/>
              <w:bottom w:type="dxa" w:w="80"/>
              <w:right w:type="dxa" w:w="120"/>
            </w:tcMar>
          </w:tcPr>
          <w:p>
            <w:pPr>
              <w:jc w:val="left"/>
            </w:pPr>
            <w:r>
              <w:rPr>
                <w:b w:val="false"/>
                <w:bCs w:val="false"/>
                <w:color w:val="000000"/>
                <w:sz w:val="20"/>
                <w:szCs w:val="20"/>
              </w:rPr>
              <w:t xml:space="preserve">QA Lead — Conçoit et pilote la production du Loader</w:t>
            </w:r>
          </w:p>
        </w:tc>
        <w:tc>
          <w:tcPr>
            <w:tcW w:type="dxa" w:w="1600"/>
            <w:tcMar>
              <w:top w:type="dxa" w:w="80"/>
              <w:left w:type="dxa" w:w="120"/>
              <w:bottom w:type="dxa" w:w="80"/>
              <w:right w:type="dxa" w:w="120"/>
            </w:tcMar>
          </w:tcPr>
          <w:p>
            <w:pPr>
              <w:jc w:val="left"/>
            </w:pPr>
            <w:r>
              <w:rPr>
                <w:b w:val="false"/>
                <w:bCs w:val="false"/>
                <w:color w:val="000000"/>
                <w:sz w:val="20"/>
                <w:szCs w:val="20"/>
              </w:rPr>
              <w:t xml:space="preserve">R</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Zidane</w:t>
            </w:r>
          </w:p>
        </w:tc>
        <w:tc>
          <w:tcPr>
            <w:tcW w:type="dxa" w:w="5000"/>
            <w:tcMar>
              <w:top w:type="dxa" w:w="80"/>
              <w:left w:type="dxa" w:w="120"/>
              <w:bottom w:type="dxa" w:w="80"/>
              <w:right w:type="dxa" w:w="120"/>
            </w:tcMar>
          </w:tcPr>
          <w:p>
            <w:pPr>
              <w:jc w:val="left"/>
            </w:pPr>
            <w:r>
              <w:rPr>
                <w:b w:val="false"/>
                <w:bCs w:val="false"/>
                <w:color w:val="000000"/>
                <w:sz w:val="20"/>
                <w:szCs w:val="20"/>
              </w:rPr>
              <w:t xml:space="preserve">Co-QA — Contribue au développement de la mini-interface de pilotage</w:t>
            </w:r>
          </w:p>
        </w:tc>
        <w:tc>
          <w:tcPr>
            <w:tcW w:type="dxa" w:w="1600"/>
            <w:tcMar>
              <w:top w:type="dxa" w:w="80"/>
              <w:left w:type="dxa" w:w="120"/>
              <w:bottom w:type="dxa" w:w="80"/>
              <w:right w:type="dxa" w:w="120"/>
            </w:tcMar>
          </w:tcPr>
          <w:p>
            <w:pPr>
              <w:jc w:val="left"/>
            </w:pPr>
            <w:r>
              <w:rPr>
                <w:b w:val="false"/>
                <w:bCs w:val="false"/>
                <w:color w:val="000000"/>
                <w:sz w:val="20"/>
                <w:szCs w:val="20"/>
              </w:rPr>
              <w:t xml:space="preserve">R</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Duhamel (dt@finzuu.com)</w:t>
            </w:r>
          </w:p>
        </w:tc>
        <w:tc>
          <w:tcPr>
            <w:tcW w:type="dxa" w:w="5000"/>
            <w:tcMar>
              <w:top w:type="dxa" w:w="80"/>
              <w:left w:type="dxa" w:w="120"/>
              <w:bottom w:type="dxa" w:w="80"/>
              <w:right w:type="dxa" w:w="120"/>
            </w:tcMar>
          </w:tcPr>
          <w:p>
            <w:pPr>
              <w:jc w:val="left"/>
            </w:pPr>
            <w:r>
              <w:rPr>
                <w:b w:val="false"/>
                <w:bCs w:val="false"/>
                <w:color w:val="000000"/>
                <w:sz w:val="20"/>
                <w:szCs w:val="20"/>
              </w:rPr>
              <w:t xml:space="preserve">Développeur externe — Livre le module loan-service</w:t>
            </w:r>
          </w:p>
        </w:tc>
        <w:tc>
          <w:tcPr>
            <w:tcW w:type="dxa" w:w="1600"/>
            <w:tcMar>
              <w:top w:type="dxa" w:w="80"/>
              <w:left w:type="dxa" w:w="120"/>
              <w:bottom w:type="dxa" w:w="80"/>
              <w:right w:type="dxa" w:w="120"/>
            </w:tcMar>
          </w:tcPr>
          <w:p>
            <w:pPr>
              <w:jc w:val="left"/>
            </w:pPr>
            <w:r>
              <w:rPr>
                <w:b w:val="false"/>
                <w:bCs w:val="false"/>
                <w:color w:val="000000"/>
                <w:sz w:val="20"/>
                <w:szCs w:val="20"/>
              </w:rPr>
              <w:t xml:space="preserve">C</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Oti (ot@finzuu.com)</w:t>
            </w:r>
          </w:p>
        </w:tc>
        <w:tc>
          <w:tcPr>
            <w:tcW w:type="dxa" w:w="5000"/>
            <w:tcMar>
              <w:top w:type="dxa" w:w="80"/>
              <w:left w:type="dxa" w:w="120"/>
              <w:bottom w:type="dxa" w:w="80"/>
              <w:right w:type="dxa" w:w="120"/>
            </w:tcMar>
          </w:tcPr>
          <w:p>
            <w:pPr>
              <w:jc w:val="left"/>
            </w:pPr>
            <w:r>
              <w:rPr>
                <w:b w:val="false"/>
                <w:bCs w:val="false"/>
                <w:color w:val="000000"/>
                <w:sz w:val="20"/>
                <w:szCs w:val="20"/>
              </w:rPr>
              <w:t xml:space="preserve">Référent Faker fintech4esg — Consulté sur les capacités de l'API tierce</w:t>
            </w:r>
          </w:p>
        </w:tc>
        <w:tc>
          <w:tcPr>
            <w:tcW w:type="dxa" w:w="1600"/>
            <w:tcMar>
              <w:top w:type="dxa" w:w="80"/>
              <w:left w:type="dxa" w:w="120"/>
              <w:bottom w:type="dxa" w:w="80"/>
              <w:right w:type="dxa" w:w="120"/>
            </w:tcMar>
          </w:tcPr>
          <w:p>
            <w:pPr>
              <w:jc w:val="left"/>
            </w:pPr>
            <w:r>
              <w:rPr>
                <w:b w:val="false"/>
                <w:bCs w:val="false"/>
                <w:color w:val="000000"/>
                <w:sz w:val="20"/>
                <w:szCs w:val="20"/>
              </w:rPr>
              <w:t xml:space="preserve">C</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Équipe QA élargie</w:t>
            </w:r>
          </w:p>
        </w:tc>
        <w:tc>
          <w:tcPr>
            <w:tcW w:type="dxa" w:w="5000"/>
            <w:tcMar>
              <w:top w:type="dxa" w:w="80"/>
              <w:left w:type="dxa" w:w="120"/>
              <w:bottom w:type="dxa" w:w="80"/>
              <w:right w:type="dxa" w:w="120"/>
            </w:tcMar>
          </w:tcPr>
          <w:p>
            <w:pPr>
              <w:jc w:val="left"/>
            </w:pPr>
            <w:r>
              <w:rPr>
                <w:b w:val="false"/>
                <w:bCs w:val="false"/>
                <w:color w:val="000000"/>
                <w:sz w:val="20"/>
                <w:szCs w:val="20"/>
              </w:rPr>
              <w:t xml:space="preserve">Utilisatrice finale de l'outil pour les campagnes de test</w:t>
            </w:r>
          </w:p>
        </w:tc>
        <w:tc>
          <w:tcPr>
            <w:tcW w:type="dxa" w:w="1600"/>
            <w:tcMar>
              <w:top w:type="dxa" w:w="80"/>
              <w:left w:type="dxa" w:w="120"/>
              <w:bottom w:type="dxa" w:w="80"/>
              <w:right w:type="dxa" w:w="120"/>
            </w:tcMar>
          </w:tcPr>
          <w:p>
            <w:pPr>
              <w:jc w:val="left"/>
            </w:pPr>
            <w:r>
              <w:rPr>
                <w:b w:val="false"/>
                <w:bCs w:val="false"/>
                <w:color w:val="000000"/>
                <w:sz w:val="20"/>
                <w:szCs w:val="20"/>
              </w:rPr>
              <w:t xml:space="preserve">I</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Équipe commerciale</w:t>
            </w:r>
          </w:p>
        </w:tc>
        <w:tc>
          <w:tcPr>
            <w:tcW w:type="dxa" w:w="5000"/>
            <w:tcMar>
              <w:top w:type="dxa" w:w="80"/>
              <w:left w:type="dxa" w:w="120"/>
              <w:bottom w:type="dxa" w:w="80"/>
              <w:right w:type="dxa" w:w="120"/>
            </w:tcMar>
          </w:tcPr>
          <w:p>
            <w:pPr>
              <w:jc w:val="left"/>
            </w:pPr>
            <w:r>
              <w:rPr>
                <w:b w:val="false"/>
                <w:bCs w:val="false"/>
                <w:color w:val="000000"/>
                <w:sz w:val="20"/>
                <w:szCs w:val="20"/>
              </w:rPr>
              <w:t xml:space="preserve">Utilisatrice finale pour les démonstrations prospects</w:t>
            </w:r>
          </w:p>
        </w:tc>
        <w:tc>
          <w:tcPr>
            <w:tcW w:type="dxa" w:w="1600"/>
            <w:tcMar>
              <w:top w:type="dxa" w:w="80"/>
              <w:left w:type="dxa" w:w="120"/>
              <w:bottom w:type="dxa" w:w="80"/>
              <w:right w:type="dxa" w:w="120"/>
            </w:tcMar>
          </w:tcPr>
          <w:p>
            <w:pPr>
              <w:jc w:val="left"/>
            </w:pPr>
            <w:r>
              <w:rPr>
                <w:b w:val="false"/>
                <w:bCs w:val="false"/>
                <w:color w:val="000000"/>
                <w:sz w:val="20"/>
                <w:szCs w:val="20"/>
              </w:rPr>
              <w:t xml:space="preserve">I</w:t>
            </w:r>
          </w:p>
        </w:tc>
      </w:tr>
    </w:tbl>
    <w:p>
      <w:pPr>
        <w:spacing w:after="120"/>
        <w:jc w:val="both"/>
      </w:pPr>
      <w:r>
        <w:rPr>
          <w:b w:val="false"/>
          <w:bCs w:val="false"/>
          <w:i w:val="false"/>
          <w:iCs w:val="false"/>
          <w:sz w:val="22"/>
          <w:szCs w:val="22"/>
        </w:rPr>
        <w:t xml:space="preserve"/>
      </w:r>
    </w:p>
    <w:p>
      <w:pPr>
        <w:spacing w:after="120"/>
        <w:jc w:val="both"/>
      </w:pPr>
      <w:r>
        <w:rPr>
          <w:b w:val="false"/>
          <w:bCs w:val="false"/>
          <w:i/>
          <w:iCs/>
          <w:sz w:val="22"/>
          <w:szCs w:val="22"/>
        </w:rPr>
        <w:t xml:space="preserve">Légende RACI : R = Responsible (exécute), A = Accountable (rend compte), C = Consulted (consulté), I = Informed (informé).</w:t>
      </w:r>
    </w:p>
    <w:p>
      <w:r>
        <w:br w:type="page"/>
      </w:r>
    </w:p>
    <w:p>
      <w:pPr>
        <w:pStyle w:val="Heading1"/>
        <w:spacing w:after="240" w:before="480"/>
      </w:pPr>
      <w:r>
        <w:rPr>
          <w:b/>
          <w:bCs/>
          <w:color w:val="6B2E9E"/>
          <w:sz w:val="32"/>
          <w:szCs w:val="32"/>
        </w:rPr>
        <w:t xml:space="preserve">6. Modèle métier</w:t>
      </w:r>
    </w:p>
    <w:p>
      <w:pPr>
        <w:pStyle w:val="Heading2"/>
        <w:spacing w:after="180" w:before="360"/>
      </w:pPr>
      <w:r>
        <w:rPr>
          <w:b/>
          <w:bCs/>
          <w:color w:val="6B2E9E"/>
          <w:sz w:val="26"/>
          <w:szCs w:val="26"/>
        </w:rPr>
        <w:t xml:space="preserve">6.1 Arbre géographique — 5 niveaux</w:t>
      </w:r>
    </w:p>
    <w:p>
      <w:pPr>
        <w:spacing w:after="120"/>
        <w:jc w:val="both"/>
      </w:pPr>
      <w:r>
        <w:rPr>
          <w:b w:val="false"/>
          <w:bCs w:val="false"/>
          <w:i w:val="false"/>
          <w:iCs w:val="false"/>
          <w:sz w:val="22"/>
          <w:szCs w:val="22"/>
        </w:rPr>
        <w:t xml:space="preserve">La structure géographique du système repose sur une hiérarchie stricte à cinq niveaux, reprise du référentiel administratif officiel de chaque pays cible :</w:t>
      </w:r>
    </w:p>
    <w:p>
      <w:pPr>
        <w:pStyle w:val="ListParagraph"/>
        <w:numPr>
          <w:ilvl w:val="0"/>
          <w:numId w:val="1"/>
        </w:numPr>
        <w:spacing w:after="80"/>
      </w:pPr>
      <w:r>
        <w:rPr>
          <w:b/>
          <w:bCs/>
          <w:sz w:val="22"/>
          <w:szCs w:val="22"/>
        </w:rPr>
        <w:t xml:space="preserve">Niveau 1 — Country : </w:t>
      </w:r>
      <w:r>
        <w:rPr>
          <w:sz w:val="22"/>
          <w:szCs w:val="22"/>
        </w:rPr>
        <w:t xml:space="preserve">quatre entrées (CM, CI, BF, SN) avec métadonnées monnaie, indicatif téléphonique, TVA, fuseau horaire.</w:t>
      </w:r>
    </w:p>
    <w:p>
      <w:pPr>
        <w:pStyle w:val="ListParagraph"/>
        <w:numPr>
          <w:ilvl w:val="0"/>
          <w:numId w:val="1"/>
        </w:numPr>
        <w:spacing w:after="80"/>
      </w:pPr>
      <w:r>
        <w:rPr>
          <w:b/>
          <w:bCs/>
          <w:sz w:val="22"/>
          <w:szCs w:val="22"/>
        </w:rPr>
        <w:t xml:space="preserve">Niveau 2 — Region : </w:t>
      </w:r>
      <w:r>
        <w:rPr>
          <w:sz w:val="22"/>
          <w:szCs w:val="22"/>
        </w:rPr>
        <w:t xml:space="preserve">51 entrées au total, alignées sur les subdivisions officielles (10 pour CM, 14 pour CI, 13 pour BF, 14 pour SN).</w:t>
      </w:r>
    </w:p>
    <w:p>
      <w:pPr>
        <w:pStyle w:val="ListParagraph"/>
        <w:numPr>
          <w:ilvl w:val="0"/>
          <w:numId w:val="1"/>
        </w:numPr>
        <w:spacing w:after="80"/>
      </w:pPr>
      <w:r>
        <w:rPr>
          <w:b/>
          <w:bCs/>
          <w:sz w:val="22"/>
          <w:szCs w:val="22"/>
        </w:rPr>
        <w:t xml:space="preserve">Niveau 3 — City : </w:t>
      </w:r>
      <w:r>
        <w:rPr>
          <w:sz w:val="22"/>
          <w:szCs w:val="22"/>
        </w:rPr>
        <w:t xml:space="preserve">50 villes principales avec population estimée et coordonnées GPS.</w:t>
      </w:r>
    </w:p>
    <w:p>
      <w:pPr>
        <w:pStyle w:val="ListParagraph"/>
        <w:numPr>
          <w:ilvl w:val="0"/>
          <w:numId w:val="1"/>
        </w:numPr>
        <w:spacing w:after="80"/>
      </w:pPr>
      <w:r>
        <w:rPr>
          <w:b/>
          <w:bCs/>
          <w:sz w:val="22"/>
          <w:szCs w:val="22"/>
        </w:rPr>
        <w:t xml:space="preserve">Niveau 4 — District/Quartier : </w:t>
      </w:r>
      <w:r>
        <w:rPr>
          <w:sz w:val="22"/>
          <w:szCs w:val="22"/>
        </w:rPr>
        <w:t xml:space="preserve">82 quartiers pour les grandes villes (Yaoundé, Douala, Abidjan, Ouagadougou, Bobo-Dioulasso, Dakar, Pikine, Thiès, Saint-Louis).</w:t>
      </w:r>
    </w:p>
    <w:p>
      <w:pPr>
        <w:pStyle w:val="ListParagraph"/>
        <w:numPr>
          <w:ilvl w:val="0"/>
          <w:numId w:val="1"/>
        </w:numPr>
        <w:spacing w:after="80"/>
      </w:pPr>
      <w:r>
        <w:rPr>
          <w:b/>
          <w:bCs/>
          <w:sz w:val="22"/>
          <w:szCs w:val="22"/>
        </w:rPr>
        <w:t xml:space="preserve">Niveau 5 — Address : </w:t>
      </w:r>
      <w:r>
        <w:rPr>
          <w:sz w:val="22"/>
          <w:szCs w:val="22"/>
        </w:rPr>
        <w:t xml:space="preserve">adresse physique attribuée dynamiquement lors de la génération, avec coordonnées GPS dérivées.</w:t>
      </w:r>
    </w:p>
    <w:p>
      <w:pPr>
        <w:pStyle w:val="Heading2"/>
        <w:spacing w:after="180" w:before="360"/>
      </w:pPr>
      <w:r>
        <w:rPr>
          <w:b/>
          <w:bCs/>
          <w:color w:val="6B2E9E"/>
          <w:sz w:val="26"/>
          <w:szCs w:val="26"/>
        </w:rPr>
        <w:t xml:space="preserve">6.2 Arbre opérationnel FinZuu</w:t>
      </w:r>
    </w:p>
    <w:p>
      <w:pPr>
        <w:spacing w:after="120"/>
        <w:jc w:val="both"/>
      </w:pPr>
      <w:r>
        <w:rPr>
          <w:b w:val="false"/>
          <w:bCs w:val="false"/>
          <w:i w:val="false"/>
          <w:iCs w:val="false"/>
          <w:sz w:val="22"/>
          <w:szCs w:val="22"/>
        </w:rPr>
        <w:t xml:space="preserve">L'écosystème opérationnel repose sur une hiérarchie de six niveaux, du bailleur institutionnel jusqu'à l'agent de terrain :</w:t>
      </w:r>
    </w:p>
    <w:p>
      <w:pPr>
        <w:pStyle w:val="ListParagraph"/>
        <w:numPr>
          <w:ilvl w:val="0"/>
          <w:numId w:val="1"/>
        </w:numPr>
        <w:spacing w:after="80"/>
      </w:pPr>
      <w:r>
        <w:rPr>
          <w:b/>
          <w:bCs/>
          <w:sz w:val="22"/>
          <w:szCs w:val="22"/>
        </w:rPr>
        <w:t xml:space="preserve">Niveau 1 — Company (IMF) : </w:t>
      </w:r>
      <w:r>
        <w:rPr>
          <w:sz w:val="22"/>
          <w:szCs w:val="22"/>
        </w:rPr>
        <w:t xml:space="preserve">personne morale utilisant FinZuu. Sept types possibles : IMF (Institution de Microfinance), Banque, Fondation, Fonds institutionnel, Merchant, Agence, Kiosque.</w:t>
      </w:r>
    </w:p>
    <w:p>
      <w:pPr>
        <w:pStyle w:val="ListParagraph"/>
        <w:numPr>
          <w:ilvl w:val="0"/>
          <w:numId w:val="1"/>
        </w:numPr>
        <w:spacing w:after="80"/>
      </w:pPr>
      <w:r>
        <w:rPr>
          <w:b/>
          <w:bCs/>
          <w:sz w:val="22"/>
          <w:szCs w:val="22"/>
        </w:rPr>
        <w:t xml:space="preserve">Niveau 2 — Lender : </w:t>
      </w:r>
      <w:r>
        <w:rPr>
          <w:sz w:val="22"/>
          <w:szCs w:val="22"/>
        </w:rPr>
        <w:t xml:space="preserve">rôle métier porté par une Company. Un Lender apporte le capital finançant les prêts. Distingué en Lender local (3 par pays) et Lender institutionnel (Nordic Microfinance, IFC, AFD, BAD).</w:t>
      </w:r>
    </w:p>
    <w:p>
      <w:pPr>
        <w:pStyle w:val="ListParagraph"/>
        <w:numPr>
          <w:ilvl w:val="0"/>
          <w:numId w:val="1"/>
        </w:numPr>
        <w:spacing w:after="80"/>
      </w:pPr>
      <w:r>
        <w:rPr>
          <w:b/>
          <w:bCs/>
          <w:sz w:val="22"/>
          <w:szCs w:val="22"/>
        </w:rPr>
        <w:t xml:space="preserve">Niveau 3 — Branche : </w:t>
      </w:r>
      <w:r>
        <w:rPr>
          <w:sz w:val="22"/>
          <w:szCs w:val="22"/>
        </w:rPr>
        <w:t xml:space="preserve">unité territoriale de la Company, rattachée à une Region.</w:t>
      </w:r>
    </w:p>
    <w:p>
      <w:pPr>
        <w:pStyle w:val="ListParagraph"/>
        <w:numPr>
          <w:ilvl w:val="0"/>
          <w:numId w:val="1"/>
        </w:numPr>
        <w:spacing w:after="80"/>
      </w:pPr>
      <w:r>
        <w:rPr>
          <w:b/>
          <w:bCs/>
          <w:sz w:val="22"/>
          <w:szCs w:val="22"/>
        </w:rPr>
        <w:t xml:space="preserve">Niveau 4 — Agence : </w:t>
      </w:r>
      <w:r>
        <w:rPr>
          <w:sz w:val="22"/>
          <w:szCs w:val="22"/>
        </w:rPr>
        <w:t xml:space="preserve">déclinaison de la Branche au niveau d'une Ville.</w:t>
      </w:r>
    </w:p>
    <w:p>
      <w:pPr>
        <w:pStyle w:val="ListParagraph"/>
        <w:numPr>
          <w:ilvl w:val="0"/>
          <w:numId w:val="1"/>
        </w:numPr>
        <w:spacing w:after="80"/>
      </w:pPr>
      <w:r>
        <w:rPr>
          <w:b/>
          <w:bCs/>
          <w:sz w:val="22"/>
          <w:szCs w:val="22"/>
        </w:rPr>
        <w:t xml:space="preserve">Niveau 5 — Kiosque : </w:t>
      </w:r>
      <w:r>
        <w:rPr>
          <w:sz w:val="22"/>
          <w:szCs w:val="22"/>
        </w:rPr>
        <w:t xml:space="preserve">point physique de dépôt et retrait, rattaché à un Quartier.</w:t>
      </w:r>
    </w:p>
    <w:p>
      <w:pPr>
        <w:pStyle w:val="ListParagraph"/>
        <w:numPr>
          <w:ilvl w:val="0"/>
          <w:numId w:val="1"/>
        </w:numPr>
        <w:spacing w:after="80"/>
      </w:pPr>
      <w:r>
        <w:rPr>
          <w:b/>
          <w:bCs/>
          <w:sz w:val="22"/>
          <w:szCs w:val="22"/>
        </w:rPr>
        <w:t xml:space="preserve">Niveau 6 — Agent : </w:t>
      </w:r>
      <w:r>
        <w:rPr>
          <w:sz w:val="22"/>
          <w:szCs w:val="22"/>
        </w:rPr>
        <w:t xml:space="preserve">personne physique opérant sur le terrain, rattachée à un Kiosque.</w:t>
      </w:r>
    </w:p>
    <w:p>
      <w:pPr>
        <w:pStyle w:val="Heading2"/>
        <w:spacing w:after="180" w:before="360"/>
      </w:pPr>
      <w:r>
        <w:rPr>
          <w:b/>
          <w:bCs/>
          <w:color w:val="6B2E9E"/>
          <w:sz w:val="26"/>
          <w:szCs w:val="26"/>
        </w:rPr>
        <w:t xml:space="preserve">6.3 Distinction Company / IMF / Lender</w:t>
      </w:r>
    </w:p>
    <w:p>
      <w:pPr>
        <w:spacing w:after="120"/>
        <w:jc w:val="both"/>
      </w:pPr>
      <w:r>
        <w:rPr>
          <w:b w:val="false"/>
          <w:bCs w:val="false"/>
          <w:i w:val="false"/>
          <w:iCs w:val="false"/>
          <w:sz w:val="22"/>
          <w:szCs w:val="22"/>
        </w:rPr>
        <w:t xml:space="preserve">Le vocabulaire métier distingue trois notions fréquemment confondues. Une Company désigne toute personne morale utilisant la plateforme, incluant les commerçants, les IMF, les banques, les fondations. Une IMF est un type particulier de Company. Un Lender est un rôle métier porté par une Company : une IMF peut être Lender de ses propres prêts, une fondation institutionnelle peut être Lender sans être IMF, une simple boutique enregistrée comme Company ne peut pas être Lender.</w:t>
      </w:r>
    </w:p>
    <w:p>
      <w:pPr>
        <w:pStyle w:val="Heading2"/>
        <w:spacing w:after="180" w:before="360"/>
      </w:pPr>
      <w:r>
        <w:rPr>
          <w:b/>
          <w:bCs/>
          <w:color w:val="6B2E9E"/>
          <w:sz w:val="26"/>
          <w:szCs w:val="26"/>
        </w:rPr>
        <w:t xml:space="preserve">6.4 Glossaire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6B2E9E" w:val="clear"/>
            <w:tcMar>
              <w:top w:type="dxa" w:w="100"/>
              <w:left w:type="dxa" w:w="120"/>
              <w:bottom w:type="dxa" w:w="100"/>
              <w:right w:type="dxa" w:w="120"/>
            </w:tcMar>
          </w:tcPr>
          <w:p>
            <w:pPr>
              <w:jc w:val="center"/>
            </w:pPr>
            <w:r>
              <w:rPr>
                <w:b/>
                <w:bCs/>
                <w:color w:val="FFFFFF"/>
                <w:sz w:val="20"/>
                <w:szCs w:val="20"/>
              </w:rPr>
              <w:t xml:space="preserve">Terme</w:t>
            </w:r>
          </w:p>
        </w:tc>
        <w:tc>
          <w:tcPr>
            <w:tcW w:type="dxa" w:w="6600"/>
            <w:shd w:fill="6B2E9E" w:val="clear"/>
            <w:tcMar>
              <w:top w:type="dxa" w:w="100"/>
              <w:left w:type="dxa" w:w="120"/>
              <w:bottom w:type="dxa" w:w="100"/>
              <w:right w:type="dxa" w:w="120"/>
            </w:tcMar>
          </w:tcPr>
          <w:p>
            <w:pPr>
              <w:jc w:val="center"/>
            </w:pPr>
            <w:r>
              <w:rPr>
                <w:b/>
                <w:bCs/>
                <w:color w:val="FFFFFF"/>
                <w:sz w:val="20"/>
                <w:szCs w:val="20"/>
              </w:rPr>
              <w:t xml:space="preserve">Définition</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IMF</w:t>
            </w:r>
          </w:p>
        </w:tc>
        <w:tc>
          <w:tcPr>
            <w:tcW w:type="dxa" w:w="6600"/>
            <w:tcMar>
              <w:top w:type="dxa" w:w="80"/>
              <w:left w:type="dxa" w:w="120"/>
              <w:bottom w:type="dxa" w:w="80"/>
              <w:right w:type="dxa" w:w="120"/>
            </w:tcMar>
          </w:tcPr>
          <w:p>
            <w:pPr>
              <w:jc w:val="left"/>
            </w:pPr>
            <w:r>
              <w:rPr>
                <w:b w:val="false"/>
                <w:bCs w:val="false"/>
                <w:color w:val="000000"/>
                <w:sz w:val="20"/>
                <w:szCs w:val="20"/>
              </w:rPr>
              <w:t xml:space="preserve">Institution de MicroFinance. Cliente B2B de FinZuu, type particulier de Company.</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Company</w:t>
            </w:r>
          </w:p>
        </w:tc>
        <w:tc>
          <w:tcPr>
            <w:tcW w:type="dxa" w:w="6600"/>
            <w:tcMar>
              <w:top w:type="dxa" w:w="80"/>
              <w:left w:type="dxa" w:w="120"/>
              <w:bottom w:type="dxa" w:w="80"/>
              <w:right w:type="dxa" w:w="120"/>
            </w:tcMar>
          </w:tcPr>
          <w:p>
            <w:pPr>
              <w:jc w:val="left"/>
            </w:pPr>
            <w:r>
              <w:rPr>
                <w:b w:val="false"/>
                <w:bCs w:val="false"/>
                <w:color w:val="000000"/>
                <w:sz w:val="20"/>
                <w:szCs w:val="20"/>
              </w:rPr>
              <w:t xml:space="preserve">Personne morale utilisant la plateforme (banque, fondation, merchant, agence, kiosque).</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Bailleur de Fonds</w:t>
            </w:r>
          </w:p>
        </w:tc>
        <w:tc>
          <w:tcPr>
            <w:tcW w:type="dxa" w:w="6600"/>
            <w:tcMar>
              <w:top w:type="dxa" w:w="80"/>
              <w:left w:type="dxa" w:w="120"/>
              <w:bottom w:type="dxa" w:w="80"/>
              <w:right w:type="dxa" w:w="120"/>
            </w:tcMar>
          </w:tcPr>
          <w:p>
            <w:pPr>
              <w:jc w:val="left"/>
            </w:pPr>
            <w:r>
              <w:rPr>
                <w:b w:val="false"/>
                <w:bCs w:val="false"/>
                <w:color w:val="000000"/>
                <w:sz w:val="20"/>
                <w:szCs w:val="20"/>
              </w:rPr>
              <w:t xml:space="preserve">Personne morale, financement sous forme de prêt ou grant (IFC, AFD, Nordic, etc.).</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Lender</w:t>
            </w:r>
          </w:p>
        </w:tc>
        <w:tc>
          <w:tcPr>
            <w:tcW w:type="dxa" w:w="6600"/>
            <w:tcMar>
              <w:top w:type="dxa" w:w="80"/>
              <w:left w:type="dxa" w:w="120"/>
              <w:bottom w:type="dxa" w:w="80"/>
              <w:right w:type="dxa" w:w="120"/>
            </w:tcMar>
          </w:tcPr>
          <w:p>
            <w:pPr>
              <w:jc w:val="left"/>
            </w:pPr>
            <w:r>
              <w:rPr>
                <w:b w:val="false"/>
                <w:bCs w:val="false"/>
                <w:color w:val="000000"/>
                <w:sz w:val="20"/>
                <w:szCs w:val="20"/>
              </w:rPr>
              <w:t xml:space="preserve">Rôle métier porté par une Company / Bailleur de Fonds, apportant du capital pour financer les prêts.</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Client / Utilisateur</w:t>
            </w:r>
          </w:p>
        </w:tc>
        <w:tc>
          <w:tcPr>
            <w:tcW w:type="dxa" w:w="6600"/>
            <w:tcMar>
              <w:top w:type="dxa" w:w="80"/>
              <w:left w:type="dxa" w:w="120"/>
              <w:bottom w:type="dxa" w:w="80"/>
              <w:right w:type="dxa" w:w="120"/>
            </w:tcMar>
          </w:tcPr>
          <w:p>
            <w:pPr>
              <w:jc w:val="left"/>
            </w:pPr>
            <w:r>
              <w:rPr>
                <w:b w:val="false"/>
                <w:bCs w:val="false"/>
                <w:color w:val="000000"/>
                <w:sz w:val="20"/>
                <w:szCs w:val="20"/>
              </w:rPr>
              <w:t xml:space="preserve">Individu ou organisation pouvant souscrire aux services proposés par la plateforme selon leur profil (Loan, Épargne, etc.).</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Collect (Cash)</w:t>
            </w:r>
          </w:p>
        </w:tc>
        <w:tc>
          <w:tcPr>
            <w:tcW w:type="dxa" w:w="6600"/>
            <w:tcMar>
              <w:top w:type="dxa" w:w="80"/>
              <w:left w:type="dxa" w:w="120"/>
              <w:bottom w:type="dxa" w:w="80"/>
              <w:right w:type="dxa" w:w="120"/>
            </w:tcMar>
          </w:tcPr>
          <w:p>
            <w:pPr>
              <w:jc w:val="left"/>
            </w:pPr>
            <w:r>
              <w:rPr>
                <w:b w:val="false"/>
                <w:bCs w:val="false"/>
                <w:color w:val="000000"/>
                <w:sz w:val="20"/>
                <w:szCs w:val="20"/>
              </w:rPr>
              <w:t xml:space="preserve">Client final compagnie nécessitant un service de collecte journalier de leurs fonds.</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Collect (Produit)</w:t>
            </w:r>
          </w:p>
        </w:tc>
        <w:tc>
          <w:tcPr>
            <w:tcW w:type="dxa" w:w="6600"/>
            <w:tcMar>
              <w:top w:type="dxa" w:w="80"/>
              <w:left w:type="dxa" w:w="120"/>
              <w:bottom w:type="dxa" w:w="80"/>
              <w:right w:type="dxa" w:w="120"/>
            </w:tcMar>
          </w:tcPr>
          <w:p>
            <w:pPr>
              <w:jc w:val="left"/>
            </w:pPr>
            <w:r>
              <w:rPr>
                <w:b w:val="false"/>
                <w:bCs w:val="false"/>
                <w:color w:val="000000"/>
                <w:sz w:val="20"/>
                <w:szCs w:val="20"/>
              </w:rPr>
              <w:t xml:space="preserve">Client final individu ou coopérative réalisant des opérations de collecte contre un paiement (plastique, etc.).</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Kiosque / Dépositaire</w:t>
            </w:r>
          </w:p>
        </w:tc>
        <w:tc>
          <w:tcPr>
            <w:tcW w:type="dxa" w:w="6600"/>
            <w:tcMar>
              <w:top w:type="dxa" w:w="80"/>
              <w:left w:type="dxa" w:w="120"/>
              <w:bottom w:type="dxa" w:w="80"/>
              <w:right w:type="dxa" w:w="120"/>
            </w:tcMar>
          </w:tcPr>
          <w:p>
            <w:pPr>
              <w:jc w:val="left"/>
            </w:pPr>
            <w:r>
              <w:rPr>
                <w:b w:val="false"/>
                <w:bCs w:val="false"/>
                <w:color w:val="000000"/>
                <w:sz w:val="20"/>
                <w:szCs w:val="20"/>
              </w:rPr>
              <w:t xml:space="preserve">Point physique de collecte et de retrait, rattaché à un Quartier.</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Agent</w:t>
            </w:r>
          </w:p>
        </w:tc>
        <w:tc>
          <w:tcPr>
            <w:tcW w:type="dxa" w:w="6600"/>
            <w:tcMar>
              <w:top w:type="dxa" w:w="80"/>
              <w:left w:type="dxa" w:w="120"/>
              <w:bottom w:type="dxa" w:w="80"/>
              <w:right w:type="dxa" w:w="120"/>
            </w:tcMar>
          </w:tcPr>
          <w:p>
            <w:pPr>
              <w:jc w:val="left"/>
            </w:pPr>
            <w:r>
              <w:rPr>
                <w:b w:val="false"/>
                <w:bCs w:val="false"/>
                <w:color w:val="000000"/>
                <w:sz w:val="20"/>
                <w:szCs w:val="20"/>
              </w:rPr>
              <w:t xml:space="preserve">Personne physique opérant sur le terrain, rattachée à une IMF / Branche / Kiosque.</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Branche</w:t>
            </w:r>
          </w:p>
        </w:tc>
        <w:tc>
          <w:tcPr>
            <w:tcW w:type="dxa" w:w="6600"/>
            <w:tcMar>
              <w:top w:type="dxa" w:w="80"/>
              <w:left w:type="dxa" w:w="120"/>
              <w:bottom w:type="dxa" w:w="80"/>
              <w:right w:type="dxa" w:w="120"/>
            </w:tcMar>
          </w:tcPr>
          <w:p>
            <w:pPr>
              <w:jc w:val="left"/>
            </w:pPr>
            <w:r>
              <w:rPr>
                <w:b w:val="false"/>
                <w:bCs w:val="false"/>
                <w:color w:val="000000"/>
                <w:sz w:val="20"/>
                <w:szCs w:val="20"/>
              </w:rPr>
              <w:t xml:space="preserve">Unité territoriale d'une IMF rattachée à une Region.</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Agence</w:t>
            </w:r>
          </w:p>
        </w:tc>
        <w:tc>
          <w:tcPr>
            <w:tcW w:type="dxa" w:w="6600"/>
            <w:tcMar>
              <w:top w:type="dxa" w:w="80"/>
              <w:left w:type="dxa" w:w="120"/>
              <w:bottom w:type="dxa" w:w="80"/>
              <w:right w:type="dxa" w:w="120"/>
            </w:tcMar>
          </w:tcPr>
          <w:p>
            <w:pPr>
              <w:jc w:val="left"/>
            </w:pPr>
            <w:r>
              <w:rPr>
                <w:b w:val="false"/>
                <w:bCs w:val="false"/>
                <w:color w:val="000000"/>
                <w:sz w:val="20"/>
                <w:szCs w:val="20"/>
              </w:rPr>
              <w:t xml:space="preserve">Déclinaison d'une Branche au niveau d'une Ville.</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Product</w:t>
            </w:r>
          </w:p>
        </w:tc>
        <w:tc>
          <w:tcPr>
            <w:tcW w:type="dxa" w:w="6600"/>
            <w:tcMar>
              <w:top w:type="dxa" w:w="80"/>
              <w:left w:type="dxa" w:w="120"/>
              <w:bottom w:type="dxa" w:w="80"/>
              <w:right w:type="dxa" w:w="120"/>
            </w:tcMar>
          </w:tcPr>
          <w:p>
            <w:pPr>
              <w:jc w:val="left"/>
            </w:pPr>
            <w:r>
              <w:rPr>
                <w:b w:val="false"/>
                <w:bCs w:val="false"/>
                <w:color w:val="000000"/>
                <w:sz w:val="20"/>
                <w:szCs w:val="20"/>
              </w:rPr>
              <w:t xml:space="preserve">Formule financière du catalogue : trois types Collecte (CASH, CASH_DAT, PRODUCT) et types Prêt du catalogue officiel.</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Policy</w:t>
            </w:r>
          </w:p>
        </w:tc>
        <w:tc>
          <w:tcPr>
            <w:tcW w:type="dxa" w:w="6600"/>
            <w:tcMar>
              <w:top w:type="dxa" w:w="80"/>
              <w:left w:type="dxa" w:w="120"/>
              <w:bottom w:type="dxa" w:w="80"/>
              <w:right w:type="dxa" w:w="120"/>
            </w:tcMar>
          </w:tcPr>
          <w:p>
            <w:pPr>
              <w:jc w:val="left"/>
            </w:pPr>
            <w:r>
              <w:rPr>
                <w:b w:val="false"/>
                <w:bCs w:val="false"/>
                <w:color w:val="000000"/>
                <w:sz w:val="20"/>
                <w:szCs w:val="20"/>
              </w:rPr>
              <w:t xml:space="preserve">Règles métier embarquées dans un Product : montants min/max, taux, pénalités, durées.</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MSISDN</w:t>
            </w:r>
          </w:p>
        </w:tc>
        <w:tc>
          <w:tcPr>
            <w:tcW w:type="dxa" w:w="6600"/>
            <w:tcMar>
              <w:top w:type="dxa" w:w="80"/>
              <w:left w:type="dxa" w:w="120"/>
              <w:bottom w:type="dxa" w:w="80"/>
              <w:right w:type="dxa" w:w="120"/>
            </w:tcMar>
          </w:tcPr>
          <w:p>
            <w:pPr>
              <w:jc w:val="left"/>
            </w:pPr>
            <w:r>
              <w:rPr>
                <w:b w:val="false"/>
                <w:bCs w:val="false"/>
                <w:color w:val="000000"/>
                <w:sz w:val="20"/>
                <w:szCs w:val="20"/>
              </w:rPr>
              <w:t xml:space="preserve">Numéro de téléphone mobile au format international.</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Idempotence</w:t>
            </w:r>
          </w:p>
        </w:tc>
        <w:tc>
          <w:tcPr>
            <w:tcW w:type="dxa" w:w="6600"/>
            <w:tcMar>
              <w:top w:type="dxa" w:w="80"/>
              <w:left w:type="dxa" w:w="120"/>
              <w:bottom w:type="dxa" w:w="80"/>
              <w:right w:type="dxa" w:w="120"/>
            </w:tcMar>
          </w:tcPr>
          <w:p>
            <w:pPr>
              <w:jc w:val="left"/>
            </w:pPr>
            <w:r>
              <w:rPr>
                <w:b w:val="false"/>
                <w:bCs w:val="false"/>
                <w:color w:val="000000"/>
                <w:sz w:val="20"/>
                <w:szCs w:val="20"/>
              </w:rPr>
              <w:t xml:space="preserve">Propriété garantissant qu'une exécution répétée ne produit pas d'effets dupliqués.</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Faker</w:t>
            </w:r>
          </w:p>
        </w:tc>
        <w:tc>
          <w:tcPr>
            <w:tcW w:type="dxa" w:w="6600"/>
            <w:tcMar>
              <w:top w:type="dxa" w:w="80"/>
              <w:left w:type="dxa" w:w="120"/>
              <w:bottom w:type="dxa" w:w="80"/>
              <w:right w:type="dxa" w:w="120"/>
            </w:tcMar>
          </w:tcPr>
          <w:p>
            <w:pPr>
              <w:jc w:val="left"/>
            </w:pPr>
            <w:r>
              <w:rPr>
                <w:b w:val="false"/>
                <w:bCs w:val="false"/>
                <w:color w:val="000000"/>
                <w:sz w:val="20"/>
                <w:szCs w:val="20"/>
              </w:rPr>
              <w:t xml:space="preserve">API externe fintech4esg fournissant des payloads clients et historiques crédit fictifs.</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run_id</w:t>
            </w:r>
          </w:p>
        </w:tc>
        <w:tc>
          <w:tcPr>
            <w:tcW w:type="dxa" w:w="6600"/>
            <w:tcMar>
              <w:top w:type="dxa" w:w="80"/>
              <w:left w:type="dxa" w:w="120"/>
              <w:bottom w:type="dxa" w:w="80"/>
              <w:right w:type="dxa" w:w="120"/>
            </w:tcMar>
          </w:tcPr>
          <w:p>
            <w:pPr>
              <w:jc w:val="left"/>
            </w:pPr>
            <w:r>
              <w:rPr>
                <w:b w:val="false"/>
                <w:bCs w:val="false"/>
                <w:color w:val="000000"/>
                <w:sz w:val="20"/>
                <w:szCs w:val="20"/>
              </w:rPr>
              <w:t xml:space="preserve">Identifiant de partition Faker permettant de référencer un lot de données pré-calculé.</w:t>
            </w:r>
          </w:p>
        </w:tc>
      </w:tr>
      <w:tr>
        <w:tc>
          <w:tcPr>
            <w:tcW w:type="dxa" w:w="2600"/>
            <w:shd w:fill="E8F5E9" w:val="clear"/>
            <w:tcMar>
              <w:top w:type="dxa" w:w="80"/>
              <w:left w:type="dxa" w:w="120"/>
              <w:bottom w:type="dxa" w:w="80"/>
              <w:right w:type="dxa" w:w="120"/>
            </w:tcMar>
          </w:tcPr>
          <w:p>
            <w:pPr>
              <w:jc w:val="left"/>
            </w:pPr>
            <w:r>
              <w:rPr>
                <w:b/>
                <w:bCs/>
                <w:color w:val="000000"/>
                <w:sz w:val="20"/>
                <w:szCs w:val="20"/>
              </w:rPr>
              <w:t xml:space="preserve">Profil comportemental</w:t>
            </w:r>
          </w:p>
        </w:tc>
        <w:tc>
          <w:tcPr>
            <w:tcW w:type="dxa" w:w="6600"/>
            <w:shd w:fill="E8F5E9" w:val="clear"/>
            <w:tcMar>
              <w:top w:type="dxa" w:w="80"/>
              <w:left w:type="dxa" w:w="120"/>
              <w:bottom w:type="dxa" w:w="80"/>
              <w:right w:type="dxa" w:w="120"/>
            </w:tcMar>
          </w:tcPr>
          <w:p>
            <w:pPr>
              <w:jc w:val="left"/>
            </w:pPr>
            <w:r>
              <w:rPr>
                <w:b/>
                <w:bCs/>
                <w:color w:val="000000"/>
                <w:sz w:val="20"/>
                <w:szCs w:val="20"/>
              </w:rPr>
              <w:t xml:space="preserve">AJOUT V1.2 — Trajectoire de remboursement prédite d'un client : bon payeur, retard puis paiement, défaut partiel, défaut total.</w:t>
            </w:r>
          </w:p>
        </w:tc>
      </w:tr>
      <w:tr>
        <w:tc>
          <w:tcPr>
            <w:tcW w:type="dxa" w:w="2600"/>
            <w:shd w:fill="E8F5E9" w:val="clear"/>
            <w:tcMar>
              <w:top w:type="dxa" w:w="80"/>
              <w:left w:type="dxa" w:w="120"/>
              <w:bottom w:type="dxa" w:w="80"/>
              <w:right w:type="dxa" w:w="120"/>
            </w:tcMar>
          </w:tcPr>
          <w:p>
            <w:pPr>
              <w:jc w:val="left"/>
            </w:pPr>
            <w:r>
              <w:rPr>
                <w:b/>
                <w:bCs/>
                <w:color w:val="000000"/>
                <w:sz w:val="20"/>
                <w:szCs w:val="20"/>
              </w:rPr>
              <w:t xml:space="preserve">PAR (Portfolio At Risk)</w:t>
            </w:r>
          </w:p>
        </w:tc>
        <w:tc>
          <w:tcPr>
            <w:tcW w:type="dxa" w:w="6600"/>
            <w:shd w:fill="E8F5E9" w:val="clear"/>
            <w:tcMar>
              <w:top w:type="dxa" w:w="80"/>
              <w:left w:type="dxa" w:w="120"/>
              <w:bottom w:type="dxa" w:w="80"/>
              <w:right w:type="dxa" w:w="120"/>
            </w:tcMar>
          </w:tcPr>
          <w:p>
            <w:pPr>
              <w:jc w:val="left"/>
            </w:pPr>
            <w:r>
              <w:rPr>
                <w:b/>
                <w:bCs/>
                <w:color w:val="000000"/>
                <w:sz w:val="20"/>
                <w:szCs w:val="20"/>
              </w:rPr>
              <w:t xml:space="preserve">AJOUT V1.2 — Indicateur standard de la microfinance mesurant la proportion d'un portefeuille en retard de paiement (PAR30, PAR90).</w:t>
            </w:r>
          </w:p>
        </w:tc>
      </w:tr>
      <w:tr>
        <w:tc>
          <w:tcPr>
            <w:tcW w:type="dxa" w:w="2600"/>
            <w:shd w:fill="E8F5E9" w:val="clear"/>
            <w:tcMar>
              <w:top w:type="dxa" w:w="80"/>
              <w:left w:type="dxa" w:w="120"/>
              <w:bottom w:type="dxa" w:w="80"/>
              <w:right w:type="dxa" w:w="120"/>
            </w:tcMar>
          </w:tcPr>
          <w:p>
            <w:pPr>
              <w:jc w:val="left"/>
            </w:pPr>
            <w:r>
              <w:rPr>
                <w:b/>
                <w:bCs/>
                <w:color w:val="000000"/>
                <w:sz w:val="20"/>
                <w:szCs w:val="20"/>
              </w:rPr>
              <w:t xml:space="preserve">DPD (Days Past Due)</w:t>
            </w:r>
          </w:p>
        </w:tc>
        <w:tc>
          <w:tcPr>
            <w:tcW w:type="dxa" w:w="6600"/>
            <w:shd w:fill="E8F5E9" w:val="clear"/>
            <w:tcMar>
              <w:top w:type="dxa" w:w="80"/>
              <w:left w:type="dxa" w:w="120"/>
              <w:bottom w:type="dxa" w:w="80"/>
              <w:right w:type="dxa" w:w="120"/>
            </w:tcMar>
          </w:tcPr>
          <w:p>
            <w:pPr>
              <w:jc w:val="left"/>
            </w:pPr>
            <w:r>
              <w:rPr>
                <w:b/>
                <w:bCs/>
                <w:color w:val="000000"/>
                <w:sz w:val="20"/>
                <w:szCs w:val="20"/>
              </w:rPr>
              <w:t xml:space="preserve">AJOUT V1.2 — Nombre de jours de retard d'un paiement par rapport à son échéance.</w:t>
            </w:r>
          </w:p>
        </w:tc>
      </w:tr>
    </w:tbl>
    <w:p>
      <w:pPr>
        <w:pBdr>
          <w:top w:val="single" w:color="A5D6A7" w:sz="6" w:space="4"/>
          <w:bottom w:val="single" w:color="A5D6A7" w:sz="6" w:space="4"/>
          <w:left w:val="single" w:color="4CAF50" w:sz="24" w:space="8"/>
          <w:right w:val="single" w:color="A5D6A7" w:sz="6" w:space="4"/>
        </w:pBdr>
        <w:shd w:fill="E8F5E9" w:val="clear"/>
        <w:spacing w:after="120" w:before="120"/>
      </w:pPr>
      <w:r>
        <w:rPr>
          <w:b/>
          <w:bCs/>
          <w:color w:val="4CAF50"/>
          <w:sz w:val="22"/>
          <w:szCs w:val="22"/>
        </w:rPr>
        <w:t xml:space="preserve">AJOUT V1.2 — </w:t>
      </w:r>
      <w:r>
        <w:rPr>
          <w:i/>
          <w:iCs/>
          <w:sz w:val="22"/>
          <w:szCs w:val="22"/>
        </w:rPr>
        <w:t xml:space="preserve">Le chapitre 6.5 ci-dessous formalise les cas d'utilisation métier du Loader selon la méthodologie UML. Ces cas d'utilisation décrivent les interactions structurantes entre les acteurs du système et l'outil, sans préjuger de leur implémentation technique qui sera documentée dans le Software Design Document séparé.</w:t>
      </w:r>
    </w:p>
    <w:p>
      <w:pPr>
        <w:pStyle w:val="Heading2"/>
        <w:spacing w:after="180" w:before="360"/>
      </w:pPr>
      <w:r>
        <w:rPr>
          <w:b/>
          <w:bCs/>
          <w:color w:val="6B2E9E"/>
          <w:sz w:val="26"/>
          <w:szCs w:val="26"/>
        </w:rPr>
        <w:t xml:space="preserve">6.5 Cas d'utilisation (Use Cases) — AJOUT V1.2</w:t>
      </w:r>
    </w:p>
    <w:p>
      <w:pPr>
        <w:spacing w:after="120"/>
        <w:jc w:val="both"/>
      </w:pPr>
      <w:r>
        <w:rPr>
          <w:b w:val="false"/>
          <w:bCs w:val="false"/>
          <w:i w:val="false"/>
          <w:iCs w:val="false"/>
          <w:sz w:val="22"/>
          <w:szCs w:val="22"/>
        </w:rPr>
        <w:t xml:space="preserve">Les cas d'utilisation suivants formalisent les interactions métier structurantes du Loader. Chaque cas décrit l'acteur principal, la précondition métier, le déroulement nominal, les cas alternatifs et les exceptions.</w:t>
      </w:r>
    </w:p>
    <w:p>
      <w:pPr>
        <w:pStyle w:val="Heading3"/>
        <w:spacing w:after="120" w:before="240"/>
      </w:pPr>
      <w:r>
        <w:rPr>
          <w:b/>
          <w:bCs/>
          <w:color w:val="4CAF50"/>
          <w:sz w:val="22"/>
          <w:szCs w:val="22"/>
        </w:rPr>
        <w:t xml:space="preserve">UC-01 — Attribution du profil comportemental au client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6B2E9E" w:val="clear"/>
            <w:tcMar>
              <w:top w:type="dxa" w:w="100"/>
              <w:left w:type="dxa" w:w="120"/>
              <w:bottom w:type="dxa" w:w="100"/>
              <w:right w:type="dxa" w:w="120"/>
            </w:tcMar>
          </w:tcPr>
          <w:p>
            <w:pPr>
              <w:jc w:val="center"/>
            </w:pPr>
            <w:r>
              <w:rPr>
                <w:b/>
                <w:bCs/>
                <w:color w:val="FFFFFF"/>
                <w:sz w:val="20"/>
                <w:szCs w:val="20"/>
              </w:rPr>
              <w:t xml:space="preserve">Champ</w:t>
            </w:r>
          </w:p>
        </w:tc>
        <w:tc>
          <w:tcPr>
            <w:tcW w:type="dxa" w:w="6800"/>
            <w:shd w:fill="6B2E9E" w:val="clear"/>
            <w:tcMar>
              <w:top w:type="dxa" w:w="100"/>
              <w:left w:type="dxa" w:w="120"/>
              <w:bottom w:type="dxa" w:w="100"/>
              <w:right w:type="dxa" w:w="120"/>
            </w:tcMar>
          </w:tcPr>
          <w:p>
            <w:pPr>
              <w:jc w:val="center"/>
            </w:pPr>
            <w:r>
              <w:rPr>
                <w:b/>
                <w:bCs/>
                <w:color w:val="FFFFFF"/>
                <w:sz w:val="20"/>
                <w:szCs w:val="20"/>
              </w:rPr>
              <w:t xml:space="preserve">Contenu</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Acteur principal</w:t>
            </w:r>
          </w:p>
        </w:tc>
        <w:tc>
          <w:tcPr>
            <w:tcW w:type="dxa" w:w="6800"/>
            <w:tcMar>
              <w:top w:type="dxa" w:w="80"/>
              <w:left w:type="dxa" w:w="120"/>
              <w:bottom w:type="dxa" w:w="80"/>
              <w:right w:type="dxa" w:w="120"/>
            </w:tcMar>
          </w:tcPr>
          <w:p>
            <w:pPr>
              <w:jc w:val="left"/>
            </w:pPr>
            <w:r>
              <w:rPr>
                <w:b w:val="false"/>
                <w:bCs w:val="false"/>
                <w:color w:val="000000"/>
                <w:sz w:val="20"/>
                <w:szCs w:val="20"/>
              </w:rPr>
              <w:t xml:space="preserve">Loader (dans son rôle de générateur de population)</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Précondition</w:t>
            </w:r>
          </w:p>
        </w:tc>
        <w:tc>
          <w:tcPr>
            <w:tcW w:type="dxa" w:w="6800"/>
            <w:tcMar>
              <w:top w:type="dxa" w:w="80"/>
              <w:left w:type="dxa" w:w="120"/>
              <w:bottom w:type="dxa" w:w="80"/>
              <w:right w:type="dxa" w:w="120"/>
            </w:tcMar>
          </w:tcPr>
          <w:p>
            <w:pPr>
              <w:jc w:val="left"/>
            </w:pPr>
            <w:r>
              <w:rPr>
                <w:b w:val="false"/>
                <w:bCs w:val="false"/>
                <w:color w:val="000000"/>
                <w:sz w:val="20"/>
                <w:szCs w:val="20"/>
              </w:rPr>
              <w:t xml:space="preserve">Un client vient d'être généré à partir d'un payload Faker complet.</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Déclencheur</w:t>
            </w:r>
          </w:p>
        </w:tc>
        <w:tc>
          <w:tcPr>
            <w:tcW w:type="dxa" w:w="6800"/>
            <w:tcMar>
              <w:top w:type="dxa" w:w="80"/>
              <w:left w:type="dxa" w:w="120"/>
              <w:bottom w:type="dxa" w:w="80"/>
              <w:right w:type="dxa" w:w="120"/>
            </w:tcMar>
          </w:tcPr>
          <w:p>
            <w:pPr>
              <w:jc w:val="left"/>
            </w:pPr>
            <w:r>
              <w:rPr>
                <w:b w:val="false"/>
                <w:bCs w:val="false"/>
                <w:color w:val="000000"/>
                <w:sz w:val="20"/>
                <w:szCs w:val="20"/>
              </w:rPr>
              <w:t xml:space="preserve">Création d'un nouveau CollectClient dans le pipeline de génération.</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Postcondition</w:t>
            </w:r>
          </w:p>
        </w:tc>
        <w:tc>
          <w:tcPr>
            <w:tcW w:type="dxa" w:w="6800"/>
            <w:tcMar>
              <w:top w:type="dxa" w:w="80"/>
              <w:left w:type="dxa" w:w="120"/>
              <w:bottom w:type="dxa" w:w="80"/>
              <w:right w:type="dxa" w:w="120"/>
            </w:tcMar>
          </w:tcPr>
          <w:p>
            <w:pPr>
              <w:jc w:val="left"/>
            </w:pPr>
            <w:r>
              <w:rPr>
                <w:b w:val="false"/>
                <w:bCs w:val="false"/>
                <w:color w:val="000000"/>
                <w:sz w:val="20"/>
                <w:szCs w:val="20"/>
              </w:rPr>
              <w:t xml:space="preserve">Le client possède un profil comportemental attribué parmi les quatre valeurs officielles.</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Scénario nominal</w:t>
            </w:r>
          </w:p>
        </w:tc>
        <w:tc>
          <w:tcPr>
            <w:tcW w:type="dxa" w:w="6800"/>
            <w:tcMar>
              <w:top w:type="dxa" w:w="80"/>
              <w:left w:type="dxa" w:w="120"/>
              <w:bottom w:type="dxa" w:w="80"/>
              <w:right w:type="dxa" w:w="120"/>
            </w:tcMar>
          </w:tcPr>
          <w:p>
            <w:pPr>
              <w:jc w:val="left"/>
            </w:pPr>
            <w:r>
              <w:rPr>
                <w:b w:val="false"/>
                <w:bCs w:val="false"/>
                <w:color w:val="000000"/>
                <w:sz w:val="20"/>
                <w:szCs w:val="20"/>
              </w:rPr>
              <w:t xml:space="preserve">1) Le Loader lit les caractéristiques du client. 2) Le Loader applique les règles de pondération contextuelle documentées en Annexe D. 3) Le Loader tire un profil pondéré parmi bon payeur, retard puis paiement, défaut partiel, défaut total. 4) Le profil est enregistré sur le client.</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Cas alternatif</w:t>
            </w:r>
          </w:p>
        </w:tc>
        <w:tc>
          <w:tcPr>
            <w:tcW w:type="dxa" w:w="6800"/>
            <w:tcMar>
              <w:top w:type="dxa" w:w="80"/>
              <w:left w:type="dxa" w:w="120"/>
              <w:bottom w:type="dxa" w:w="80"/>
              <w:right w:type="dxa" w:w="120"/>
            </w:tcMar>
          </w:tcPr>
          <w:p>
            <w:pPr>
              <w:jc w:val="left"/>
            </w:pPr>
            <w:r>
              <w:rPr>
                <w:b w:val="false"/>
                <w:bCs w:val="false"/>
                <w:color w:val="000000"/>
                <w:sz w:val="20"/>
                <w:szCs w:val="20"/>
              </w:rPr>
              <w:t xml:space="preserve">Si une caractéristique est absente du payload, la règle de pondération correspondante est ignorée sans erreur.</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Exception</w:t>
            </w:r>
          </w:p>
        </w:tc>
        <w:tc>
          <w:tcPr>
            <w:tcW w:type="dxa" w:w="6800"/>
            <w:tcMar>
              <w:top w:type="dxa" w:w="80"/>
              <w:left w:type="dxa" w:w="120"/>
              <w:bottom w:type="dxa" w:w="80"/>
              <w:right w:type="dxa" w:w="120"/>
            </w:tcMar>
          </w:tcPr>
          <w:p>
            <w:pPr>
              <w:jc w:val="left"/>
            </w:pPr>
            <w:r>
              <w:rPr>
                <w:b w:val="false"/>
                <w:bCs w:val="false"/>
                <w:color w:val="000000"/>
                <w:sz w:val="20"/>
                <w:szCs w:val="20"/>
              </w:rPr>
              <w:t xml:space="preserve">Si le payload client est incomplet au point de rendre l'attribution impossible, l'exécution est journalisée et le client est ignoré.</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Exigences couvertes</w:t>
            </w:r>
          </w:p>
        </w:tc>
        <w:tc>
          <w:tcPr>
            <w:tcW w:type="dxa" w:w="6800"/>
            <w:tcMar>
              <w:top w:type="dxa" w:w="80"/>
              <w:left w:type="dxa" w:w="120"/>
              <w:bottom w:type="dxa" w:w="80"/>
              <w:right w:type="dxa" w:w="120"/>
            </w:tcMar>
          </w:tcPr>
          <w:p>
            <w:pPr>
              <w:jc w:val="left"/>
            </w:pPr>
            <w:r>
              <w:rPr>
                <w:b w:val="false"/>
                <w:bCs w:val="false"/>
                <w:color w:val="000000"/>
                <w:sz w:val="20"/>
                <w:szCs w:val="20"/>
              </w:rPr>
              <w:t xml:space="preserve">EF-67, EF-68</w:t>
            </w:r>
          </w:p>
        </w:tc>
      </w:tr>
    </w:tbl>
    <w:p>
      <w:pPr>
        <w:spacing w:after="120"/>
        <w:jc w:val="both"/>
      </w:pPr>
      <w:r>
        <w:rPr>
          <w:b w:val="false"/>
          <w:bCs w:val="false"/>
          <w:i w:val="false"/>
          <w:iCs w:val="false"/>
          <w:sz w:val="22"/>
          <w:szCs w:val="22"/>
        </w:rPr>
        <w:t xml:space="preserve"/>
      </w:r>
    </w:p>
    <w:p>
      <w:pPr>
        <w:pStyle w:val="Heading3"/>
        <w:spacing w:after="120" w:before="240"/>
      </w:pPr>
      <w:r>
        <w:rPr>
          <w:b/>
          <w:bCs/>
          <w:color w:val="4CAF50"/>
          <w:sz w:val="22"/>
          <w:szCs w:val="22"/>
        </w:rPr>
        <w:t xml:space="preserve">UC-02 — Génération d'un prêt pour un client éligible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6B2E9E" w:val="clear"/>
            <w:tcMar>
              <w:top w:type="dxa" w:w="100"/>
              <w:left w:type="dxa" w:w="120"/>
              <w:bottom w:type="dxa" w:w="100"/>
              <w:right w:type="dxa" w:w="120"/>
            </w:tcMar>
          </w:tcPr>
          <w:p>
            <w:pPr>
              <w:jc w:val="center"/>
            </w:pPr>
            <w:r>
              <w:rPr>
                <w:b/>
                <w:bCs/>
                <w:color w:val="FFFFFF"/>
                <w:sz w:val="20"/>
                <w:szCs w:val="20"/>
              </w:rPr>
              <w:t xml:space="preserve">Champ</w:t>
            </w:r>
          </w:p>
        </w:tc>
        <w:tc>
          <w:tcPr>
            <w:tcW w:type="dxa" w:w="6800"/>
            <w:shd w:fill="6B2E9E" w:val="clear"/>
            <w:tcMar>
              <w:top w:type="dxa" w:w="100"/>
              <w:left w:type="dxa" w:w="120"/>
              <w:bottom w:type="dxa" w:w="100"/>
              <w:right w:type="dxa" w:w="120"/>
            </w:tcMar>
          </w:tcPr>
          <w:p>
            <w:pPr>
              <w:jc w:val="center"/>
            </w:pPr>
            <w:r>
              <w:rPr>
                <w:b/>
                <w:bCs/>
                <w:color w:val="FFFFFF"/>
                <w:sz w:val="20"/>
                <w:szCs w:val="20"/>
              </w:rPr>
              <w:t xml:space="preserve">Contenu</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Acteur principal</w:t>
            </w:r>
          </w:p>
        </w:tc>
        <w:tc>
          <w:tcPr>
            <w:tcW w:type="dxa" w:w="6800"/>
            <w:tcMar>
              <w:top w:type="dxa" w:w="80"/>
              <w:left w:type="dxa" w:w="120"/>
              <w:bottom w:type="dxa" w:w="80"/>
              <w:right w:type="dxa" w:w="120"/>
            </w:tcMar>
          </w:tcPr>
          <w:p>
            <w:pPr>
              <w:jc w:val="left"/>
            </w:pPr>
            <w:r>
              <w:rPr>
                <w:b w:val="false"/>
                <w:bCs w:val="false"/>
                <w:color w:val="000000"/>
                <w:sz w:val="20"/>
                <w:szCs w:val="20"/>
              </w:rPr>
              <w:t xml:space="preserve">Loader (dans son rôle de générateur d'historique de crédit)</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Précondition</w:t>
            </w:r>
          </w:p>
        </w:tc>
        <w:tc>
          <w:tcPr>
            <w:tcW w:type="dxa" w:w="6800"/>
            <w:tcMar>
              <w:top w:type="dxa" w:w="80"/>
              <w:left w:type="dxa" w:w="120"/>
              <w:bottom w:type="dxa" w:w="80"/>
              <w:right w:type="dxa" w:w="120"/>
            </w:tcMar>
          </w:tcPr>
          <w:p>
            <w:pPr>
              <w:jc w:val="left"/>
            </w:pPr>
            <w:r>
              <w:rPr>
                <w:b w:val="false"/>
                <w:bCs w:val="false"/>
                <w:color w:val="000000"/>
                <w:sz w:val="20"/>
                <w:szCs w:val="20"/>
              </w:rPr>
              <w:t xml:space="preserve">Le client existe, possède un profil comportemental et un segment de risque. Le catalogue produits officiel est chargé.</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Déclencheur</w:t>
            </w:r>
          </w:p>
        </w:tc>
        <w:tc>
          <w:tcPr>
            <w:tcW w:type="dxa" w:w="6800"/>
            <w:tcMar>
              <w:top w:type="dxa" w:w="80"/>
              <w:left w:type="dxa" w:w="120"/>
              <w:bottom w:type="dxa" w:w="80"/>
              <w:right w:type="dxa" w:w="120"/>
            </w:tcMar>
          </w:tcPr>
          <w:p>
            <w:pPr>
              <w:jc w:val="left"/>
            </w:pPr>
            <w:r>
              <w:rPr>
                <w:b w:val="false"/>
                <w:bCs w:val="false"/>
                <w:color w:val="000000"/>
                <w:sz w:val="20"/>
                <w:szCs w:val="20"/>
              </w:rPr>
              <w:t xml:space="preserve">Décision d'éligibilité au crédit prise pour le client.</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Postcondition</w:t>
            </w:r>
          </w:p>
        </w:tc>
        <w:tc>
          <w:tcPr>
            <w:tcW w:type="dxa" w:w="6800"/>
            <w:tcMar>
              <w:top w:type="dxa" w:w="80"/>
              <w:left w:type="dxa" w:w="120"/>
              <w:bottom w:type="dxa" w:w="80"/>
              <w:right w:type="dxa" w:w="120"/>
            </w:tcMar>
          </w:tcPr>
          <w:p>
            <w:pPr>
              <w:jc w:val="left"/>
            </w:pPr>
            <w:r>
              <w:rPr>
                <w:b w:val="false"/>
                <w:bCs w:val="false"/>
                <w:color w:val="000000"/>
                <w:sz w:val="20"/>
                <w:szCs w:val="20"/>
              </w:rPr>
              <w:t xml:space="preserve">Un prêt est créé, référencé au client, avec un montant et une durée conformes au catalogue produits.</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Scénario nominal</w:t>
            </w:r>
          </w:p>
        </w:tc>
        <w:tc>
          <w:tcPr>
            <w:tcW w:type="dxa" w:w="6800"/>
            <w:tcMar>
              <w:top w:type="dxa" w:w="80"/>
              <w:left w:type="dxa" w:w="120"/>
              <w:bottom w:type="dxa" w:w="80"/>
              <w:right w:type="dxa" w:w="120"/>
            </w:tcMar>
          </w:tcPr>
          <w:p>
            <w:pPr>
              <w:jc w:val="left"/>
            </w:pPr>
            <w:r>
              <w:rPr>
                <w:b w:val="false"/>
                <w:bCs w:val="false"/>
                <w:color w:val="000000"/>
                <w:sz w:val="20"/>
                <w:szCs w:val="20"/>
              </w:rPr>
              <w:t xml:space="preserve">1) Le Loader sélectionne les produits compatibles avec la catégorie du client (Individual ou Business). 2) Le Loader détermine la fourchette de montant selon le segment de risque du client. 3) Le Loader tire un montant dans la fourchette. 4) Le prêt est créé avec statut initial.</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Cas alternatif</w:t>
            </w:r>
          </w:p>
        </w:tc>
        <w:tc>
          <w:tcPr>
            <w:tcW w:type="dxa" w:w="6800"/>
            <w:tcMar>
              <w:top w:type="dxa" w:w="80"/>
              <w:left w:type="dxa" w:w="120"/>
              <w:bottom w:type="dxa" w:w="80"/>
              <w:right w:type="dxa" w:w="120"/>
            </w:tcMar>
          </w:tcPr>
          <w:p>
            <w:pPr>
              <w:jc w:val="left"/>
            </w:pPr>
            <w:r>
              <w:rPr>
                <w:b w:val="false"/>
                <w:bCs w:val="false"/>
                <w:color w:val="000000"/>
                <w:sz w:val="20"/>
                <w:szCs w:val="20"/>
              </w:rPr>
              <w:t xml:space="preserve">Si aucun produit ne correspond à la catégorie du client, la génération de prêt est ignorée pour ce client.</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Exception</w:t>
            </w:r>
          </w:p>
        </w:tc>
        <w:tc>
          <w:tcPr>
            <w:tcW w:type="dxa" w:w="6800"/>
            <w:tcMar>
              <w:top w:type="dxa" w:w="80"/>
              <w:left w:type="dxa" w:w="120"/>
              <w:bottom w:type="dxa" w:w="80"/>
              <w:right w:type="dxa" w:w="120"/>
            </w:tcMar>
          </w:tcPr>
          <w:p>
            <w:pPr>
              <w:jc w:val="left"/>
            </w:pPr>
            <w:r>
              <w:rPr>
                <w:b w:val="false"/>
                <w:bCs w:val="false"/>
                <w:color w:val="000000"/>
                <w:sz w:val="20"/>
                <w:szCs w:val="20"/>
              </w:rPr>
              <w:t xml:space="preserve">Si le catalogue produits est absent ou corrompu, l'exécution globale est interrompue avec journalisation explicite.</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Exigences couvertes</w:t>
            </w:r>
          </w:p>
        </w:tc>
        <w:tc>
          <w:tcPr>
            <w:tcW w:type="dxa" w:w="6800"/>
            <w:tcMar>
              <w:top w:type="dxa" w:w="80"/>
              <w:left w:type="dxa" w:w="120"/>
              <w:bottom w:type="dxa" w:w="80"/>
              <w:right w:type="dxa" w:w="120"/>
            </w:tcMar>
          </w:tcPr>
          <w:p>
            <w:pPr>
              <w:jc w:val="left"/>
            </w:pPr>
            <w:r>
              <w:rPr>
                <w:b w:val="false"/>
                <w:bCs w:val="false"/>
                <w:color w:val="000000"/>
                <w:sz w:val="20"/>
                <w:szCs w:val="20"/>
              </w:rPr>
              <w:t xml:space="preserve">EF-69, EF-70</w:t>
            </w:r>
          </w:p>
        </w:tc>
      </w:tr>
    </w:tbl>
    <w:p>
      <w:pPr>
        <w:spacing w:after="120"/>
        <w:jc w:val="both"/>
      </w:pPr>
      <w:r>
        <w:rPr>
          <w:b w:val="false"/>
          <w:bCs w:val="false"/>
          <w:i w:val="false"/>
          <w:iCs w:val="false"/>
          <w:sz w:val="22"/>
          <w:szCs w:val="22"/>
        </w:rPr>
        <w:t xml:space="preserve"/>
      </w:r>
    </w:p>
    <w:p>
      <w:pPr>
        <w:pStyle w:val="Heading3"/>
        <w:spacing w:after="120" w:before="240"/>
      </w:pPr>
      <w:r>
        <w:rPr>
          <w:b/>
          <w:bCs/>
          <w:color w:val="4CAF50"/>
          <w:sz w:val="22"/>
          <w:szCs w:val="22"/>
        </w:rPr>
        <w:t xml:space="preserve">UC-03 — Simulation du cycle de remboursement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6B2E9E" w:val="clear"/>
            <w:tcMar>
              <w:top w:type="dxa" w:w="100"/>
              <w:left w:type="dxa" w:w="120"/>
              <w:bottom w:type="dxa" w:w="100"/>
              <w:right w:type="dxa" w:w="120"/>
            </w:tcMar>
          </w:tcPr>
          <w:p>
            <w:pPr>
              <w:jc w:val="center"/>
            </w:pPr>
            <w:r>
              <w:rPr>
                <w:b/>
                <w:bCs/>
                <w:color w:val="FFFFFF"/>
                <w:sz w:val="20"/>
                <w:szCs w:val="20"/>
              </w:rPr>
              <w:t xml:space="preserve">Champ</w:t>
            </w:r>
          </w:p>
        </w:tc>
        <w:tc>
          <w:tcPr>
            <w:tcW w:type="dxa" w:w="6800"/>
            <w:shd w:fill="6B2E9E" w:val="clear"/>
            <w:tcMar>
              <w:top w:type="dxa" w:w="100"/>
              <w:left w:type="dxa" w:w="120"/>
              <w:bottom w:type="dxa" w:w="100"/>
              <w:right w:type="dxa" w:w="120"/>
            </w:tcMar>
          </w:tcPr>
          <w:p>
            <w:pPr>
              <w:jc w:val="center"/>
            </w:pPr>
            <w:r>
              <w:rPr>
                <w:b/>
                <w:bCs/>
                <w:color w:val="FFFFFF"/>
                <w:sz w:val="20"/>
                <w:szCs w:val="20"/>
              </w:rPr>
              <w:t xml:space="preserve">Contenu</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Acteur principal</w:t>
            </w:r>
          </w:p>
        </w:tc>
        <w:tc>
          <w:tcPr>
            <w:tcW w:type="dxa" w:w="6800"/>
            <w:tcMar>
              <w:top w:type="dxa" w:w="80"/>
              <w:left w:type="dxa" w:w="120"/>
              <w:bottom w:type="dxa" w:w="80"/>
              <w:right w:type="dxa" w:w="120"/>
            </w:tcMar>
          </w:tcPr>
          <w:p>
            <w:pPr>
              <w:jc w:val="left"/>
            </w:pPr>
            <w:r>
              <w:rPr>
                <w:b w:val="false"/>
                <w:bCs w:val="false"/>
                <w:color w:val="000000"/>
                <w:sz w:val="20"/>
                <w:szCs w:val="20"/>
              </w:rPr>
              <w:t xml:space="preserve">Loader (dans son rôle de simulateur comportemental)</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Précondition</w:t>
            </w:r>
          </w:p>
        </w:tc>
        <w:tc>
          <w:tcPr>
            <w:tcW w:type="dxa" w:w="6800"/>
            <w:tcMar>
              <w:top w:type="dxa" w:w="80"/>
              <w:left w:type="dxa" w:w="120"/>
              <w:bottom w:type="dxa" w:w="80"/>
              <w:right w:type="dxa" w:w="120"/>
            </w:tcMar>
          </w:tcPr>
          <w:p>
            <w:pPr>
              <w:jc w:val="left"/>
            </w:pPr>
            <w:r>
              <w:rPr>
                <w:b w:val="false"/>
                <w:bCs w:val="false"/>
                <w:color w:val="000000"/>
                <w:sz w:val="20"/>
                <w:szCs w:val="20"/>
              </w:rPr>
              <w:t xml:space="preserve">Un prêt existe avec un client possédant un profil comportemental.</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Déclencheur</w:t>
            </w:r>
          </w:p>
        </w:tc>
        <w:tc>
          <w:tcPr>
            <w:tcW w:type="dxa" w:w="6800"/>
            <w:tcMar>
              <w:top w:type="dxa" w:w="80"/>
              <w:left w:type="dxa" w:w="120"/>
              <w:bottom w:type="dxa" w:w="80"/>
              <w:right w:type="dxa" w:w="120"/>
            </w:tcMar>
          </w:tcPr>
          <w:p>
            <w:pPr>
              <w:jc w:val="left"/>
            </w:pPr>
            <w:r>
              <w:rPr>
                <w:b w:val="false"/>
                <w:bCs w:val="false"/>
                <w:color w:val="000000"/>
                <w:sz w:val="20"/>
                <w:szCs w:val="20"/>
              </w:rPr>
              <w:t xml:space="preserve">Création d'un nouveau prêt via UC-02.</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Postcondition</w:t>
            </w:r>
          </w:p>
        </w:tc>
        <w:tc>
          <w:tcPr>
            <w:tcW w:type="dxa" w:w="6800"/>
            <w:tcMar>
              <w:top w:type="dxa" w:w="80"/>
              <w:left w:type="dxa" w:w="120"/>
              <w:bottom w:type="dxa" w:w="80"/>
              <w:right w:type="dxa" w:w="120"/>
            </w:tcMar>
          </w:tcPr>
          <w:p>
            <w:pPr>
              <w:jc w:val="left"/>
            </w:pPr>
            <w:r>
              <w:rPr>
                <w:b w:val="false"/>
                <w:bCs w:val="false"/>
                <w:color w:val="000000"/>
                <w:sz w:val="20"/>
                <w:szCs w:val="20"/>
              </w:rPr>
              <w:t xml:space="preserve">Le prêt est clôturé avec un statut cohérent (remboursé, en défaut, ou en cours) et une séquence d'événements de remboursement est enregistrée.</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Scénario nominal</w:t>
            </w:r>
          </w:p>
        </w:tc>
        <w:tc>
          <w:tcPr>
            <w:tcW w:type="dxa" w:w="6800"/>
            <w:tcMar>
              <w:top w:type="dxa" w:w="80"/>
              <w:left w:type="dxa" w:w="120"/>
              <w:bottom w:type="dxa" w:w="80"/>
              <w:right w:type="dxa" w:w="120"/>
            </w:tcMar>
          </w:tcPr>
          <w:p>
            <w:pPr>
              <w:jc w:val="left"/>
            </w:pPr>
            <w:r>
              <w:rPr>
                <w:b w:val="false"/>
                <w:bCs w:val="false"/>
                <w:color w:val="000000"/>
                <w:sz w:val="20"/>
                <w:szCs w:val="20"/>
              </w:rPr>
              <w:t xml:space="preserve">1) Le Loader lit le profil comportemental du client. 2) Le Loader construit la séquence d'événements attendue pour ce profil. 3) Pour un bon payeur : trois remboursements progressifs avant échéance. Pour retard puis paiement : remboursement partiel puis complet avec retard. Pour défaut partiel : remboursement partiel puis retards croissants. Pour défaut total : aucun remboursement, jalons de retard uniquement. 4) Les événements sont horodatés rétroactivement sur les 90 derniers jours.</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Cas alternatif</w:t>
            </w:r>
          </w:p>
        </w:tc>
        <w:tc>
          <w:tcPr>
            <w:tcW w:type="dxa" w:w="6800"/>
            <w:tcMar>
              <w:top w:type="dxa" w:w="80"/>
              <w:left w:type="dxa" w:w="120"/>
              <w:bottom w:type="dxa" w:w="80"/>
              <w:right w:type="dxa" w:w="120"/>
            </w:tcMar>
          </w:tcPr>
          <w:p>
            <w:pPr>
              <w:jc w:val="left"/>
            </w:pPr>
            <w:r>
              <w:rPr>
                <w:b w:val="false"/>
                <w:bCs w:val="false"/>
                <w:color w:val="000000"/>
                <w:sz w:val="20"/>
                <w:szCs w:val="20"/>
              </w:rPr>
              <w:t xml:space="preserve">Si la compression temporelle est activée, les événements sont joués en temps réel compressé pour observation en démonstration.</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Exception</w:t>
            </w:r>
          </w:p>
        </w:tc>
        <w:tc>
          <w:tcPr>
            <w:tcW w:type="dxa" w:w="6800"/>
            <w:tcMar>
              <w:top w:type="dxa" w:w="80"/>
              <w:left w:type="dxa" w:w="120"/>
              <w:bottom w:type="dxa" w:w="80"/>
              <w:right w:type="dxa" w:w="120"/>
            </w:tcMar>
          </w:tcPr>
          <w:p>
            <w:pPr>
              <w:jc w:val="left"/>
            </w:pPr>
            <w:r>
              <w:rPr>
                <w:b w:val="false"/>
                <w:bCs w:val="false"/>
                <w:color w:val="000000"/>
                <w:sz w:val="20"/>
                <w:szCs w:val="20"/>
              </w:rPr>
              <w:t xml:space="preserve">Aucune exception métier attendue. Toute anomalie technique est journalisée.</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Exigences couvertes</w:t>
            </w:r>
          </w:p>
        </w:tc>
        <w:tc>
          <w:tcPr>
            <w:tcW w:type="dxa" w:w="6800"/>
            <w:tcMar>
              <w:top w:type="dxa" w:w="80"/>
              <w:left w:type="dxa" w:w="120"/>
              <w:bottom w:type="dxa" w:w="80"/>
              <w:right w:type="dxa" w:w="120"/>
            </w:tcMar>
          </w:tcPr>
          <w:p>
            <w:pPr>
              <w:jc w:val="left"/>
            </w:pPr>
            <w:r>
              <w:rPr>
                <w:b w:val="false"/>
                <w:bCs w:val="false"/>
                <w:color w:val="000000"/>
                <w:sz w:val="20"/>
                <w:szCs w:val="20"/>
              </w:rPr>
              <w:t xml:space="preserve">EF-70, EF-71</w:t>
            </w:r>
          </w:p>
        </w:tc>
      </w:tr>
    </w:tbl>
    <w:p>
      <w:pPr>
        <w:spacing w:after="120"/>
        <w:jc w:val="both"/>
      </w:pPr>
      <w:r>
        <w:rPr>
          <w:b w:val="false"/>
          <w:bCs w:val="false"/>
          <w:i w:val="false"/>
          <w:iCs w:val="false"/>
          <w:sz w:val="22"/>
          <w:szCs w:val="22"/>
        </w:rPr>
        <w:t xml:space="preserve"/>
      </w:r>
    </w:p>
    <w:p>
      <w:pPr>
        <w:pStyle w:val="Heading3"/>
        <w:spacing w:after="120" w:before="240"/>
      </w:pPr>
      <w:r>
        <w:rPr>
          <w:b/>
          <w:bCs/>
          <w:color w:val="4CAF50"/>
          <w:sz w:val="22"/>
          <w:szCs w:val="22"/>
        </w:rPr>
        <w:t xml:space="preserve">UC-04 — Alimentation du compte financier du client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6B2E9E" w:val="clear"/>
            <w:tcMar>
              <w:top w:type="dxa" w:w="100"/>
              <w:left w:type="dxa" w:w="120"/>
              <w:bottom w:type="dxa" w:w="100"/>
              <w:right w:type="dxa" w:w="120"/>
            </w:tcMar>
          </w:tcPr>
          <w:p>
            <w:pPr>
              <w:jc w:val="center"/>
            </w:pPr>
            <w:r>
              <w:rPr>
                <w:b/>
                <w:bCs/>
                <w:color w:val="FFFFFF"/>
                <w:sz w:val="20"/>
                <w:szCs w:val="20"/>
              </w:rPr>
              <w:t xml:space="preserve">Champ</w:t>
            </w:r>
          </w:p>
        </w:tc>
        <w:tc>
          <w:tcPr>
            <w:tcW w:type="dxa" w:w="6800"/>
            <w:shd w:fill="6B2E9E" w:val="clear"/>
            <w:tcMar>
              <w:top w:type="dxa" w:w="100"/>
              <w:left w:type="dxa" w:w="120"/>
              <w:bottom w:type="dxa" w:w="100"/>
              <w:right w:type="dxa" w:w="120"/>
            </w:tcMar>
          </w:tcPr>
          <w:p>
            <w:pPr>
              <w:jc w:val="center"/>
            </w:pPr>
            <w:r>
              <w:rPr>
                <w:b/>
                <w:bCs/>
                <w:color w:val="FFFFFF"/>
                <w:sz w:val="20"/>
                <w:szCs w:val="20"/>
              </w:rPr>
              <w:t xml:space="preserve">Contenu</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Acteur principal</w:t>
            </w:r>
          </w:p>
        </w:tc>
        <w:tc>
          <w:tcPr>
            <w:tcW w:type="dxa" w:w="6800"/>
            <w:tcMar>
              <w:top w:type="dxa" w:w="80"/>
              <w:left w:type="dxa" w:w="120"/>
              <w:bottom w:type="dxa" w:w="80"/>
              <w:right w:type="dxa" w:w="120"/>
            </w:tcMar>
          </w:tcPr>
          <w:p>
            <w:pPr>
              <w:jc w:val="left"/>
            </w:pPr>
            <w:r>
              <w:rPr>
                <w:b w:val="false"/>
                <w:bCs w:val="false"/>
                <w:color w:val="000000"/>
                <w:sz w:val="20"/>
                <w:szCs w:val="20"/>
              </w:rPr>
              <w:t xml:space="preserve">Loader (dans son rôle de gestionnaire des soldes)</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Précondition</w:t>
            </w:r>
          </w:p>
        </w:tc>
        <w:tc>
          <w:tcPr>
            <w:tcW w:type="dxa" w:w="6800"/>
            <w:tcMar>
              <w:top w:type="dxa" w:w="80"/>
              <w:left w:type="dxa" w:w="120"/>
              <w:bottom w:type="dxa" w:w="80"/>
              <w:right w:type="dxa" w:w="120"/>
            </w:tcMar>
          </w:tcPr>
          <w:p>
            <w:pPr>
              <w:jc w:val="left"/>
            </w:pPr>
            <w:r>
              <w:rPr>
                <w:b w:val="false"/>
                <w:bCs w:val="false"/>
                <w:color w:val="000000"/>
                <w:sz w:val="20"/>
                <w:szCs w:val="20"/>
              </w:rPr>
              <w:t xml:space="preserve">Le client existe avec un compte financier. Un événement de décaissement ou de remboursement est déclenché.</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Déclencheur</w:t>
            </w:r>
          </w:p>
        </w:tc>
        <w:tc>
          <w:tcPr>
            <w:tcW w:type="dxa" w:w="6800"/>
            <w:tcMar>
              <w:top w:type="dxa" w:w="80"/>
              <w:left w:type="dxa" w:w="120"/>
              <w:bottom w:type="dxa" w:w="80"/>
              <w:right w:type="dxa" w:w="120"/>
            </w:tcMar>
          </w:tcPr>
          <w:p>
            <w:pPr>
              <w:jc w:val="left"/>
            </w:pPr>
            <w:r>
              <w:rPr>
                <w:b w:val="false"/>
                <w:bCs w:val="false"/>
                <w:color w:val="000000"/>
                <w:sz w:val="20"/>
                <w:szCs w:val="20"/>
              </w:rPr>
              <w:t xml:space="preserve">Trois déclencheurs possibles : création du compte, décaissement d'un prêt, remboursement d'un prêt.</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Postcondition</w:t>
            </w:r>
          </w:p>
        </w:tc>
        <w:tc>
          <w:tcPr>
            <w:tcW w:type="dxa" w:w="6800"/>
            <w:tcMar>
              <w:top w:type="dxa" w:w="80"/>
              <w:left w:type="dxa" w:w="120"/>
              <w:bottom w:type="dxa" w:w="80"/>
              <w:right w:type="dxa" w:w="120"/>
            </w:tcMar>
          </w:tcPr>
          <w:p>
            <w:pPr>
              <w:jc w:val="left"/>
            </w:pPr>
            <w:r>
              <w:rPr>
                <w:b w:val="false"/>
                <w:bCs w:val="false"/>
                <w:color w:val="000000"/>
                <w:sz w:val="20"/>
                <w:szCs w:val="20"/>
              </w:rPr>
              <w:t xml:space="preserve">Le solde du compte reflète le mouvement financier attendu et son historique de transactions est mis à jour.</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Scénario nominal</w:t>
            </w:r>
          </w:p>
        </w:tc>
        <w:tc>
          <w:tcPr>
            <w:tcW w:type="dxa" w:w="6800"/>
            <w:tcMar>
              <w:top w:type="dxa" w:w="80"/>
              <w:left w:type="dxa" w:w="120"/>
              <w:bottom w:type="dxa" w:w="80"/>
              <w:right w:type="dxa" w:w="120"/>
            </w:tcMar>
          </w:tcPr>
          <w:p>
            <w:pPr>
              <w:jc w:val="left"/>
            </w:pPr>
            <w:r>
              <w:rPr>
                <w:b w:val="false"/>
                <w:bCs w:val="false"/>
                <w:color w:val="000000"/>
                <w:sz w:val="20"/>
                <w:szCs w:val="20"/>
              </w:rPr>
              <w:t xml:space="preserve">1) À la création du compte, le Loader dépose un solde initial dérivé du montant Mobile Money du payload Faker. 2) À chaque décaissement de prêt, le Loader crédite le compte du montant du capital. 3) À chaque remboursement, le Loader débite le compte du montant remboursé.</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Cas alternatif</w:t>
            </w:r>
          </w:p>
        </w:tc>
        <w:tc>
          <w:tcPr>
            <w:tcW w:type="dxa" w:w="6800"/>
            <w:tcMar>
              <w:top w:type="dxa" w:w="80"/>
              <w:left w:type="dxa" w:w="120"/>
              <w:bottom w:type="dxa" w:w="80"/>
              <w:right w:type="dxa" w:w="120"/>
            </w:tcMar>
          </w:tcPr>
          <w:p>
            <w:pPr>
              <w:jc w:val="left"/>
            </w:pPr>
            <w:r>
              <w:rPr>
                <w:b w:val="false"/>
                <w:bCs w:val="false"/>
                <w:color w:val="000000"/>
                <w:sz w:val="20"/>
                <w:szCs w:val="20"/>
              </w:rPr>
              <w:t xml:space="preserve">Aucun cas alternatif métier — la mécanique d'alimentation est déterministe.</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Exception</w:t>
            </w:r>
          </w:p>
        </w:tc>
        <w:tc>
          <w:tcPr>
            <w:tcW w:type="dxa" w:w="6800"/>
            <w:tcMar>
              <w:top w:type="dxa" w:w="80"/>
              <w:left w:type="dxa" w:w="120"/>
              <w:bottom w:type="dxa" w:w="80"/>
              <w:right w:type="dxa" w:w="120"/>
            </w:tcMar>
          </w:tcPr>
          <w:p>
            <w:pPr>
              <w:jc w:val="left"/>
            </w:pPr>
            <w:r>
              <w:rPr>
                <w:b w:val="false"/>
                <w:bCs w:val="false"/>
                <w:color w:val="000000"/>
                <w:sz w:val="20"/>
                <w:szCs w:val="20"/>
              </w:rPr>
              <w:t xml:space="preserve">Si le solde du compte ne permet pas d'honorer un débit (remboursement supérieur au solde disponible), l'événement est journalisé et le remboursement est marqué en échec (comportement cohérent avec un profil de défaut).</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Exigences couvertes</w:t>
            </w:r>
          </w:p>
        </w:tc>
        <w:tc>
          <w:tcPr>
            <w:tcW w:type="dxa" w:w="6800"/>
            <w:tcMar>
              <w:top w:type="dxa" w:w="80"/>
              <w:left w:type="dxa" w:w="120"/>
              <w:bottom w:type="dxa" w:w="80"/>
              <w:right w:type="dxa" w:w="120"/>
            </w:tcMar>
          </w:tcPr>
          <w:p>
            <w:pPr>
              <w:jc w:val="left"/>
            </w:pPr>
            <w:r>
              <w:rPr>
                <w:b w:val="false"/>
                <w:bCs w:val="false"/>
                <w:color w:val="000000"/>
                <w:sz w:val="20"/>
                <w:szCs w:val="20"/>
              </w:rPr>
              <w:t xml:space="preserve">EF-73, EF-74, EF-75</w:t>
            </w:r>
          </w:p>
        </w:tc>
      </w:tr>
    </w:tbl>
    <w:p>
      <w:pPr>
        <w:spacing w:after="120"/>
        <w:jc w:val="both"/>
      </w:pPr>
      <w:r>
        <w:rPr>
          <w:b w:val="false"/>
          <w:bCs w:val="false"/>
          <w:i w:val="false"/>
          <w:iCs w:val="false"/>
          <w:sz w:val="22"/>
          <w:szCs w:val="22"/>
        </w:rPr>
        <w:t xml:space="preserve"/>
      </w:r>
    </w:p>
    <w:p>
      <w:r>
        <w:br w:type="page"/>
      </w:r>
    </w:p>
    <w:p>
      <w:pPr>
        <w:pStyle w:val="Heading1"/>
        <w:spacing w:after="240" w:before="480"/>
      </w:pPr>
      <w:r>
        <w:rPr>
          <w:b/>
          <w:bCs/>
          <w:color w:val="6B2E9E"/>
          <w:sz w:val="32"/>
          <w:szCs w:val="32"/>
        </w:rPr>
        <w:t xml:space="preserve">7. Exigences fonctionnelles</w:t>
      </w:r>
    </w:p>
    <w:p>
      <w:pPr>
        <w:spacing w:after="120"/>
        <w:jc w:val="both"/>
      </w:pPr>
      <w:r>
        <w:rPr>
          <w:b w:val="false"/>
          <w:bCs w:val="false"/>
          <w:i w:val="false"/>
          <w:iCs w:val="false"/>
          <w:sz w:val="22"/>
          <w:szCs w:val="22"/>
        </w:rPr>
        <w:t xml:space="preserve">Chaque exigence est numérotée, atomique et testable. La priorité MoSCoW est indiquée : M (Must — obligatoire), S (Should — recommandé), C (Could — souhaité).</w:t>
      </w:r>
    </w:p>
    <w:p>
      <w:pPr>
        <w:pStyle w:val="Heading2"/>
        <w:spacing w:after="180" w:before="360"/>
      </w:pPr>
      <w:r>
        <w:rPr>
          <w:b/>
          <w:bCs/>
          <w:color w:val="6B2E9E"/>
          <w:sz w:val="26"/>
          <w:szCs w:val="26"/>
        </w:rPr>
        <w:t xml:space="preserve">7.1 Module Géographie (EF-01 à EF-09)</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200"/>
      </w:tblGrid>
      <w:tr>
        <w:trPr>
          <w:tblHeader/>
        </w:trPr>
        <w:tc>
          <w:tcPr>
            <w:tcW w:type="dxa" w:w="1000"/>
            <w:shd w:fill="6B2E9E" w:val="clear"/>
            <w:tcMar>
              <w:top w:type="dxa" w:w="100"/>
              <w:left w:type="dxa" w:w="120"/>
              <w:bottom w:type="dxa" w:w="100"/>
              <w:right w:type="dxa" w:w="120"/>
            </w:tcMar>
          </w:tcPr>
          <w:p>
            <w:pPr>
              <w:jc w:val="center"/>
            </w:pPr>
            <w:r>
              <w:rPr>
                <w:b/>
                <w:bCs/>
                <w:color w:val="FFFFFF"/>
                <w:sz w:val="20"/>
                <w:szCs w:val="20"/>
              </w:rPr>
              <w:t xml:space="preserve">ID</w:t>
            </w:r>
          </w:p>
        </w:tc>
        <w:tc>
          <w:tcPr>
            <w:tcW w:type="dxa" w:w="7000"/>
            <w:shd w:fill="6B2E9E" w:val="clear"/>
            <w:tcMar>
              <w:top w:type="dxa" w:w="100"/>
              <w:left w:type="dxa" w:w="120"/>
              <w:bottom w:type="dxa" w:w="100"/>
              <w:right w:type="dxa" w:w="120"/>
            </w:tcMar>
          </w:tcPr>
          <w:p>
            <w:pPr>
              <w:jc w:val="center"/>
            </w:pPr>
            <w:r>
              <w:rPr>
                <w:b/>
                <w:bCs/>
                <w:color w:val="FFFFFF"/>
                <w:sz w:val="20"/>
                <w:szCs w:val="20"/>
              </w:rPr>
              <w:t xml:space="preserve">Exigence</w:t>
            </w:r>
          </w:p>
        </w:tc>
        <w:tc>
          <w:tcPr>
            <w:tcW w:type="dxa" w:w="1200"/>
            <w:shd w:fill="6B2E9E" w:val="clear"/>
            <w:tcMar>
              <w:top w:type="dxa" w:w="100"/>
              <w:left w:type="dxa" w:w="120"/>
              <w:bottom w:type="dxa" w:w="100"/>
              <w:right w:type="dxa" w:w="120"/>
            </w:tcMar>
          </w:tcPr>
          <w:p>
            <w:pPr>
              <w:jc w:val="center"/>
            </w:pPr>
            <w:r>
              <w:rPr>
                <w:b/>
                <w:bCs/>
                <w:color w:val="FFFFFF"/>
                <w:sz w:val="20"/>
                <w:szCs w:val="20"/>
              </w:rPr>
              <w:t xml:space="preserve">Prio</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EF-01</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charger le référentiel géographique depuis un fichier structuré conforme au modèle Loader_Base_FinZuu v1.1.</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EF-02</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valider l'intégrité référentielle du référentiel : chaque Region doit avoir un Country parent, chaque City une Region, chaque District une City.</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EF-03</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associer à chaque niveau géographique ses coordonnées GPS lorsqu'elles sont disponibles dans le référentiel.</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EF-04</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DEVRAIT permettre l'extension du référentiel à de nouveaux pays par ajout de lignes dans le fichier source, sans modification de code.</w:t>
            </w:r>
          </w:p>
        </w:tc>
        <w:tc>
          <w:tcPr>
            <w:tcW w:type="dxa" w:w="1200"/>
            <w:tcMar>
              <w:top w:type="dxa" w:w="80"/>
              <w:left w:type="dxa" w:w="120"/>
              <w:bottom w:type="dxa" w:w="80"/>
              <w:right w:type="dxa" w:w="120"/>
            </w:tcMar>
          </w:tcPr>
          <w:p>
            <w:pPr>
              <w:jc w:val="left"/>
            </w:pPr>
            <w:r>
              <w:rPr>
                <w:b w:val="false"/>
                <w:bCs w:val="false"/>
                <w:color w:val="000000"/>
                <w:sz w:val="20"/>
                <w:szCs w:val="20"/>
              </w:rPr>
              <w:t xml:space="preserve">S</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EF-05</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rejeter toute demande d'opération ciblant un pays absent du référentiel.</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EF-06</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DEVRAIT afficher un rapport de couverture géographique en début d'exécution (nombre de régions, villes, quartiers utilisés).</w:t>
            </w:r>
          </w:p>
        </w:tc>
        <w:tc>
          <w:tcPr>
            <w:tcW w:type="dxa" w:w="1200"/>
            <w:tcMar>
              <w:top w:type="dxa" w:w="80"/>
              <w:left w:type="dxa" w:w="120"/>
              <w:bottom w:type="dxa" w:w="80"/>
              <w:right w:type="dxa" w:w="120"/>
            </w:tcMar>
          </w:tcPr>
          <w:p>
            <w:pPr>
              <w:jc w:val="left"/>
            </w:pPr>
            <w:r>
              <w:rPr>
                <w:b w:val="false"/>
                <w:bCs w:val="false"/>
                <w:color w:val="000000"/>
                <w:sz w:val="20"/>
                <w:szCs w:val="20"/>
              </w:rPr>
              <w:t xml:space="preserve">S</w:t>
            </w:r>
          </w:p>
        </w:tc>
      </w:tr>
    </w:tbl>
    <w:p>
      <w:pPr>
        <w:pStyle w:val="Heading2"/>
        <w:spacing w:after="180" w:before="360"/>
      </w:pPr>
      <w:r>
        <w:rPr>
          <w:b/>
          <w:bCs/>
          <w:color w:val="6B2E9E"/>
          <w:sz w:val="26"/>
          <w:szCs w:val="26"/>
        </w:rPr>
        <w:t xml:space="preserve">7.2 Module Organisation (EF-10 à EF-19)</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200"/>
      </w:tblGrid>
      <w:tr>
        <w:trPr>
          <w:tblHeader/>
        </w:trPr>
        <w:tc>
          <w:tcPr>
            <w:tcW w:type="dxa" w:w="1000"/>
            <w:shd w:fill="6B2E9E" w:val="clear"/>
            <w:tcMar>
              <w:top w:type="dxa" w:w="100"/>
              <w:left w:type="dxa" w:w="120"/>
              <w:bottom w:type="dxa" w:w="100"/>
              <w:right w:type="dxa" w:w="120"/>
            </w:tcMar>
          </w:tcPr>
          <w:p>
            <w:pPr>
              <w:jc w:val="center"/>
            </w:pPr>
            <w:r>
              <w:rPr>
                <w:b/>
                <w:bCs/>
                <w:color w:val="FFFFFF"/>
                <w:sz w:val="20"/>
                <w:szCs w:val="20"/>
              </w:rPr>
              <w:t xml:space="preserve">ID</w:t>
            </w:r>
          </w:p>
        </w:tc>
        <w:tc>
          <w:tcPr>
            <w:tcW w:type="dxa" w:w="7000"/>
            <w:shd w:fill="6B2E9E" w:val="clear"/>
            <w:tcMar>
              <w:top w:type="dxa" w:w="100"/>
              <w:left w:type="dxa" w:w="120"/>
              <w:bottom w:type="dxa" w:w="100"/>
              <w:right w:type="dxa" w:w="120"/>
            </w:tcMar>
          </w:tcPr>
          <w:p>
            <w:pPr>
              <w:jc w:val="center"/>
            </w:pPr>
            <w:r>
              <w:rPr>
                <w:b/>
                <w:bCs/>
                <w:color w:val="FFFFFF"/>
                <w:sz w:val="20"/>
                <w:szCs w:val="20"/>
              </w:rPr>
              <w:t xml:space="preserve">Exigence</w:t>
            </w:r>
          </w:p>
        </w:tc>
        <w:tc>
          <w:tcPr>
            <w:tcW w:type="dxa" w:w="1200"/>
            <w:shd w:fill="6B2E9E" w:val="clear"/>
            <w:tcMar>
              <w:top w:type="dxa" w:w="100"/>
              <w:left w:type="dxa" w:w="120"/>
              <w:bottom w:type="dxa" w:w="100"/>
              <w:right w:type="dxa" w:w="120"/>
            </w:tcMar>
          </w:tcPr>
          <w:p>
            <w:pPr>
              <w:jc w:val="center"/>
            </w:pPr>
            <w:r>
              <w:rPr>
                <w:b/>
                <w:bCs/>
                <w:color w:val="FFFFFF"/>
                <w:sz w:val="20"/>
                <w:szCs w:val="20"/>
              </w:rPr>
              <w:t xml:space="preserve">Prio</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EF-10</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générer un nombre paramétrable de compagnies par pays, avec une distribution des types configurables (IMF, banque, fondation, merchant).</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EF-11</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rattacher chaque Company à une Region existante de son pays.</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EF-12</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générer trois Lenders locaux par pays et quatre Lenders institutionnels globaux (Nordic Microfinance, IFC, AFD, BAD).</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EF-13</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créer les quatre comptes financiers de chaque Lender : CAPITAL, INTEREST, PENALTY, TAXE.</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EF-14</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générer un nombre paramétrable de Branches par IMF, rattachées à une Region.</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EF-15</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générer un nombre paramétrable d'Agences par Branche, rattachées à une Ville de la Region.</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EF-16</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générer un nombre paramétrable de Kiosques par Agence, rattachés à un District de la Ville.</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EF-17</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générer un nombre paramétrable d'Agents par Kiosque.</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EF-18</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rejeter et journaliser toute tentative de création violant l'emboîtement géographique.</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EF-19</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DEVRAIT permettre de choisir le niveau de rattachement du Lender (Company, Branche, Agence) via configuration.</w:t>
            </w:r>
          </w:p>
        </w:tc>
        <w:tc>
          <w:tcPr>
            <w:tcW w:type="dxa" w:w="1200"/>
            <w:tcMar>
              <w:top w:type="dxa" w:w="80"/>
              <w:left w:type="dxa" w:w="120"/>
              <w:bottom w:type="dxa" w:w="80"/>
              <w:right w:type="dxa" w:w="120"/>
            </w:tcMar>
          </w:tcPr>
          <w:p>
            <w:pPr>
              <w:jc w:val="left"/>
            </w:pPr>
            <w:r>
              <w:rPr>
                <w:b w:val="false"/>
                <w:bCs w:val="false"/>
                <w:color w:val="000000"/>
                <w:sz w:val="20"/>
                <w:szCs w:val="20"/>
              </w:rPr>
              <w:t xml:space="preserve">S</w:t>
            </w:r>
          </w:p>
        </w:tc>
      </w:tr>
    </w:tbl>
    <w:p>
      <w:pPr>
        <w:pStyle w:val="Heading2"/>
        <w:spacing w:after="180" w:before="360"/>
      </w:pPr>
      <w:r>
        <w:rPr>
          <w:b/>
          <w:bCs/>
          <w:color w:val="6B2E9E"/>
          <w:sz w:val="26"/>
          <w:szCs w:val="26"/>
        </w:rPr>
        <w:t xml:space="preserve">7.3 Module Identités et Clients (EF-20 à EF-29)</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200"/>
      </w:tblGrid>
      <w:tr>
        <w:trPr>
          <w:tblHeader/>
        </w:trPr>
        <w:tc>
          <w:tcPr>
            <w:tcW w:type="dxa" w:w="1000"/>
            <w:shd w:fill="6B2E9E" w:val="clear"/>
            <w:tcMar>
              <w:top w:type="dxa" w:w="100"/>
              <w:left w:type="dxa" w:w="120"/>
              <w:bottom w:type="dxa" w:w="100"/>
              <w:right w:type="dxa" w:w="120"/>
            </w:tcMar>
          </w:tcPr>
          <w:p>
            <w:pPr>
              <w:jc w:val="center"/>
            </w:pPr>
            <w:r>
              <w:rPr>
                <w:b/>
                <w:bCs/>
                <w:color w:val="FFFFFF"/>
                <w:sz w:val="20"/>
                <w:szCs w:val="20"/>
              </w:rPr>
              <w:t xml:space="preserve">ID</w:t>
            </w:r>
          </w:p>
        </w:tc>
        <w:tc>
          <w:tcPr>
            <w:tcW w:type="dxa" w:w="7000"/>
            <w:shd w:fill="6B2E9E" w:val="clear"/>
            <w:tcMar>
              <w:top w:type="dxa" w:w="100"/>
              <w:left w:type="dxa" w:w="120"/>
              <w:bottom w:type="dxa" w:w="100"/>
              <w:right w:type="dxa" w:w="120"/>
            </w:tcMar>
          </w:tcPr>
          <w:p>
            <w:pPr>
              <w:jc w:val="center"/>
            </w:pPr>
            <w:r>
              <w:rPr>
                <w:b/>
                <w:bCs/>
                <w:color w:val="FFFFFF"/>
                <w:sz w:val="20"/>
                <w:szCs w:val="20"/>
              </w:rPr>
              <w:t xml:space="preserve">Exigence</w:t>
            </w:r>
          </w:p>
        </w:tc>
        <w:tc>
          <w:tcPr>
            <w:tcW w:type="dxa" w:w="1200"/>
            <w:shd w:fill="6B2E9E" w:val="clear"/>
            <w:tcMar>
              <w:top w:type="dxa" w:w="100"/>
              <w:left w:type="dxa" w:w="120"/>
              <w:bottom w:type="dxa" w:w="100"/>
              <w:right w:type="dxa" w:w="120"/>
            </w:tcMar>
          </w:tcPr>
          <w:p>
            <w:pPr>
              <w:jc w:val="center"/>
            </w:pPr>
            <w:r>
              <w:rPr>
                <w:b/>
                <w:bCs/>
                <w:color w:val="FFFFFF"/>
                <w:sz w:val="20"/>
                <w:szCs w:val="20"/>
              </w:rPr>
              <w:t xml:space="preserve">Prio</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EF-20</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interroger l'API Faker pour obtenir des payloads clients complets incluant identité KYC et coordonnées géographiques.</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EF-21</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vérifier que le pays retourné par Faker correspond au pays demandé avant toute injection.</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EF-22</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respecter la distribution démographique spécifiée : 60 pour cent d'individus de moins de 25 ans, ratio deux femmes pour un homme.</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EF-23</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respecter la répartition Individual/Corporate : 80 pour cent d'individus, 20 pour cent de professionnels.</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EF-24</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rattacher 20 pour cent des professionnels au secteur agricole ; les 80 pour cent restants aux secteurs transports, commerce et services.</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EF-25</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garantir l'unicité des MSISDN générés au sein d'une même exécution.</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EF-26</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rattacher chaque client à un Kiosque existant du pays cible.</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EF-27</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valider le format du MSISDN contre le regex de l'opérateur telco du pays.</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EF-28</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DEVRAIT permettre de configurer le segment de scoring cible (ANY, LOW, MEDIUM, HIGH).</w:t>
            </w:r>
          </w:p>
        </w:tc>
        <w:tc>
          <w:tcPr>
            <w:tcW w:type="dxa" w:w="1200"/>
            <w:tcMar>
              <w:top w:type="dxa" w:w="80"/>
              <w:left w:type="dxa" w:w="120"/>
              <w:bottom w:type="dxa" w:w="80"/>
              <w:right w:type="dxa" w:w="120"/>
            </w:tcMar>
          </w:tcPr>
          <w:p>
            <w:pPr>
              <w:jc w:val="left"/>
            </w:pPr>
            <w:r>
              <w:rPr>
                <w:b w:val="false"/>
                <w:bCs w:val="false"/>
                <w:color w:val="000000"/>
                <w:sz w:val="20"/>
                <w:szCs w:val="20"/>
              </w:rPr>
              <w:t xml:space="preserve">S</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EF-29</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DEVRAIT gérer les timeouts de l'API Faker par une stratégie de nouvelle tentative avec repli.</w:t>
            </w:r>
          </w:p>
        </w:tc>
        <w:tc>
          <w:tcPr>
            <w:tcW w:type="dxa" w:w="1200"/>
            <w:tcMar>
              <w:top w:type="dxa" w:w="80"/>
              <w:left w:type="dxa" w:w="120"/>
              <w:bottom w:type="dxa" w:w="80"/>
              <w:right w:type="dxa" w:w="120"/>
            </w:tcMar>
          </w:tcPr>
          <w:p>
            <w:pPr>
              <w:jc w:val="left"/>
            </w:pPr>
            <w:r>
              <w:rPr>
                <w:b w:val="false"/>
                <w:bCs w:val="false"/>
                <w:color w:val="000000"/>
                <w:sz w:val="20"/>
                <w:szCs w:val="20"/>
              </w:rPr>
              <w:t xml:space="preserve">S</w:t>
            </w:r>
          </w:p>
        </w:tc>
      </w:tr>
    </w:tbl>
    <w:p>
      <w:pPr>
        <w:pStyle w:val="Heading2"/>
        <w:spacing w:after="180" w:before="360"/>
      </w:pPr>
      <w:r>
        <w:rPr>
          <w:b/>
          <w:bCs/>
          <w:color w:val="6B2E9E"/>
          <w:sz w:val="26"/>
          <w:szCs w:val="26"/>
        </w:rPr>
        <w:t xml:space="preserve">7.4 Module Prêt et Historique de crédit (EF-30 à EF-39)</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200"/>
      </w:tblGrid>
      <w:tr>
        <w:trPr>
          <w:tblHeader/>
        </w:trPr>
        <w:tc>
          <w:tcPr>
            <w:tcW w:type="dxa" w:w="1000"/>
            <w:shd w:fill="6B2E9E" w:val="clear"/>
            <w:tcMar>
              <w:top w:type="dxa" w:w="100"/>
              <w:left w:type="dxa" w:w="120"/>
              <w:bottom w:type="dxa" w:w="100"/>
              <w:right w:type="dxa" w:w="120"/>
            </w:tcMar>
          </w:tcPr>
          <w:p>
            <w:pPr>
              <w:jc w:val="center"/>
            </w:pPr>
            <w:r>
              <w:rPr>
                <w:b/>
                <w:bCs/>
                <w:color w:val="FFFFFF"/>
                <w:sz w:val="20"/>
                <w:szCs w:val="20"/>
              </w:rPr>
              <w:t xml:space="preserve">ID</w:t>
            </w:r>
          </w:p>
        </w:tc>
        <w:tc>
          <w:tcPr>
            <w:tcW w:type="dxa" w:w="7000"/>
            <w:shd w:fill="6B2E9E" w:val="clear"/>
            <w:tcMar>
              <w:top w:type="dxa" w:w="100"/>
              <w:left w:type="dxa" w:w="120"/>
              <w:bottom w:type="dxa" w:w="100"/>
              <w:right w:type="dxa" w:w="120"/>
            </w:tcMar>
          </w:tcPr>
          <w:p>
            <w:pPr>
              <w:jc w:val="center"/>
            </w:pPr>
            <w:r>
              <w:rPr>
                <w:b/>
                <w:bCs/>
                <w:color w:val="FFFFFF"/>
                <w:sz w:val="20"/>
                <w:szCs w:val="20"/>
              </w:rPr>
              <w:t xml:space="preserve">Exigence</w:t>
            </w:r>
          </w:p>
        </w:tc>
        <w:tc>
          <w:tcPr>
            <w:tcW w:type="dxa" w:w="1200"/>
            <w:shd w:fill="6B2E9E" w:val="clear"/>
            <w:tcMar>
              <w:top w:type="dxa" w:w="100"/>
              <w:left w:type="dxa" w:w="120"/>
              <w:bottom w:type="dxa" w:w="100"/>
              <w:right w:type="dxa" w:w="120"/>
            </w:tcMar>
          </w:tcPr>
          <w:p>
            <w:pPr>
              <w:jc w:val="center"/>
            </w:pPr>
            <w:r>
              <w:rPr>
                <w:b/>
                <w:bCs/>
                <w:color w:val="FFFFFF"/>
                <w:sz w:val="20"/>
                <w:szCs w:val="20"/>
              </w:rPr>
              <w:t xml:space="preserve">Prio</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EF-30</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permettre de configurer la proportion de clients disposant d'un historique de crédit.</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EF-31</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récupérer l'historique de crédit via l'endpoint Faker /loan-history/{client_id} pour les clients concernés.</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EF-32</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gérer les cas d'absence d'historique par une entrée neutre dans le journal, sans interrompre l'exécution globale.</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EF-33</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DEVRAIT permettre de configurer la distribution cible des statuts de prêt (FINISHED, ONGOING).</w:t>
            </w:r>
          </w:p>
        </w:tc>
        <w:tc>
          <w:tcPr>
            <w:tcW w:type="dxa" w:w="1200"/>
            <w:tcMar>
              <w:top w:type="dxa" w:w="80"/>
              <w:left w:type="dxa" w:w="120"/>
              <w:bottom w:type="dxa" w:w="80"/>
              <w:right w:type="dxa" w:w="120"/>
            </w:tcMar>
          </w:tcPr>
          <w:p>
            <w:pPr>
              <w:jc w:val="left"/>
            </w:pPr>
            <w:r>
              <w:rPr>
                <w:b w:val="false"/>
                <w:bCs w:val="false"/>
                <w:color w:val="000000"/>
                <w:sz w:val="20"/>
                <w:szCs w:val="20"/>
              </w:rPr>
              <w:t xml:space="preserve">S</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EF-34</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conserver la référence externe du prêt Faker sans l'utiliser comme identifiant interne FinZuu.</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EF-35</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respecter les plafonds d'usure BEAC/COBAC (taux inférieur ou égal à 24 pour cent annuel) sur les prêts générés.</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EF-36</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interagir avec le module loan-service livré par Duhamel pour l'injection des prêts, une fois ce service disponible.</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EF-37</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DEVRAIT permettre de simuler les événements de cycle de vie du prêt : décaissement, remboursement partiel, clôture.</w:t>
            </w:r>
          </w:p>
        </w:tc>
        <w:tc>
          <w:tcPr>
            <w:tcW w:type="dxa" w:w="1200"/>
            <w:tcMar>
              <w:top w:type="dxa" w:w="80"/>
              <w:left w:type="dxa" w:w="120"/>
              <w:bottom w:type="dxa" w:w="80"/>
              <w:right w:type="dxa" w:w="120"/>
            </w:tcMar>
          </w:tcPr>
          <w:p>
            <w:pPr>
              <w:jc w:val="left"/>
            </w:pPr>
            <w:r>
              <w:rPr>
                <w:b w:val="false"/>
                <w:bCs w:val="false"/>
                <w:color w:val="000000"/>
                <w:sz w:val="20"/>
                <w:szCs w:val="20"/>
              </w:rPr>
              <w:t xml:space="preserve">S</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EF-38</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POURRAIT générer des scénarios de retard de paiement (DPD — Days Past Due) selon une distribution paramétrable.</w:t>
            </w:r>
          </w:p>
        </w:tc>
        <w:tc>
          <w:tcPr>
            <w:tcW w:type="dxa" w:w="1200"/>
            <w:tcMar>
              <w:top w:type="dxa" w:w="80"/>
              <w:left w:type="dxa" w:w="120"/>
              <w:bottom w:type="dxa" w:w="80"/>
              <w:right w:type="dxa" w:w="120"/>
            </w:tcMar>
          </w:tcPr>
          <w:p>
            <w:pPr>
              <w:jc w:val="left"/>
            </w:pPr>
            <w:r>
              <w:rPr>
                <w:b w:val="false"/>
                <w:bCs w:val="false"/>
                <w:color w:val="000000"/>
                <w:sz w:val="20"/>
                <w:szCs w:val="20"/>
              </w:rPr>
              <w:t xml:space="preserve">C</w:t>
            </w:r>
          </w:p>
        </w:tc>
      </w:tr>
    </w:tbl>
    <w:p>
      <w:pPr>
        <w:pStyle w:val="Heading2"/>
        <w:spacing w:after="180" w:before="360"/>
      </w:pPr>
      <w:r>
        <w:rPr>
          <w:b/>
          <w:bCs/>
          <w:color w:val="6B2E9E"/>
          <w:sz w:val="26"/>
          <w:szCs w:val="26"/>
        </w:rPr>
        <w:t xml:space="preserve">7.5 Module Cadence opérationnelle (EF-40 à EF-49)</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200"/>
      </w:tblGrid>
      <w:tr>
        <w:trPr>
          <w:tblHeader/>
        </w:trPr>
        <w:tc>
          <w:tcPr>
            <w:tcW w:type="dxa" w:w="1000"/>
            <w:shd w:fill="6B2E9E" w:val="clear"/>
            <w:tcMar>
              <w:top w:type="dxa" w:w="100"/>
              <w:left w:type="dxa" w:w="120"/>
              <w:bottom w:type="dxa" w:w="100"/>
              <w:right w:type="dxa" w:w="120"/>
            </w:tcMar>
          </w:tcPr>
          <w:p>
            <w:pPr>
              <w:jc w:val="center"/>
            </w:pPr>
            <w:r>
              <w:rPr>
                <w:b/>
                <w:bCs/>
                <w:color w:val="FFFFFF"/>
                <w:sz w:val="20"/>
                <w:szCs w:val="20"/>
              </w:rPr>
              <w:t xml:space="preserve">ID</w:t>
            </w:r>
          </w:p>
        </w:tc>
        <w:tc>
          <w:tcPr>
            <w:tcW w:type="dxa" w:w="7000"/>
            <w:shd w:fill="6B2E9E" w:val="clear"/>
            <w:tcMar>
              <w:top w:type="dxa" w:w="100"/>
              <w:left w:type="dxa" w:w="120"/>
              <w:bottom w:type="dxa" w:w="100"/>
              <w:right w:type="dxa" w:w="120"/>
            </w:tcMar>
          </w:tcPr>
          <w:p>
            <w:pPr>
              <w:jc w:val="center"/>
            </w:pPr>
            <w:r>
              <w:rPr>
                <w:b/>
                <w:bCs/>
                <w:color w:val="FFFFFF"/>
                <w:sz w:val="20"/>
                <w:szCs w:val="20"/>
              </w:rPr>
              <w:t xml:space="preserve">Exigence</w:t>
            </w:r>
          </w:p>
        </w:tc>
        <w:tc>
          <w:tcPr>
            <w:tcW w:type="dxa" w:w="1200"/>
            <w:shd w:fill="6B2E9E" w:val="clear"/>
            <w:tcMar>
              <w:top w:type="dxa" w:w="100"/>
              <w:left w:type="dxa" w:w="120"/>
              <w:bottom w:type="dxa" w:w="100"/>
              <w:right w:type="dxa" w:w="120"/>
            </w:tcMar>
          </w:tcPr>
          <w:p>
            <w:pPr>
              <w:jc w:val="center"/>
            </w:pPr>
            <w:r>
              <w:rPr>
                <w:b/>
                <w:bCs/>
                <w:color w:val="FFFFFF"/>
                <w:sz w:val="20"/>
                <w:szCs w:val="20"/>
              </w:rPr>
              <w:t xml:space="preserve">Prio</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EF-40</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générer au minimum trois compagnies par jour ouvré en mode continu.</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EF-41</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générer dix nouvelles entrées par jour en mode continu, avec la répartition 20 pour cent compagnies et 80 pour cent individus.</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EF-42</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simuler quotidiennement des mouvements financiers par client : un à plusieurs débits et crédits selon le segment (1 à 5).</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EF-43</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simuler quotidiennement des paiements marchands P2P et Mobile Money selon les profils.</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EF-44</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simuler la création quotidienne de nouveaux comptes selon les profils segmentés.</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EF-45</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simuler quotidiennement des crédits et débits sur les comptes d'épargne.</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EF-46</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simuler au moins un prêt par jour, avec un montant dépendant du segment client.</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EF-47</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simuler des souscriptions à de nouveaux produits selon les profils.</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EF-48</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DEVRAIT permettre de basculer entre un mode continu (cron ou daemon) et un mode batch (exécution unique).</w:t>
            </w:r>
          </w:p>
        </w:tc>
        <w:tc>
          <w:tcPr>
            <w:tcW w:type="dxa" w:w="1200"/>
            <w:tcMar>
              <w:top w:type="dxa" w:w="80"/>
              <w:left w:type="dxa" w:w="120"/>
              <w:bottom w:type="dxa" w:w="80"/>
              <w:right w:type="dxa" w:w="120"/>
            </w:tcMar>
          </w:tcPr>
          <w:p>
            <w:pPr>
              <w:jc w:val="left"/>
            </w:pPr>
            <w:r>
              <w:rPr>
                <w:b w:val="false"/>
                <w:bCs w:val="false"/>
                <w:color w:val="000000"/>
                <w:sz w:val="20"/>
                <w:szCs w:val="20"/>
              </w:rPr>
              <w:t xml:space="preserve">S</w:t>
            </w:r>
          </w:p>
        </w:tc>
      </w:tr>
    </w:tbl>
    <w:p>
      <w:pPr>
        <w:pStyle w:val="Heading2"/>
        <w:spacing w:after="180" w:before="360"/>
      </w:pPr>
      <w:r>
        <w:rPr>
          <w:b/>
          <w:bCs/>
          <w:color w:val="6B2E9E"/>
          <w:sz w:val="26"/>
          <w:szCs w:val="26"/>
        </w:rPr>
        <w:t xml:space="preserve">7.6 Module Interface graphique (EF-50 à EF-59)</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200"/>
      </w:tblGrid>
      <w:tr>
        <w:trPr>
          <w:tblHeader/>
        </w:trPr>
        <w:tc>
          <w:tcPr>
            <w:tcW w:type="dxa" w:w="1000"/>
            <w:shd w:fill="6B2E9E" w:val="clear"/>
            <w:tcMar>
              <w:top w:type="dxa" w:w="100"/>
              <w:left w:type="dxa" w:w="120"/>
              <w:bottom w:type="dxa" w:w="100"/>
              <w:right w:type="dxa" w:w="120"/>
            </w:tcMar>
          </w:tcPr>
          <w:p>
            <w:pPr>
              <w:jc w:val="center"/>
            </w:pPr>
            <w:r>
              <w:rPr>
                <w:b/>
                <w:bCs/>
                <w:color w:val="FFFFFF"/>
                <w:sz w:val="20"/>
                <w:szCs w:val="20"/>
              </w:rPr>
              <w:t xml:space="preserve">ID</w:t>
            </w:r>
          </w:p>
        </w:tc>
        <w:tc>
          <w:tcPr>
            <w:tcW w:type="dxa" w:w="7000"/>
            <w:shd w:fill="6B2E9E" w:val="clear"/>
            <w:tcMar>
              <w:top w:type="dxa" w:w="100"/>
              <w:left w:type="dxa" w:w="120"/>
              <w:bottom w:type="dxa" w:w="100"/>
              <w:right w:type="dxa" w:w="120"/>
            </w:tcMar>
          </w:tcPr>
          <w:p>
            <w:pPr>
              <w:jc w:val="center"/>
            </w:pPr>
            <w:r>
              <w:rPr>
                <w:b/>
                <w:bCs/>
                <w:color w:val="FFFFFF"/>
                <w:sz w:val="20"/>
                <w:szCs w:val="20"/>
              </w:rPr>
              <w:t xml:space="preserve">Exigence</w:t>
            </w:r>
          </w:p>
        </w:tc>
        <w:tc>
          <w:tcPr>
            <w:tcW w:type="dxa" w:w="1200"/>
            <w:shd w:fill="6B2E9E" w:val="clear"/>
            <w:tcMar>
              <w:top w:type="dxa" w:w="100"/>
              <w:left w:type="dxa" w:w="120"/>
              <w:bottom w:type="dxa" w:w="100"/>
              <w:right w:type="dxa" w:w="120"/>
            </w:tcMar>
          </w:tcPr>
          <w:p>
            <w:pPr>
              <w:jc w:val="center"/>
            </w:pPr>
            <w:r>
              <w:rPr>
                <w:b/>
                <w:bCs/>
                <w:color w:val="FFFFFF"/>
                <w:sz w:val="20"/>
                <w:szCs w:val="20"/>
              </w:rPr>
              <w:t xml:space="preserve">Prio</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EF-50</w:t>
            </w:r>
          </w:p>
        </w:tc>
        <w:tc>
          <w:tcPr>
            <w:tcW w:type="dxa" w:w="7000"/>
            <w:tcMar>
              <w:top w:type="dxa" w:w="80"/>
              <w:left w:type="dxa" w:w="120"/>
              <w:bottom w:type="dxa" w:w="80"/>
              <w:right w:type="dxa" w:w="120"/>
            </w:tcMar>
          </w:tcPr>
          <w:p>
            <w:pPr>
              <w:jc w:val="left"/>
            </w:pPr>
            <w:r>
              <w:rPr>
                <w:b w:val="false"/>
                <w:bCs w:val="false"/>
                <w:color w:val="000000"/>
                <w:sz w:val="20"/>
                <w:szCs w:val="20"/>
              </w:rPr>
              <w:t xml:space="preserve">L'interface DOIT permettre de configurer les volumes à générer à chaque niveau avant lancement.</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EF-51</w:t>
            </w:r>
          </w:p>
        </w:tc>
        <w:tc>
          <w:tcPr>
            <w:tcW w:type="dxa" w:w="7000"/>
            <w:tcMar>
              <w:top w:type="dxa" w:w="80"/>
              <w:left w:type="dxa" w:w="120"/>
              <w:bottom w:type="dxa" w:w="80"/>
              <w:right w:type="dxa" w:w="120"/>
            </w:tcMar>
          </w:tcPr>
          <w:p>
            <w:pPr>
              <w:jc w:val="left"/>
            </w:pPr>
            <w:r>
              <w:rPr>
                <w:b w:val="false"/>
                <w:bCs w:val="false"/>
                <w:color w:val="000000"/>
                <w:sz w:val="20"/>
                <w:szCs w:val="20"/>
              </w:rPr>
              <w:t xml:space="preserve">L'interface DOIT permettre de lancer une génération complète en une seule action.</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EF-52</w:t>
            </w:r>
          </w:p>
        </w:tc>
        <w:tc>
          <w:tcPr>
            <w:tcW w:type="dxa" w:w="7000"/>
            <w:tcMar>
              <w:top w:type="dxa" w:w="80"/>
              <w:left w:type="dxa" w:w="120"/>
              <w:bottom w:type="dxa" w:w="80"/>
              <w:right w:type="dxa" w:w="120"/>
            </w:tcMar>
          </w:tcPr>
          <w:p>
            <w:pPr>
              <w:jc w:val="left"/>
            </w:pPr>
            <w:r>
              <w:rPr>
                <w:b w:val="false"/>
                <w:bCs w:val="false"/>
                <w:color w:val="000000"/>
                <w:sz w:val="20"/>
                <w:szCs w:val="20"/>
              </w:rPr>
              <w:t xml:space="preserve">L'interface DOIT afficher une progression en temps réel par phase (géographie, organisation, identités, crédit).</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EF-53</w:t>
            </w:r>
          </w:p>
        </w:tc>
        <w:tc>
          <w:tcPr>
            <w:tcW w:type="dxa" w:w="7000"/>
            <w:tcMar>
              <w:top w:type="dxa" w:w="80"/>
              <w:left w:type="dxa" w:w="120"/>
              <w:bottom w:type="dxa" w:w="80"/>
              <w:right w:type="dxa" w:w="120"/>
            </w:tcMar>
          </w:tcPr>
          <w:p>
            <w:pPr>
              <w:jc w:val="left"/>
            </w:pPr>
            <w:r>
              <w:rPr>
                <w:b w:val="false"/>
                <w:bCs w:val="false"/>
                <w:color w:val="000000"/>
                <w:sz w:val="20"/>
                <w:szCs w:val="20"/>
              </w:rPr>
              <w:t xml:space="preserve">L'interface DOIT afficher un journal des erreurs et avertissements sans interrompre l'exécution.</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EF-54</w:t>
            </w:r>
          </w:p>
        </w:tc>
        <w:tc>
          <w:tcPr>
            <w:tcW w:type="dxa" w:w="7000"/>
            <w:tcMar>
              <w:top w:type="dxa" w:w="80"/>
              <w:left w:type="dxa" w:w="120"/>
              <w:bottom w:type="dxa" w:w="80"/>
              <w:right w:type="dxa" w:w="120"/>
            </w:tcMar>
          </w:tcPr>
          <w:p>
            <w:pPr>
              <w:jc w:val="left"/>
            </w:pPr>
            <w:r>
              <w:rPr>
                <w:b w:val="false"/>
                <w:bCs w:val="false"/>
                <w:color w:val="000000"/>
                <w:sz w:val="20"/>
                <w:szCs w:val="20"/>
              </w:rPr>
              <w:t xml:space="preserve">L'interface DOIT permettre de réinitialiser les données d'une exécution précédente identifiée par préfixe.</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EF-55</w:t>
            </w:r>
          </w:p>
        </w:tc>
        <w:tc>
          <w:tcPr>
            <w:tcW w:type="dxa" w:w="7000"/>
            <w:tcMar>
              <w:top w:type="dxa" w:w="80"/>
              <w:left w:type="dxa" w:w="120"/>
              <w:bottom w:type="dxa" w:w="80"/>
              <w:right w:type="dxa" w:w="120"/>
            </w:tcMar>
          </w:tcPr>
          <w:p>
            <w:pPr>
              <w:jc w:val="left"/>
            </w:pPr>
            <w:r>
              <w:rPr>
                <w:b w:val="false"/>
                <w:bCs w:val="false"/>
                <w:color w:val="000000"/>
                <w:sz w:val="20"/>
                <w:szCs w:val="20"/>
              </w:rPr>
              <w:t xml:space="preserve">L'interface DOIT empêcher le lancement simultané de deux générations sur le même environnement.</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EF-56</w:t>
            </w:r>
          </w:p>
        </w:tc>
        <w:tc>
          <w:tcPr>
            <w:tcW w:type="dxa" w:w="7000"/>
            <w:tcMar>
              <w:top w:type="dxa" w:w="80"/>
              <w:left w:type="dxa" w:w="120"/>
              <w:bottom w:type="dxa" w:w="80"/>
              <w:right w:type="dxa" w:w="120"/>
            </w:tcMar>
          </w:tcPr>
          <w:p>
            <w:pPr>
              <w:jc w:val="left"/>
            </w:pPr>
            <w:r>
              <w:rPr>
                <w:b w:val="false"/>
                <w:bCs w:val="false"/>
                <w:color w:val="000000"/>
                <w:sz w:val="20"/>
                <w:szCs w:val="20"/>
              </w:rPr>
              <w:t xml:space="preserve">L'interface DEVRAIT afficher une estimation du temps d'exécution avant lancement.</w:t>
            </w:r>
          </w:p>
        </w:tc>
        <w:tc>
          <w:tcPr>
            <w:tcW w:type="dxa" w:w="1200"/>
            <w:tcMar>
              <w:top w:type="dxa" w:w="80"/>
              <w:left w:type="dxa" w:w="120"/>
              <w:bottom w:type="dxa" w:w="80"/>
              <w:right w:type="dxa" w:w="120"/>
            </w:tcMar>
          </w:tcPr>
          <w:p>
            <w:pPr>
              <w:jc w:val="left"/>
            </w:pPr>
            <w:r>
              <w:rPr>
                <w:b w:val="false"/>
                <w:bCs w:val="false"/>
                <w:color w:val="000000"/>
                <w:sz w:val="20"/>
                <w:szCs w:val="20"/>
              </w:rPr>
              <w:t xml:space="preserve">S</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EF-57</w:t>
            </w:r>
          </w:p>
        </w:tc>
        <w:tc>
          <w:tcPr>
            <w:tcW w:type="dxa" w:w="7000"/>
            <w:tcMar>
              <w:top w:type="dxa" w:w="80"/>
              <w:left w:type="dxa" w:w="120"/>
              <w:bottom w:type="dxa" w:w="80"/>
              <w:right w:type="dxa" w:w="120"/>
            </w:tcMar>
          </w:tcPr>
          <w:p>
            <w:pPr>
              <w:jc w:val="left"/>
            </w:pPr>
            <w:r>
              <w:rPr>
                <w:b w:val="false"/>
                <w:bCs w:val="false"/>
                <w:color w:val="000000"/>
                <w:sz w:val="20"/>
                <w:szCs w:val="20"/>
              </w:rPr>
              <w:t xml:space="preserve">L'interface DEVRAIT être accessible depuis un navigateur web sans installation cliente.</w:t>
            </w:r>
          </w:p>
        </w:tc>
        <w:tc>
          <w:tcPr>
            <w:tcW w:type="dxa" w:w="1200"/>
            <w:tcMar>
              <w:top w:type="dxa" w:w="80"/>
              <w:left w:type="dxa" w:w="120"/>
              <w:bottom w:type="dxa" w:w="80"/>
              <w:right w:type="dxa" w:w="120"/>
            </w:tcMar>
          </w:tcPr>
          <w:p>
            <w:pPr>
              <w:jc w:val="left"/>
            </w:pPr>
            <w:r>
              <w:rPr>
                <w:b w:val="false"/>
                <w:bCs w:val="false"/>
                <w:color w:val="000000"/>
                <w:sz w:val="20"/>
                <w:szCs w:val="20"/>
              </w:rPr>
              <w:t xml:space="preserve">S</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EF-58</w:t>
            </w:r>
          </w:p>
        </w:tc>
        <w:tc>
          <w:tcPr>
            <w:tcW w:type="dxa" w:w="7000"/>
            <w:tcMar>
              <w:top w:type="dxa" w:w="80"/>
              <w:left w:type="dxa" w:w="120"/>
              <w:bottom w:type="dxa" w:w="80"/>
              <w:right w:type="dxa" w:w="120"/>
            </w:tcMar>
          </w:tcPr>
          <w:p>
            <w:pPr>
              <w:jc w:val="left"/>
            </w:pPr>
            <w:r>
              <w:rPr>
                <w:b w:val="false"/>
                <w:bCs w:val="false"/>
                <w:color w:val="000000"/>
                <w:sz w:val="20"/>
                <w:szCs w:val="20"/>
              </w:rPr>
              <w:t xml:space="preserve">L'interface POURRAIT proposer des templates de configuration prédéfinis pour les scénarios de démonstration courants.</w:t>
            </w:r>
          </w:p>
        </w:tc>
        <w:tc>
          <w:tcPr>
            <w:tcW w:type="dxa" w:w="1200"/>
            <w:tcMar>
              <w:top w:type="dxa" w:w="80"/>
              <w:left w:type="dxa" w:w="120"/>
              <w:bottom w:type="dxa" w:w="80"/>
              <w:right w:type="dxa" w:w="120"/>
            </w:tcMar>
          </w:tcPr>
          <w:p>
            <w:pPr>
              <w:jc w:val="left"/>
            </w:pPr>
            <w:r>
              <w:rPr>
                <w:b w:val="false"/>
                <w:bCs w:val="false"/>
                <w:color w:val="000000"/>
                <w:sz w:val="20"/>
                <w:szCs w:val="20"/>
              </w:rPr>
              <w:t xml:space="preserve">C</w:t>
            </w:r>
          </w:p>
        </w:tc>
      </w:tr>
    </w:tbl>
    <w:p>
      <w:pPr>
        <w:pStyle w:val="Heading2"/>
        <w:spacing w:after="180" w:before="360"/>
      </w:pPr>
      <w:r>
        <w:rPr>
          <w:b/>
          <w:bCs/>
          <w:color w:val="6B2E9E"/>
          <w:sz w:val="26"/>
          <w:szCs w:val="26"/>
        </w:rPr>
        <w:t xml:space="preserve">7.7 Module Traçabilité et Idempotence (EF-60 à EF-69)</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200"/>
      </w:tblGrid>
      <w:tr>
        <w:trPr>
          <w:tblHeader/>
        </w:trPr>
        <w:tc>
          <w:tcPr>
            <w:tcW w:type="dxa" w:w="1000"/>
            <w:shd w:fill="6B2E9E" w:val="clear"/>
            <w:tcMar>
              <w:top w:type="dxa" w:w="100"/>
              <w:left w:type="dxa" w:w="120"/>
              <w:bottom w:type="dxa" w:w="100"/>
              <w:right w:type="dxa" w:w="120"/>
            </w:tcMar>
          </w:tcPr>
          <w:p>
            <w:pPr>
              <w:jc w:val="center"/>
            </w:pPr>
            <w:r>
              <w:rPr>
                <w:b/>
                <w:bCs/>
                <w:color w:val="FFFFFF"/>
                <w:sz w:val="20"/>
                <w:szCs w:val="20"/>
              </w:rPr>
              <w:t xml:space="preserve">ID</w:t>
            </w:r>
          </w:p>
        </w:tc>
        <w:tc>
          <w:tcPr>
            <w:tcW w:type="dxa" w:w="7000"/>
            <w:shd w:fill="6B2E9E" w:val="clear"/>
            <w:tcMar>
              <w:top w:type="dxa" w:w="100"/>
              <w:left w:type="dxa" w:w="120"/>
              <w:bottom w:type="dxa" w:w="100"/>
              <w:right w:type="dxa" w:w="120"/>
            </w:tcMar>
          </w:tcPr>
          <w:p>
            <w:pPr>
              <w:jc w:val="center"/>
            </w:pPr>
            <w:r>
              <w:rPr>
                <w:b/>
                <w:bCs/>
                <w:color w:val="FFFFFF"/>
                <w:sz w:val="20"/>
                <w:szCs w:val="20"/>
              </w:rPr>
              <w:t xml:space="preserve">Exigence</w:t>
            </w:r>
          </w:p>
        </w:tc>
        <w:tc>
          <w:tcPr>
            <w:tcW w:type="dxa" w:w="1200"/>
            <w:shd w:fill="6B2E9E" w:val="clear"/>
            <w:tcMar>
              <w:top w:type="dxa" w:w="100"/>
              <w:left w:type="dxa" w:w="120"/>
              <w:bottom w:type="dxa" w:w="100"/>
              <w:right w:type="dxa" w:w="120"/>
            </w:tcMar>
          </w:tcPr>
          <w:p>
            <w:pPr>
              <w:jc w:val="center"/>
            </w:pPr>
            <w:r>
              <w:rPr>
                <w:b/>
                <w:bCs/>
                <w:color w:val="FFFFFF"/>
                <w:sz w:val="20"/>
                <w:szCs w:val="20"/>
              </w:rPr>
              <w:t xml:space="preserve">Prio</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EF-60</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garantir qu'une même exécution relancée avec les mêmes paramètres ne duplique aucune entité déjà créée.</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EF-61</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conserver un journal structuré de chaque exécution : entités créées, erreurs rencontrées, durée par phase.</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EF-62</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permettre l'export du journal d'une exécution au format JSON ou CSV pour analyse ultérieure.</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EF-63</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identifier chaque donnée générée par un préfixe dédié permettant la reconnaissance et la suppression.</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EF-64</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tracer l'identifiant de l'exécution parente pour chaque entité créée.</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EF-65</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DEVRAIT proposer une fonction de réversibilité atomique par exécution (rollback complet).</w:t>
            </w:r>
          </w:p>
        </w:tc>
        <w:tc>
          <w:tcPr>
            <w:tcW w:type="dxa" w:w="1200"/>
            <w:tcMar>
              <w:top w:type="dxa" w:w="80"/>
              <w:left w:type="dxa" w:w="120"/>
              <w:bottom w:type="dxa" w:w="80"/>
              <w:right w:type="dxa" w:w="120"/>
            </w:tcMar>
          </w:tcPr>
          <w:p>
            <w:pPr>
              <w:jc w:val="left"/>
            </w:pPr>
            <w:r>
              <w:rPr>
                <w:b w:val="false"/>
                <w:bCs w:val="false"/>
                <w:color w:val="000000"/>
                <w:sz w:val="20"/>
                <w:szCs w:val="20"/>
              </w:rPr>
              <w:t xml:space="preserve">S</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EF-66</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DEVRAIT émettre des métriques de progression exploitables par un système externe de monitoring.</w:t>
            </w:r>
          </w:p>
        </w:tc>
        <w:tc>
          <w:tcPr>
            <w:tcW w:type="dxa" w:w="1200"/>
            <w:tcMar>
              <w:top w:type="dxa" w:w="80"/>
              <w:left w:type="dxa" w:w="120"/>
              <w:bottom w:type="dxa" w:w="80"/>
              <w:right w:type="dxa" w:w="120"/>
            </w:tcMar>
          </w:tcPr>
          <w:p>
            <w:pPr>
              <w:jc w:val="left"/>
            </w:pPr>
            <w:r>
              <w:rPr>
                <w:b w:val="false"/>
                <w:bCs w:val="false"/>
                <w:color w:val="000000"/>
                <w:sz w:val="20"/>
                <w:szCs w:val="20"/>
              </w:rPr>
              <w:t xml:space="preserve">S</w:t>
            </w:r>
          </w:p>
        </w:tc>
      </w:tr>
    </w:tbl>
    <w:p>
      <w:pPr>
        <w:pBdr>
          <w:top w:val="single" w:color="A5D6A7" w:sz="6" w:space="4"/>
          <w:bottom w:val="single" w:color="A5D6A7" w:sz="6" w:space="4"/>
          <w:left w:val="single" w:color="4CAF50" w:sz="24" w:space="8"/>
          <w:right w:val="single" w:color="A5D6A7" w:sz="6" w:space="4"/>
        </w:pBdr>
        <w:shd w:fill="E8F5E9" w:val="clear"/>
        <w:spacing w:after="120" w:before="120"/>
      </w:pPr>
      <w:r>
        <w:rPr>
          <w:b/>
          <w:bCs/>
          <w:color w:val="4CAF50"/>
          <w:sz w:val="22"/>
          <w:szCs w:val="22"/>
        </w:rPr>
        <w:t xml:space="preserve">AJOUT V1.2 — </w:t>
      </w:r>
      <w:r>
        <w:rPr>
          <w:i/>
          <w:iCs/>
          <w:sz w:val="22"/>
          <w:szCs w:val="22"/>
        </w:rPr>
        <w:t>Le module 7.8 ci-dessous est une extension apportée par la version 1.2. Il regroupe les cinq nouvelles exigences fonctionnelles (EF-67 à EF-71) qui intègrent la méthodologie de simulation comportementale du référent loan-simulation, permettant de produire un historique de crédit dont les indicateurs Portfolio At Risk sont crédibles et défendables devant un prospect institutionnel.</w:t>
      </w:r>
    </w:p>
    <w:p>
      <w:pPr>
        <w:pStyle w:val="Heading2"/>
        <w:spacing w:after="180" w:before="360"/>
      </w:pPr>
      <w:r>
        <w:rPr>
          <w:b/>
          <w:bCs/>
          <w:color w:val="6B2E9E"/>
          <w:sz w:val="26"/>
          <w:szCs w:val="26"/>
        </w:rPr>
        <w:t>7.8 Module Simulation comportementale (EF-67 à EF-71) — AJOUT V1.2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200"/>
      </w:tblGrid>
      <w:tr>
        <w:trPr>
          <w:tblHeader/>
        </w:trPr>
        <w:tc>
          <w:tcPr>
            <w:tcW w:type="dxa" w:w="1000"/>
            <w:shd w:fill="6B2E9E" w:val="clear"/>
            <w:tcMar>
              <w:top w:type="dxa" w:w="100"/>
              <w:left w:type="dxa" w:w="120"/>
              <w:bottom w:type="dxa" w:w="100"/>
              <w:right w:type="dxa" w:w="120"/>
            </w:tcMar>
          </w:tcPr>
          <w:p>
            <w:pPr>
              <w:jc w:val="center"/>
            </w:pPr>
            <w:r>
              <w:rPr>
                <w:b/>
                <w:bCs/>
                <w:color w:val="FFFFFF"/>
                <w:sz w:val="20"/>
                <w:szCs w:val="20"/>
              </w:rPr>
              <w:t xml:space="preserve">ID</w:t>
            </w:r>
          </w:p>
        </w:tc>
        <w:tc>
          <w:tcPr>
            <w:tcW w:type="dxa" w:w="7000"/>
            <w:shd w:fill="6B2E9E" w:val="clear"/>
            <w:tcMar>
              <w:top w:type="dxa" w:w="100"/>
              <w:left w:type="dxa" w:w="120"/>
              <w:bottom w:type="dxa" w:w="100"/>
              <w:right w:type="dxa" w:w="120"/>
            </w:tcMar>
          </w:tcPr>
          <w:p>
            <w:pPr>
              <w:jc w:val="center"/>
            </w:pPr>
            <w:r>
              <w:rPr>
                <w:b/>
                <w:bCs/>
                <w:color w:val="FFFFFF"/>
                <w:sz w:val="20"/>
                <w:szCs w:val="20"/>
              </w:rPr>
              <w:t xml:space="preserve">Exigence</w:t>
            </w:r>
          </w:p>
        </w:tc>
        <w:tc>
          <w:tcPr>
            <w:tcW w:type="dxa" w:w="1200"/>
            <w:shd w:fill="6B2E9E" w:val="clear"/>
            <w:tcMar>
              <w:top w:type="dxa" w:w="100"/>
              <w:left w:type="dxa" w:w="120"/>
              <w:bottom w:type="dxa" w:w="100"/>
              <w:right w:type="dxa" w:w="120"/>
            </w:tcMar>
          </w:tcPr>
          <w:p>
            <w:pPr>
              <w:jc w:val="center"/>
            </w:pPr>
            <w:r>
              <w:rPr>
                <w:b/>
                <w:bCs/>
                <w:color w:val="FFFFFF"/>
                <w:sz w:val="20"/>
                <w:szCs w:val="20"/>
              </w:rPr>
              <w:t xml:space="preserve">Prio</w:t>
            </w:r>
          </w:p>
        </w:tc>
      </w:tr>
      <w:tr>
        <w:tc>
          <w:tcPr>
            <w:tcW w:type="dxa" w:w="1000"/>
            <w:shd w:fill="E8F5E9" w:val="clear"/>
            <w:tcMar>
              <w:top w:type="dxa" w:w="80"/>
              <w:left w:type="dxa" w:w="120"/>
              <w:bottom w:type="dxa" w:w="80"/>
              <w:right w:type="dxa" w:w="120"/>
            </w:tcMar>
          </w:tcPr>
          <w:p>
            <w:pPr>
              <w:jc w:val="left"/>
            </w:pPr>
            <w:r>
              <w:rPr>
                <w:b/>
                <w:bCs/>
                <w:color w:val="000000"/>
                <w:sz w:val="20"/>
                <w:szCs w:val="20"/>
              </w:rPr>
              <w:t xml:space="preserve">EF-67</w:t>
            </w:r>
          </w:p>
        </w:tc>
        <w:tc>
          <w:tcPr>
            <w:tcW w:type="dxa" w:w="7000"/>
            <w:shd w:fill="E8F5E9" w:val="clear"/>
            <w:tcMar>
              <w:top w:type="dxa" w:w="80"/>
              <w:left w:type="dxa" w:w="120"/>
              <w:bottom w:type="dxa" w:w="80"/>
              <w:right w:type="dxa" w:w="120"/>
            </w:tcMar>
          </w:tcPr>
          <w:p>
            <w:pPr>
              <w:jc w:val="left"/>
            </w:pPr>
            <w:r>
              <w:rPr>
                <w:b w:val="false"/>
                <w:bCs w:val="false"/>
                <w:color w:val="000000"/>
                <w:sz w:val="20"/>
                <w:szCs w:val="20"/>
              </w:rPr>
              <w:t xml:space="preserve">Le Loader DOIT attribuer à chaque client généré un profil comportemental de remboursement parmi quatre valeurs : bon payeur, retard puis paiement, défaut partiel, défaut total. La distribution par défaut suit les poids empiriques 50/25/13/12.</w:t>
            </w:r>
          </w:p>
        </w:tc>
        <w:tc>
          <w:tcPr>
            <w:tcW w:type="dxa" w:w="1200"/>
            <w:shd w:fill="E8F5E9" w:val="clear"/>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shd w:fill="E8F5E9" w:val="clear"/>
            <w:tcMar>
              <w:top w:type="dxa" w:w="80"/>
              <w:left w:type="dxa" w:w="120"/>
              <w:bottom w:type="dxa" w:w="80"/>
              <w:right w:type="dxa" w:w="120"/>
            </w:tcMar>
          </w:tcPr>
          <w:p>
            <w:pPr>
              <w:jc w:val="left"/>
            </w:pPr>
            <w:r>
              <w:rPr>
                <w:b/>
                <w:bCs/>
                <w:color w:val="000000"/>
                <w:sz w:val="20"/>
                <w:szCs w:val="20"/>
              </w:rPr>
              <w:t xml:space="preserve">EF-68</w:t>
            </w:r>
          </w:p>
        </w:tc>
        <w:tc>
          <w:tcPr>
            <w:tcW w:type="dxa" w:w="7000"/>
            <w:shd w:fill="E8F5E9" w:val="clear"/>
            <w:tcMar>
              <w:top w:type="dxa" w:w="80"/>
              <w:left w:type="dxa" w:w="120"/>
              <w:bottom w:type="dxa" w:w="80"/>
              <w:right w:type="dxa" w:w="120"/>
            </w:tcMar>
          </w:tcPr>
          <w:p>
            <w:pPr>
              <w:jc w:val="left"/>
            </w:pPr>
            <w:r>
              <w:rPr>
                <w:b w:val="false"/>
                <w:bCs w:val="false"/>
                <w:color w:val="000000"/>
                <w:sz w:val="20"/>
                <w:szCs w:val="20"/>
              </w:rPr>
              <w:t xml:space="preserve">L'attribution du profil DOIT être ajustée dynamiquement selon les caractéristiques du client : genre, âge, segment de risque, historique de remboursement, catégorie client, solde Mobile Money, classe de risque. Les règles d'ajustement sont documentées en Annexe D.</w:t>
            </w:r>
          </w:p>
        </w:tc>
        <w:tc>
          <w:tcPr>
            <w:tcW w:type="dxa" w:w="1200"/>
            <w:shd w:fill="E8F5E9" w:val="clear"/>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shd w:fill="E8F5E9" w:val="clear"/>
            <w:tcMar>
              <w:top w:type="dxa" w:w="80"/>
              <w:left w:type="dxa" w:w="120"/>
              <w:bottom w:type="dxa" w:w="80"/>
              <w:right w:type="dxa" w:w="120"/>
            </w:tcMar>
          </w:tcPr>
          <w:p>
            <w:pPr>
              <w:jc w:val="left"/>
            </w:pPr>
            <w:r>
              <w:rPr>
                <w:b/>
                <w:bCs/>
                <w:color w:val="000000"/>
                <w:sz w:val="20"/>
                <w:szCs w:val="20"/>
              </w:rPr>
              <w:t xml:space="preserve">EF-69</w:t>
            </w:r>
          </w:p>
        </w:tc>
        <w:tc>
          <w:tcPr>
            <w:tcW w:type="dxa" w:w="7000"/>
            <w:shd w:fill="E8F5E9" w:val="clear"/>
            <w:tcMar>
              <w:top w:type="dxa" w:w="80"/>
              <w:left w:type="dxa" w:w="120"/>
              <w:bottom w:type="dxa" w:w="80"/>
              <w:right w:type="dxa" w:w="120"/>
            </w:tcMar>
          </w:tcPr>
          <w:p>
            <w:pPr>
              <w:jc w:val="left"/>
            </w:pPr>
            <w:r>
              <w:rPr>
                <w:b w:val="false"/>
                <w:bCs w:val="false"/>
                <w:color w:val="000000"/>
                <w:sz w:val="20"/>
                <w:szCs w:val="20"/>
              </w:rPr>
              <w:t xml:space="preserve">Le Loader DOIT s'appuyer sur le catalogue produits crédit officiel validé par la Direction Technique le 20 juillet 2026, couvrant les produits Nano, Macro, BNPL et ReadyToGo avec leurs segmentations par risque. Le catalogue est documenté en Annexe E.</w:t>
            </w:r>
          </w:p>
        </w:tc>
        <w:tc>
          <w:tcPr>
            <w:tcW w:type="dxa" w:w="1200"/>
            <w:shd w:fill="E8F5E9" w:val="clear"/>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shd w:fill="E8F5E9" w:val="clear"/>
            <w:tcMar>
              <w:top w:type="dxa" w:w="80"/>
              <w:left w:type="dxa" w:w="120"/>
              <w:bottom w:type="dxa" w:w="80"/>
              <w:right w:type="dxa" w:w="120"/>
            </w:tcMar>
          </w:tcPr>
          <w:p>
            <w:pPr>
              <w:jc w:val="left"/>
            </w:pPr>
            <w:r>
              <w:rPr>
                <w:b/>
                <w:bCs/>
                <w:color w:val="000000"/>
                <w:sz w:val="20"/>
                <w:szCs w:val="20"/>
              </w:rPr>
              <w:t xml:space="preserve">EF-70</w:t>
            </w:r>
          </w:p>
        </w:tc>
        <w:tc>
          <w:tcPr>
            <w:tcW w:type="dxa" w:w="7000"/>
            <w:shd w:fill="E8F5E9" w:val="clear"/>
            <w:tcMar>
              <w:top w:type="dxa" w:w="80"/>
              <w:left w:type="dxa" w:w="120"/>
              <w:bottom w:type="dxa" w:w="80"/>
              <w:right w:type="dxa" w:w="120"/>
            </w:tcMar>
          </w:tcPr>
          <w:p>
            <w:pPr>
              <w:jc w:val="left"/>
            </w:pPr>
            <w:r>
              <w:rPr>
                <w:b w:val="false"/>
                <w:bCs w:val="false"/>
                <w:color w:val="000000"/>
                <w:sz w:val="20"/>
                <w:szCs w:val="20"/>
              </w:rPr>
              <w:t xml:space="preserve">Le Loader DOIT générer un historique de cycle de vie de prêt pour chaque client éligible : création, remboursements progressifs, éventuels retards, clôture ou défaut. La séquence exacte respecte le profil comportemental attribué.</w:t>
            </w:r>
          </w:p>
        </w:tc>
        <w:tc>
          <w:tcPr>
            <w:tcW w:type="dxa" w:w="1200"/>
            <w:shd w:fill="E8F5E9" w:val="clear"/>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shd w:fill="E8F5E9" w:val="clear"/>
            <w:tcMar>
              <w:top w:type="dxa" w:w="80"/>
              <w:left w:type="dxa" w:w="120"/>
              <w:bottom w:type="dxa" w:w="80"/>
              <w:right w:type="dxa" w:w="120"/>
            </w:tcMar>
          </w:tcPr>
          <w:p>
            <w:pPr>
              <w:jc w:val="left"/>
            </w:pPr>
            <w:r>
              <w:rPr>
                <w:b/>
                <w:bCs/>
                <w:color w:val="000000"/>
                <w:sz w:val="20"/>
                <w:szCs w:val="20"/>
              </w:rPr>
              <w:t xml:space="preserve">EF-71</w:t>
            </w:r>
          </w:p>
        </w:tc>
        <w:tc>
          <w:tcPr>
            <w:tcW w:type="dxa" w:w="7000"/>
            <w:shd w:fill="E8F5E9" w:val="clear"/>
            <w:tcMar>
              <w:top w:type="dxa" w:w="80"/>
              <w:left w:type="dxa" w:w="120"/>
              <w:bottom w:type="dxa" w:w="80"/>
              <w:right w:type="dxa" w:w="120"/>
            </w:tcMar>
          </w:tcPr>
          <w:p>
            <w:pPr>
              <w:jc w:val="left"/>
            </w:pPr>
            <w:r>
              <w:rPr>
                <w:b w:val="false"/>
                <w:bCs w:val="false"/>
                <w:color w:val="000000"/>
                <w:sz w:val="20"/>
                <w:szCs w:val="20"/>
              </w:rPr>
              <w:t xml:space="preserve">Le Loader DEVRAIT permettre de configurer la compression temporelle de la simulation (durée réelle représentant un jour métier), avec trois modes : instantané, accéléré, réaliste.</w:t>
            </w:r>
          </w:p>
        </w:tc>
        <w:tc>
          <w:tcPr>
            <w:tcW w:type="dxa" w:w="1200"/>
            <w:shd w:fill="E8F5E9" w:val="clear"/>
            <w:tcMar>
              <w:top w:type="dxa" w:w="80"/>
              <w:left w:type="dxa" w:w="120"/>
              <w:bottom w:type="dxa" w:w="80"/>
              <w:right w:type="dxa" w:w="120"/>
            </w:tcMar>
          </w:tcPr>
          <w:p>
            <w:pPr>
              <w:jc w:val="left"/>
            </w:pPr>
            <w:r>
              <w:rPr>
                <w:b w:val="false"/>
                <w:bCs w:val="false"/>
                <w:color w:val="000000"/>
                <w:sz w:val="20"/>
                <w:szCs w:val="20"/>
              </w:rPr>
              <w:t xml:space="preserve">S</w:t>
            </w:r>
          </w:p>
        </w:tc>
      </w:tr>
    </w:tbl>
    <w:p>
      <w:pPr>
        <w:pBdr>
          <w:top w:val="single" w:color="A5D6A7" w:sz="6" w:space="4"/>
          <w:bottom w:val="single" w:color="A5D6A7" w:sz="6" w:space="4"/>
          <w:left w:val="single" w:color="4CAF50" w:sz="24" w:space="8"/>
          <w:right w:val="single" w:color="A5D6A7" w:sz="6" w:space="4"/>
        </w:pBdr>
        <w:shd w:fill="E8F5E9" w:val="clear"/>
        <w:spacing w:after="120" w:before="120"/>
      </w:pPr>
      <w:r>
        <w:rPr>
          <w:b/>
          <w:bCs/>
          <w:color w:val="4CAF50"/>
          <w:sz w:val="22"/>
          <w:szCs w:val="22"/>
        </w:rPr>
        <w:t xml:space="preserve">AJOUT V1.2 — </w:t>
      </w:r>
      <w:r>
        <w:rPr>
          <w:i/>
          <w:iCs/>
          <w:sz w:val="22"/>
          <w:szCs w:val="22"/>
        </w:rPr>
        <w:t xml:space="preserve">Le module 7.9 ci-dessous formalise l'alimentation des comptes financiers des clients, en cohérence avec le cycle de vie des prêts introduit au module 7.8. Cette formalisation garantit que le solde des comptes évolue de manière crédible pour les démonstrations commerciales et les tests de bout en bout.</w:t>
      </w:r>
    </w:p>
    <w:p>
      <w:pPr>
        <w:pStyle w:val="Heading2"/>
        <w:spacing w:after="180" w:before="360"/>
      </w:pPr>
      <w:r>
        <w:rPr>
          <w:b/>
          <w:bCs/>
          <w:color w:val="6B2E9E"/>
          <w:sz w:val="26"/>
          <w:szCs w:val="26"/>
        </w:rPr>
        <w:t xml:space="preserve">7.9 Module Alimentation des comptes financiers (EF-73 à EF-75) — AJOUT V1.2</w:t>
      </w:r>
    </w:p>
    <w:p>
      <w:pPr>
        <w:spacing w:after="120"/>
        <w:jc w:val="both"/>
      </w:pPr>
      <w:r>
        <w:rPr>
          <w:b w:val="false"/>
          <w:bCs w:val="false"/>
          <w:i w:val="false"/>
          <w:iCs w:val="false"/>
          <w:sz w:val="22"/>
          <w:szCs w:val="22"/>
        </w:rPr>
        <w:t xml:space="preserve">Ce module spécifie comment le solde des comptes des CollectClients est constitué et évolue au fil de la simulation. Trois voies d'alimentation sont formalisées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200"/>
      </w:tblGrid>
      <w:tr>
        <w:trPr>
          <w:tblHeader/>
        </w:trPr>
        <w:tc>
          <w:tcPr>
            <w:tcW w:type="dxa" w:w="1000"/>
            <w:shd w:fill="6B2E9E" w:val="clear"/>
            <w:tcMar>
              <w:top w:type="dxa" w:w="100"/>
              <w:left w:type="dxa" w:w="120"/>
              <w:bottom w:type="dxa" w:w="100"/>
              <w:right w:type="dxa" w:w="120"/>
            </w:tcMar>
          </w:tcPr>
          <w:p>
            <w:pPr>
              <w:jc w:val="center"/>
            </w:pPr>
            <w:r>
              <w:rPr>
                <w:b/>
                <w:bCs/>
                <w:color w:val="FFFFFF"/>
                <w:sz w:val="20"/>
                <w:szCs w:val="20"/>
              </w:rPr>
              <w:t xml:space="preserve">ID</w:t>
            </w:r>
          </w:p>
        </w:tc>
        <w:tc>
          <w:tcPr>
            <w:tcW w:type="dxa" w:w="7000"/>
            <w:shd w:fill="6B2E9E" w:val="clear"/>
            <w:tcMar>
              <w:top w:type="dxa" w:w="100"/>
              <w:left w:type="dxa" w:w="120"/>
              <w:bottom w:type="dxa" w:w="100"/>
              <w:right w:type="dxa" w:w="120"/>
            </w:tcMar>
          </w:tcPr>
          <w:p>
            <w:pPr>
              <w:jc w:val="center"/>
            </w:pPr>
            <w:r>
              <w:rPr>
                <w:b/>
                <w:bCs/>
                <w:color w:val="FFFFFF"/>
                <w:sz w:val="20"/>
                <w:szCs w:val="20"/>
              </w:rPr>
              <w:t xml:space="preserve">Exigence</w:t>
            </w:r>
          </w:p>
        </w:tc>
        <w:tc>
          <w:tcPr>
            <w:tcW w:type="dxa" w:w="1200"/>
            <w:shd w:fill="6B2E9E" w:val="clear"/>
            <w:tcMar>
              <w:top w:type="dxa" w:w="100"/>
              <w:left w:type="dxa" w:w="120"/>
              <w:bottom w:type="dxa" w:w="100"/>
              <w:right w:type="dxa" w:w="120"/>
            </w:tcMar>
          </w:tcPr>
          <w:p>
            <w:pPr>
              <w:jc w:val="center"/>
            </w:pPr>
            <w:r>
              <w:rPr>
                <w:b/>
                <w:bCs/>
                <w:color w:val="FFFFFF"/>
                <w:sz w:val="20"/>
                <w:szCs w:val="20"/>
              </w:rPr>
              <w:t xml:space="preserve">Prio</w:t>
            </w:r>
          </w:p>
        </w:tc>
      </w:tr>
      <w:tr>
        <w:tc>
          <w:tcPr>
            <w:tcW w:type="dxa" w:w="1000"/>
            <w:shd w:fill="E8F5E9" w:val="clear"/>
            <w:tcMar>
              <w:top w:type="dxa" w:w="80"/>
              <w:left w:type="dxa" w:w="120"/>
              <w:bottom w:type="dxa" w:w="80"/>
              <w:right w:type="dxa" w:w="120"/>
            </w:tcMar>
          </w:tcPr>
          <w:p>
            <w:pPr>
              <w:jc w:val="left"/>
            </w:pPr>
            <w:r>
              <w:rPr>
                <w:b/>
                <w:bCs/>
                <w:color w:val="000000"/>
                <w:sz w:val="20"/>
                <w:szCs w:val="20"/>
              </w:rPr>
              <w:t xml:space="preserve">EF-73</w:t>
            </w:r>
          </w:p>
        </w:tc>
        <w:tc>
          <w:tcPr>
            <w:tcW w:type="dxa" w:w="7000"/>
            <w:shd w:fill="E8F5E9" w:val="clear"/>
            <w:tcMar>
              <w:top w:type="dxa" w:w="80"/>
              <w:left w:type="dxa" w:w="120"/>
              <w:bottom w:type="dxa" w:w="80"/>
              <w:right w:type="dxa" w:w="120"/>
            </w:tcMar>
          </w:tcPr>
          <w:p>
            <w:pPr>
              <w:jc w:val="left"/>
            </w:pPr>
            <w:r>
              <w:rPr>
                <w:b w:val="false"/>
                <w:bCs w:val="false"/>
                <w:color w:val="000000"/>
                <w:sz w:val="20"/>
                <w:szCs w:val="20"/>
              </w:rPr>
              <w:t xml:space="preserve">Le Loader DOIT doter chaque compte client d'un solde initial à sa création, dérivé du montant Mobile Money du payload Faker. Cette voie garantit que chaque client dispose d'un patrimoine cohérent avec son profil socio-économique, sans invention arbitraire de montants.</w:t>
            </w:r>
          </w:p>
        </w:tc>
        <w:tc>
          <w:tcPr>
            <w:tcW w:type="dxa" w:w="1200"/>
            <w:shd w:fill="E8F5E9" w:val="clear"/>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shd w:fill="E8F5E9" w:val="clear"/>
            <w:tcMar>
              <w:top w:type="dxa" w:w="80"/>
              <w:left w:type="dxa" w:w="120"/>
              <w:bottom w:type="dxa" w:w="80"/>
              <w:right w:type="dxa" w:w="120"/>
            </w:tcMar>
          </w:tcPr>
          <w:p>
            <w:pPr>
              <w:jc w:val="left"/>
            </w:pPr>
            <w:r>
              <w:rPr>
                <w:b/>
                <w:bCs/>
                <w:color w:val="000000"/>
                <w:sz w:val="20"/>
                <w:szCs w:val="20"/>
              </w:rPr>
              <w:t xml:space="preserve">EF-74</w:t>
            </w:r>
          </w:p>
        </w:tc>
        <w:tc>
          <w:tcPr>
            <w:tcW w:type="dxa" w:w="7000"/>
            <w:shd w:fill="E8F5E9" w:val="clear"/>
            <w:tcMar>
              <w:top w:type="dxa" w:w="80"/>
              <w:left w:type="dxa" w:w="120"/>
              <w:bottom w:type="dxa" w:w="80"/>
              <w:right w:type="dxa" w:w="120"/>
            </w:tcMar>
          </w:tcPr>
          <w:p>
            <w:pPr>
              <w:jc w:val="left"/>
            </w:pPr>
            <w:r>
              <w:rPr>
                <w:b w:val="false"/>
                <w:bCs w:val="false"/>
                <w:color w:val="000000"/>
                <w:sz w:val="20"/>
                <w:szCs w:val="20"/>
              </w:rPr>
              <w:t xml:space="preserve">Le Loader DOIT créditer le compte du client à hauteur du capital du prêt à chaque événement de décaissement. Cette voie assure la cohérence entre l'existence du prêt et la trésorerie effectivement mise à disposition du client.</w:t>
            </w:r>
          </w:p>
        </w:tc>
        <w:tc>
          <w:tcPr>
            <w:tcW w:type="dxa" w:w="1200"/>
            <w:shd w:fill="E8F5E9" w:val="clear"/>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shd w:fill="E8F5E9" w:val="clear"/>
            <w:tcMar>
              <w:top w:type="dxa" w:w="80"/>
              <w:left w:type="dxa" w:w="120"/>
              <w:bottom w:type="dxa" w:w="80"/>
              <w:right w:type="dxa" w:w="120"/>
            </w:tcMar>
          </w:tcPr>
          <w:p>
            <w:pPr>
              <w:jc w:val="left"/>
            </w:pPr>
            <w:r>
              <w:rPr>
                <w:b/>
                <w:bCs/>
                <w:color w:val="000000"/>
                <w:sz w:val="20"/>
                <w:szCs w:val="20"/>
              </w:rPr>
              <w:t xml:space="preserve">EF-75</w:t>
            </w:r>
          </w:p>
        </w:tc>
        <w:tc>
          <w:tcPr>
            <w:tcW w:type="dxa" w:w="7000"/>
            <w:shd w:fill="E8F5E9" w:val="clear"/>
            <w:tcMar>
              <w:top w:type="dxa" w:w="80"/>
              <w:left w:type="dxa" w:w="120"/>
              <w:bottom w:type="dxa" w:w="80"/>
              <w:right w:type="dxa" w:w="120"/>
            </w:tcMar>
          </w:tcPr>
          <w:p>
            <w:pPr>
              <w:jc w:val="left"/>
            </w:pPr>
            <w:r>
              <w:rPr>
                <w:b w:val="false"/>
                <w:bCs w:val="false"/>
                <w:color w:val="000000"/>
                <w:sz w:val="20"/>
                <w:szCs w:val="20"/>
              </w:rPr>
              <w:t xml:space="preserve">Le Loader DOIT débiter le compte du client à hauteur du montant remboursé à chaque événement de remboursement. Cette voie garantit que le solde du compte reflète fidèlement l'historique de remboursement du client, en cohérence avec le profil comportemental attribué.</w:t>
            </w:r>
          </w:p>
        </w:tc>
        <w:tc>
          <w:tcPr>
            <w:tcW w:type="dxa" w:w="1200"/>
            <w:shd w:fill="E8F5E9" w:val="clear"/>
            <w:tcMar>
              <w:top w:type="dxa" w:w="80"/>
              <w:left w:type="dxa" w:w="120"/>
              <w:bottom w:type="dxa" w:w="80"/>
              <w:right w:type="dxa" w:w="120"/>
            </w:tcMar>
          </w:tcPr>
          <w:p>
            <w:pPr>
              <w:jc w:val="left"/>
            </w:pPr>
            <w:r>
              <w:rPr>
                <w:b w:val="false"/>
                <w:bCs w:val="false"/>
                <w:color w:val="000000"/>
                <w:sz w:val="20"/>
                <w:szCs w:val="20"/>
              </w:rPr>
              <w:t xml:space="preserve">M</w:t>
            </w:r>
          </w:p>
        </w:tc>
      </w:tr>
    </w:tbl>
    <w:p>
      <w:pPr>
        <w:spacing w:after="120"/>
        <w:jc w:val="both"/>
      </w:pPr>
      <w:r>
        <w:rPr>
          <w:b w:val="false"/>
          <w:bCs w:val="false"/>
          <w:i w:val="false"/>
          <w:iCs w:val="false"/>
          <w:sz w:val="22"/>
          <w:szCs w:val="22"/>
        </w:rPr>
        <w:t xml:space="preserve"/>
      </w:r>
    </w:p>
    <w:p>
      <w:pPr>
        <w:spacing w:after="120"/>
        <w:jc w:val="both"/>
      </w:pPr>
      <w:r>
        <w:rPr>
          <w:b w:val="false"/>
          <w:bCs w:val="false"/>
          <w:i/>
          <w:iCs/>
          <w:sz w:val="22"/>
          <w:szCs w:val="22"/>
        </w:rPr>
        <w:t xml:space="preserve">Ces trois voies opèrent de manière conjointe : à tout instant de la simulation, le solde du compte d'un client résulte de son solde initial, augmenté des décaissements de prêts et diminué des remboursements effectués. Cette invariance métier est un critère de recette (voir CR-12 en chapitre 12).</w:t>
      </w:r>
    </w:p>
    <w:p>
      <w:pPr>
        <w:shd w:val="clear" w:fill="E8F5E9"/>
      </w:pPr>
      <w:r>
        <w:rPr>
          <w:sz w:val="22"/>
          <w:i/>
        </w:rPr>
        <w:t xml:space="preserve">AJOUT V1.2 — Le module 7.10 ci-dessous formalise la vie financière commune de tous les clients sur la fenêtre historique de 180 jours, y compris les clients DECLINED ou NOT SCORED. Il documente également la réutilisation des fonctions de dates du script du référent loan-simulation et la position du Loader vis-à-vis de la source de scoring (Faker source unique, sans appel à ReadyScore). Ce module contient les cinq exigences EF-76 à EF-80.</w:t>
      </w:r>
    </w:p>
    <w:p>
      <w:pPr>
        <w:pStyle w:val="Heading2"/>
        <w:shd w:val="clear" w:fill="E8F5E9"/>
      </w:pPr>
      <w:r>
        <w:rPr>
          <w:sz w:val="26"/>
          <w:b/>
          <w:color w:val="6B2E9E"/>
        </w:rPr>
        <w:t xml:space="preserve">7.10 Module Vie commune et re-scoring (EF-76 à EF-80) — AJOUT V1.2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w="1400" w:type="dxa"/>
            <w:tcBorders>
              <w:top w:val="single" w:sz="4" w:color="000000"/>
              <w:left w:val="single" w:sz="4" w:color="000000"/>
              <w:bottom w:val="single" w:sz="4" w:color="000000"/>
              <w:right w:val="single" w:sz="4" w:color="000000"/>
            </w:tcBorders>
            <w:shd w:val="clear" w:fill="E8F5E9"/>
          </w:tcPr>
          <w:p>
            <w:r>
              <w:rPr>
                <w:sz w:val="20"/>
                <w:b/>
              </w:rPr>
              <w:t xml:space="preserve">ID</w:t>
            </w:r>
          </w:p>
        </w:tc>
        <w:tc>
          <w:tcPr>
            <w:tcW w:w="11000" w:type="dxa"/>
            <w:tcBorders>
              <w:top w:val="single" w:sz="4" w:color="000000"/>
              <w:left w:val="single" w:sz="4" w:color="000000"/>
              <w:bottom w:val="single" w:sz="4" w:color="000000"/>
              <w:right w:val="single" w:sz="4" w:color="000000"/>
            </w:tcBorders>
            <w:shd w:val="clear" w:fill="E8F5E9"/>
          </w:tcPr>
          <w:p>
            <w:r>
              <w:rPr>
                <w:sz w:val="20"/>
                <w:b/>
              </w:rPr>
              <w:t xml:space="preserve">Exigence</w:t>
            </w:r>
          </w:p>
        </w:tc>
        <w:tc>
          <w:tcPr>
            <w:tcW w:w="1000" w:type="dxa"/>
            <w:tcBorders>
              <w:top w:val="single" w:sz="4" w:color="000000"/>
              <w:left w:val="single" w:sz="4" w:color="000000"/>
              <w:bottom w:val="single" w:sz="4" w:color="000000"/>
              <w:right w:val="single" w:sz="4" w:color="000000"/>
            </w:tcBorders>
            <w:shd w:val="clear" w:fill="E8F5E9"/>
          </w:tcPr>
          <w:p>
            <w:r>
              <w:rPr>
                <w:sz w:val="20"/>
                <w:b/>
              </w:rPr>
              <w:t xml:space="preserve">Prio</w:t>
            </w:r>
          </w:p>
        </w:tc>
      </w:tr>
      <w:tr>
        <w:tc>
          <w:tcPr>
            <w:tcW w:w="1400" w:type="dxa"/>
            <w:tcBorders>
              <w:top w:val="single" w:sz="4" w:color="000000"/>
              <w:left w:val="single" w:sz="4" w:color="000000"/>
              <w:bottom w:val="single" w:sz="4" w:color="000000"/>
              <w:right w:val="single" w:sz="4" w:color="000000"/>
            </w:tcBorders>
            <w:shd w:val="clear" w:fill="E8F5E9"/>
          </w:tcPr>
          <w:p>
            <w:r>
              <w:rPr>
                <w:sz w:val="20"/>
                <w:b/>
              </w:rPr>
              <w:t xml:space="preserve">EF-76</w:t>
            </w:r>
          </w:p>
        </w:tc>
        <w:tc>
          <w:tcPr>
            <w:tcW w:w="11000" w:type="dxa"/>
            <w:tcBorders>
              <w:top w:val="single" w:sz="4" w:color="000000"/>
              <w:left w:val="single" w:sz="4" w:color="000000"/>
              <w:bottom w:val="single" w:sz="4" w:color="000000"/>
              <w:right w:val="single" w:sz="4" w:color="000000"/>
            </w:tcBorders>
            <w:shd w:val="clear" w:fill="E8F5E9"/>
          </w:tcPr>
          <w:p>
            <w:r>
              <w:rPr>
                <w:sz w:val="20"/>
              </w:rPr>
              <w:t xml:space="preserve">Le Loader DOIT réutiliser les fonctions de conversion des jours de simulation en horodatages réels issues du script du référent loan-simulation (fonctions _wall_from_sim_day, _current_sim_day, _wall_time_for_sim_day, _scoring_date_to_sim_day) pour assurer la cohérence temporelle entre les événements générés et la fenêtre historique paramétrable.</w:t>
            </w:r>
          </w:p>
        </w:tc>
        <w:tc>
          <w:tcPr>
            <w:tcW w:w="1000" w:type="dxa"/>
            <w:tcBorders>
              <w:top w:val="single" w:sz="4" w:color="000000"/>
              <w:left w:val="single" w:sz="4" w:color="000000"/>
              <w:bottom w:val="single" w:sz="4" w:color="000000"/>
              <w:right w:val="single" w:sz="4" w:color="000000"/>
            </w:tcBorders>
            <w:shd w:val="clear" w:fill="E8F5E9"/>
          </w:tcPr>
          <w:p>
            <w:r>
              <w:rPr>
                <w:sz w:val="20"/>
                <w:b/>
              </w:rPr>
              <w:t xml:space="preserve">M</w:t>
            </w:r>
          </w:p>
        </w:tc>
      </w:tr>
      <w:tr>
        <w:tc>
          <w:tcPr>
            <w:tcW w:w="1400" w:type="dxa"/>
            <w:tcBorders>
              <w:top w:val="single" w:sz="4" w:color="000000"/>
              <w:left w:val="single" w:sz="4" w:color="000000"/>
              <w:bottom w:val="single" w:sz="4" w:color="000000"/>
              <w:right w:val="single" w:sz="4" w:color="000000"/>
            </w:tcBorders>
            <w:shd w:val="clear" w:fill="E8F5E9"/>
          </w:tcPr>
          <w:p>
            <w:r>
              <w:rPr>
                <w:sz w:val="20"/>
                <w:b/>
              </w:rPr>
              <w:t xml:space="preserve">EF-77</w:t>
            </w:r>
          </w:p>
        </w:tc>
        <w:tc>
          <w:tcPr>
            <w:tcW w:w="11000" w:type="dxa"/>
            <w:tcBorders>
              <w:top w:val="single" w:sz="4" w:color="000000"/>
              <w:left w:val="single" w:sz="4" w:color="000000"/>
              <w:bottom w:val="single" w:sz="4" w:color="000000"/>
              <w:right w:val="single" w:sz="4" w:color="000000"/>
            </w:tcBorders>
            <w:shd w:val="clear" w:fill="E8F5E9"/>
          </w:tcPr>
          <w:p>
            <w:r>
              <w:rPr>
                <w:sz w:val="20"/>
              </w:rPr>
              <w:t xml:space="preserve">Le Loader DOIT simuler la vie financière commune (comptes, épargne, paiements marchands, opérations P2P et Mobile Money, souscriptions Collecte) pour l'intégralité des 2000 clients cibles, indépendamment de leur statut de scoring, sur toute la fenêtre historique de 180 jours.</w:t>
            </w:r>
          </w:p>
        </w:tc>
        <w:tc>
          <w:tcPr>
            <w:tcW w:w="1000" w:type="dxa"/>
            <w:tcBorders>
              <w:top w:val="single" w:sz="4" w:color="000000"/>
              <w:left w:val="single" w:sz="4" w:color="000000"/>
              <w:bottom w:val="single" w:sz="4" w:color="000000"/>
              <w:right w:val="single" w:sz="4" w:color="000000"/>
            </w:tcBorders>
            <w:shd w:val="clear" w:fill="E8F5E9"/>
          </w:tcPr>
          <w:p>
            <w:r>
              <w:rPr>
                <w:sz w:val="20"/>
                <w:b/>
              </w:rPr>
              <w:t xml:space="preserve">M</w:t>
            </w:r>
          </w:p>
        </w:tc>
      </w:tr>
      <w:tr>
        <w:tc>
          <w:tcPr>
            <w:tcW w:w="1400" w:type="dxa"/>
            <w:tcBorders>
              <w:top w:val="single" w:sz="4" w:color="000000"/>
              <w:left w:val="single" w:sz="4" w:color="000000"/>
              <w:bottom w:val="single" w:sz="4" w:color="000000"/>
              <w:right w:val="single" w:sz="4" w:color="000000"/>
            </w:tcBorders>
            <w:shd w:val="clear" w:fill="E8F5E9"/>
          </w:tcPr>
          <w:p>
            <w:r>
              <w:rPr>
                <w:sz w:val="20"/>
                <w:b/>
              </w:rPr>
              <w:t xml:space="preserve">EF-78</w:t>
            </w:r>
          </w:p>
        </w:tc>
        <w:tc>
          <w:tcPr>
            <w:tcW w:w="11000" w:type="dxa"/>
            <w:tcBorders>
              <w:top w:val="single" w:sz="4" w:color="000000"/>
              <w:left w:val="single" w:sz="4" w:color="000000"/>
              <w:bottom w:val="single" w:sz="4" w:color="000000"/>
              <w:right w:val="single" w:sz="4" w:color="000000"/>
            </w:tcBorders>
            <w:shd w:val="clear" w:fill="E8F5E9"/>
          </w:tcPr>
          <w:p>
            <w:r>
              <w:rPr>
                <w:sz w:val="20"/>
              </w:rPr>
              <w:t xml:space="preserve">Le Loader DOIT permettre aux clients DECLINED ou NOT SCORED de conserver une activité normale d'épargne, de paiements marchands, de souscriptions Collecte et d'opérations P2P et Mobile Money durant les 180 jours, sans jamais générer d'événement de crédit (CREATE_LOAN, REPAY_LOAN, SET_DPD) pour ces clients.</w:t>
            </w:r>
          </w:p>
        </w:tc>
        <w:tc>
          <w:tcPr>
            <w:tcW w:w="1000" w:type="dxa"/>
            <w:tcBorders>
              <w:top w:val="single" w:sz="4" w:color="000000"/>
              <w:left w:val="single" w:sz="4" w:color="000000"/>
              <w:bottom w:val="single" w:sz="4" w:color="000000"/>
              <w:right w:val="single" w:sz="4" w:color="000000"/>
            </w:tcBorders>
            <w:shd w:val="clear" w:fill="E8F5E9"/>
          </w:tcPr>
          <w:p>
            <w:r>
              <w:rPr>
                <w:sz w:val="20"/>
                <w:b/>
              </w:rPr>
              <w:t xml:space="preserve">M</w:t>
            </w:r>
          </w:p>
        </w:tc>
      </w:tr>
      <w:tr>
        <w:tc>
          <w:tcPr>
            <w:tcW w:w="1400" w:type="dxa"/>
            <w:tcBorders>
              <w:top w:val="single" w:sz="4" w:color="000000"/>
              <w:left w:val="single" w:sz="4" w:color="000000"/>
              <w:bottom w:val="single" w:sz="4" w:color="000000"/>
              <w:right w:val="single" w:sz="4" w:color="000000"/>
            </w:tcBorders>
            <w:shd w:val="clear" w:fill="E8F5E9"/>
          </w:tcPr>
          <w:p>
            <w:r>
              <w:rPr>
                <w:sz w:val="20"/>
                <w:b/>
              </w:rPr>
              <w:t xml:space="preserve">EF-79</w:t>
            </w:r>
          </w:p>
        </w:tc>
        <w:tc>
          <w:tcPr>
            <w:tcW w:w="11000" w:type="dxa"/>
            <w:tcBorders>
              <w:top w:val="single" w:sz="4" w:color="000000"/>
              <w:left w:val="single" w:sz="4" w:color="000000"/>
              <w:bottom w:val="single" w:sz="4" w:color="000000"/>
              <w:right w:val="single" w:sz="4" w:color="000000"/>
            </w:tcBorders>
            <w:shd w:val="clear" w:fill="E8F5E9"/>
          </w:tcPr>
          <w:p>
            <w:r>
              <w:rPr>
                <w:sz w:val="20"/>
              </w:rPr>
              <w:t xml:space="preserve">Le Loader DEVRAIT gérer des tentatives de re-scoring périodiques pour les clients DECLINED, avec un délai paramétrable (30, 60 ou 90 jours) après le refus initial. En cas de nouveau scoring APPROVED, le client bascule vers la couche cycle crédit.</w:t>
            </w:r>
          </w:p>
        </w:tc>
        <w:tc>
          <w:tcPr>
            <w:tcW w:w="1000" w:type="dxa"/>
            <w:tcBorders>
              <w:top w:val="single" w:sz="4" w:color="000000"/>
              <w:left w:val="single" w:sz="4" w:color="000000"/>
              <w:bottom w:val="single" w:sz="4" w:color="000000"/>
              <w:right w:val="single" w:sz="4" w:color="000000"/>
            </w:tcBorders>
            <w:shd w:val="clear" w:fill="E8F5E9"/>
          </w:tcPr>
          <w:p>
            <w:r>
              <w:rPr>
                <w:sz w:val="20"/>
                <w:b/>
              </w:rPr>
              <w:t xml:space="preserve">S</w:t>
            </w:r>
          </w:p>
        </w:tc>
      </w:tr>
      <w:tr>
        <w:tc>
          <w:tcPr>
            <w:tcW w:w="1400" w:type="dxa"/>
            <w:tcBorders>
              <w:top w:val="single" w:sz="4" w:color="000000"/>
              <w:left w:val="single" w:sz="4" w:color="000000"/>
              <w:bottom w:val="single" w:sz="4" w:color="000000"/>
              <w:right w:val="single" w:sz="4" w:color="000000"/>
            </w:tcBorders>
            <w:shd w:val="clear" w:fill="E8F5E9"/>
          </w:tcPr>
          <w:p>
            <w:r>
              <w:rPr>
                <w:sz w:val="20"/>
                <w:b/>
              </w:rPr>
              <w:t xml:space="preserve">EF-80</w:t>
            </w:r>
          </w:p>
        </w:tc>
        <w:tc>
          <w:tcPr>
            <w:tcW w:w="11000" w:type="dxa"/>
            <w:tcBorders>
              <w:top w:val="single" w:sz="4" w:color="000000"/>
              <w:left w:val="single" w:sz="4" w:color="000000"/>
              <w:bottom w:val="single" w:sz="4" w:color="000000"/>
              <w:right w:val="single" w:sz="4" w:color="000000"/>
            </w:tcBorders>
            <w:shd w:val="clear" w:fill="E8F5E9"/>
          </w:tcPr>
          <w:p>
            <w:r>
              <w:rPr>
                <w:sz w:val="20"/>
              </w:rPr>
              <w:t xml:space="preserve">Le Loader DOIT extraire les décisions de scoring (statut APPROVED ou DECLINED, produit sélectionné, montant sélectionné, segment de risque) directement depuis les payloads Faker (champs decision.decision_status, decision.selected_product, decision.selected_amount, metadata.behavior_segment) sans appel HTTP à ReadyScore.</w:t>
            </w:r>
          </w:p>
        </w:tc>
        <w:tc>
          <w:tcPr>
            <w:tcW w:w="1000" w:type="dxa"/>
            <w:tcBorders>
              <w:top w:val="single" w:sz="4" w:color="000000"/>
              <w:left w:val="single" w:sz="4" w:color="000000"/>
              <w:bottom w:val="single" w:sz="4" w:color="000000"/>
              <w:right w:val="single" w:sz="4" w:color="000000"/>
            </w:tcBorders>
            <w:shd w:val="clear" w:fill="E8F5E9"/>
          </w:tcPr>
          <w:p>
            <w:r>
              <w:rPr>
                <w:sz w:val="20"/>
                <w:b/>
              </w:rPr>
              <w:t xml:space="preserve">M</w:t>
            </w:r>
          </w:p>
        </w:tc>
      </w:tr>
    </w:tbl>
    <w:p>
      <w:pPr/>
      <w:r>
        <w:rPr>
          <w:sz w:val="22"/>
          <w:i/>
        </w:rPr>
        <w:t xml:space="preserve">Ce module verrouille trois principes empiriques : premièrement, la fenêtre historique de 180 jours et la réutilisation des fonctions de conversion temporelle garantissent la cohérence entre les événements simulés et les horodatages réels ; deuxièmement, la vie commune s'applique à tous les clients sans distinction de statut de scoring, ce qui produit un écosystème de test complet et représentatif ; troisièmement, Faker est la source unique et suffisante des décisions de scoring pour le Loader, ce qui préserve l'isolation du Loader vis-à-vis du service externe ReadyScore.</w:t>
      </w:r>
    </w:p>
    <w:p>
      <w:r>
        <w:br w:type="page"/>
      </w:r>
    </w:p>
    <w:p>
      <w:pPr>
        <w:pStyle w:val="Heading1"/>
        <w:spacing w:after="240" w:before="480"/>
      </w:pPr>
      <w:r>
        <w:rPr>
          <w:b/>
          <w:bCs/>
          <w:color w:val="6B2E9E"/>
          <w:sz w:val="32"/>
          <w:szCs w:val="32"/>
        </w:rPr>
        <w:t xml:space="preserve">8. Exigences non fonctionnelles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000"/>
      </w:tblGrid>
      <w:tr>
        <w:trPr>
          <w:tblHeader/>
        </w:trPr>
        <w:tc>
          <w:tcPr>
            <w:tcW w:type="dxa" w:w="1000"/>
            <w:shd w:fill="6B2E9E" w:val="clear"/>
            <w:tcMar>
              <w:top w:type="dxa" w:w="100"/>
              <w:left w:type="dxa" w:w="120"/>
              <w:bottom w:type="dxa" w:w="100"/>
              <w:right w:type="dxa" w:w="120"/>
            </w:tcMar>
          </w:tcPr>
          <w:p>
            <w:pPr>
              <w:jc w:val="center"/>
            </w:pPr>
            <w:r>
              <w:rPr>
                <w:b/>
                <w:bCs/>
                <w:color w:val="FFFFFF"/>
                <w:sz w:val="20"/>
                <w:szCs w:val="20"/>
              </w:rPr>
              <w:t xml:space="preserve">ID</w:t>
            </w:r>
          </w:p>
        </w:tc>
        <w:tc>
          <w:tcPr>
            <w:tcW w:type="dxa" w:w="2200"/>
            <w:shd w:fill="6B2E9E" w:val="clear"/>
            <w:tcMar>
              <w:top w:type="dxa" w:w="100"/>
              <w:left w:type="dxa" w:w="120"/>
              <w:bottom w:type="dxa" w:w="100"/>
              <w:right w:type="dxa" w:w="120"/>
            </w:tcMar>
          </w:tcPr>
          <w:p>
            <w:pPr>
              <w:jc w:val="center"/>
            </w:pPr>
            <w:r>
              <w:rPr>
                <w:b/>
                <w:bCs/>
                <w:color w:val="FFFFFF"/>
                <w:sz w:val="20"/>
                <w:szCs w:val="20"/>
              </w:rPr>
              <w:t xml:space="preserve">Catégorie</w:t>
            </w:r>
          </w:p>
        </w:tc>
        <w:tc>
          <w:tcPr>
            <w:tcW w:type="dxa" w:w="6000"/>
            <w:shd w:fill="6B2E9E" w:val="clear"/>
            <w:tcMar>
              <w:top w:type="dxa" w:w="100"/>
              <w:left w:type="dxa" w:w="120"/>
              <w:bottom w:type="dxa" w:w="100"/>
              <w:right w:type="dxa" w:w="120"/>
            </w:tcMar>
          </w:tcPr>
          <w:p>
            <w:pPr>
              <w:jc w:val="center"/>
            </w:pPr>
            <w:r>
              <w:rPr>
                <w:b/>
                <w:bCs/>
                <w:color w:val="FFFFFF"/>
                <w:sz w:val="20"/>
                <w:szCs w:val="20"/>
              </w:rPr>
              <w:t xml:space="preserve">Exigence</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ENF-01</w:t>
            </w:r>
          </w:p>
        </w:tc>
        <w:tc>
          <w:tcPr>
            <w:tcW w:type="dxa" w:w="2200"/>
            <w:tcMar>
              <w:top w:type="dxa" w:w="80"/>
              <w:left w:type="dxa" w:w="120"/>
              <w:bottom w:type="dxa" w:w="80"/>
              <w:right w:type="dxa" w:w="120"/>
            </w:tcMar>
          </w:tcPr>
          <w:p>
            <w:pPr>
              <w:jc w:val="left"/>
            </w:pPr>
            <w:r>
              <w:rPr>
                <w:b w:val="false"/>
                <w:bCs w:val="false"/>
                <w:color w:val="000000"/>
                <w:sz w:val="20"/>
                <w:szCs w:val="20"/>
              </w:rPr>
              <w:t xml:space="preserve">Performance</w:t>
            </w:r>
          </w:p>
        </w:tc>
        <w:tc>
          <w:tcPr>
            <w:tcW w:type="dxa" w:w="6000"/>
            <w:tcMar>
              <w:top w:type="dxa" w:w="80"/>
              <w:left w:type="dxa" w:w="120"/>
              <w:bottom w:type="dxa" w:w="80"/>
              <w:right w:type="dxa" w:w="120"/>
            </w:tcMar>
          </w:tcPr>
          <w:p>
            <w:pPr>
              <w:jc w:val="left"/>
            </w:pPr>
            <w:r>
              <w:rPr>
                <w:b w:val="false"/>
                <w:bCs w:val="false"/>
                <w:color w:val="000000"/>
                <w:sz w:val="20"/>
                <w:szCs w:val="20"/>
              </w:rPr>
              <w:t xml:space="preserve">La génération de 2000 clients avec vérification de leur historique de crédit DOIT s'exécuter en moins de 30 minutes sur l'infrastructure cible.</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ENF-02</w:t>
            </w:r>
          </w:p>
        </w:tc>
        <w:tc>
          <w:tcPr>
            <w:tcW w:type="dxa" w:w="2200"/>
            <w:tcMar>
              <w:top w:type="dxa" w:w="80"/>
              <w:left w:type="dxa" w:w="120"/>
              <w:bottom w:type="dxa" w:w="80"/>
              <w:right w:type="dxa" w:w="120"/>
            </w:tcMar>
          </w:tcPr>
          <w:p>
            <w:pPr>
              <w:jc w:val="left"/>
            </w:pPr>
            <w:r>
              <w:rPr>
                <w:b w:val="false"/>
                <w:bCs w:val="false"/>
                <w:color w:val="000000"/>
                <w:sz w:val="20"/>
                <w:szCs w:val="20"/>
              </w:rPr>
              <w:t xml:space="preserve">Réactivité</w:t>
            </w:r>
          </w:p>
        </w:tc>
        <w:tc>
          <w:tcPr>
            <w:tcW w:type="dxa" w:w="6000"/>
            <w:tcMar>
              <w:top w:type="dxa" w:w="80"/>
              <w:left w:type="dxa" w:w="120"/>
              <w:bottom w:type="dxa" w:w="80"/>
              <w:right w:type="dxa" w:w="120"/>
            </w:tcMar>
          </w:tcPr>
          <w:p>
            <w:pPr>
              <w:jc w:val="left"/>
            </w:pPr>
            <w:r>
              <w:rPr>
                <w:b w:val="false"/>
                <w:bCs w:val="false"/>
                <w:color w:val="000000"/>
                <w:sz w:val="20"/>
                <w:szCs w:val="20"/>
              </w:rPr>
              <w:t xml:space="preserve">L'interface graphique DOIT rester réactive pendant l'exécution ; aucun blocage supérieur à 2 secondes n'est acceptable.</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ENF-03</w:t>
            </w:r>
          </w:p>
        </w:tc>
        <w:tc>
          <w:tcPr>
            <w:tcW w:type="dxa" w:w="2200"/>
            <w:tcMar>
              <w:top w:type="dxa" w:w="80"/>
              <w:left w:type="dxa" w:w="120"/>
              <w:bottom w:type="dxa" w:w="80"/>
              <w:right w:type="dxa" w:w="120"/>
            </w:tcMar>
          </w:tcPr>
          <w:p>
            <w:pPr>
              <w:jc w:val="left"/>
            </w:pPr>
            <w:r>
              <w:rPr>
                <w:b w:val="false"/>
                <w:bCs w:val="false"/>
                <w:color w:val="000000"/>
                <w:sz w:val="20"/>
                <w:szCs w:val="20"/>
              </w:rPr>
              <w:t xml:space="preserve">Résilience</w:t>
            </w:r>
          </w:p>
        </w:tc>
        <w:tc>
          <w:tcPr>
            <w:tcW w:type="dxa" w:w="6000"/>
            <w:tcMar>
              <w:top w:type="dxa" w:w="80"/>
              <w:left w:type="dxa" w:w="120"/>
              <w:bottom w:type="dxa" w:w="80"/>
              <w:right w:type="dxa" w:w="120"/>
            </w:tcMar>
          </w:tcPr>
          <w:p>
            <w:pPr>
              <w:jc w:val="left"/>
            </w:pPr>
            <w:r>
              <w:rPr>
                <w:b w:val="false"/>
                <w:bCs w:val="false"/>
                <w:color w:val="000000"/>
                <w:sz w:val="20"/>
                <w:szCs w:val="20"/>
              </w:rPr>
              <w:t xml:space="preserve">Toute défaillance d'une source externe (timeout, 404, indisponibilité) DOIT être gérée par une stratégie de nouvelle tentative avec repli, sans interruption de l'exécution globale.</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ENF-04</w:t>
            </w:r>
          </w:p>
        </w:tc>
        <w:tc>
          <w:tcPr>
            <w:tcW w:type="dxa" w:w="2200"/>
            <w:tcMar>
              <w:top w:type="dxa" w:w="80"/>
              <w:left w:type="dxa" w:w="120"/>
              <w:bottom w:type="dxa" w:w="80"/>
              <w:right w:type="dxa" w:w="120"/>
            </w:tcMar>
          </w:tcPr>
          <w:p>
            <w:pPr>
              <w:jc w:val="left"/>
            </w:pPr>
            <w:r>
              <w:rPr>
                <w:b w:val="false"/>
                <w:bCs w:val="false"/>
                <w:color w:val="000000"/>
                <w:sz w:val="20"/>
                <w:szCs w:val="20"/>
              </w:rPr>
              <w:t xml:space="preserve">Idempotence</w:t>
            </w:r>
          </w:p>
        </w:tc>
        <w:tc>
          <w:tcPr>
            <w:tcW w:type="dxa" w:w="6000"/>
            <w:tcMar>
              <w:top w:type="dxa" w:w="80"/>
              <w:left w:type="dxa" w:w="120"/>
              <w:bottom w:type="dxa" w:w="80"/>
              <w:right w:type="dxa" w:w="120"/>
            </w:tcMar>
          </w:tcPr>
          <w:p>
            <w:pPr>
              <w:jc w:val="left"/>
            </w:pPr>
            <w:r>
              <w:rPr>
                <w:b w:val="false"/>
                <w:bCs w:val="false"/>
                <w:color w:val="000000"/>
                <w:sz w:val="20"/>
                <w:szCs w:val="20"/>
              </w:rPr>
              <w:t xml:space="preserve">Deux exécutions successives avec les mêmes paramètres NE DOIVENT produire aucun doublon.</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ENF-05</w:t>
            </w:r>
          </w:p>
        </w:tc>
        <w:tc>
          <w:tcPr>
            <w:tcW w:type="dxa" w:w="2200"/>
            <w:tcMar>
              <w:top w:type="dxa" w:w="80"/>
              <w:left w:type="dxa" w:w="120"/>
              <w:bottom w:type="dxa" w:w="80"/>
              <w:right w:type="dxa" w:w="120"/>
            </w:tcMar>
          </w:tcPr>
          <w:p>
            <w:pPr>
              <w:jc w:val="left"/>
            </w:pPr>
            <w:r>
              <w:rPr>
                <w:b w:val="false"/>
                <w:bCs w:val="false"/>
                <w:color w:val="000000"/>
                <w:sz w:val="20"/>
                <w:szCs w:val="20"/>
              </w:rPr>
              <w:t xml:space="preserve">Traçabilité</w:t>
            </w:r>
          </w:p>
        </w:tc>
        <w:tc>
          <w:tcPr>
            <w:tcW w:type="dxa" w:w="6000"/>
            <w:tcMar>
              <w:top w:type="dxa" w:w="80"/>
              <w:left w:type="dxa" w:w="120"/>
              <w:bottom w:type="dxa" w:w="80"/>
              <w:right w:type="dxa" w:w="120"/>
            </w:tcMar>
          </w:tcPr>
          <w:p>
            <w:pPr>
              <w:jc w:val="left"/>
            </w:pPr>
            <w:r>
              <w:rPr>
                <w:b w:val="false"/>
                <w:bCs w:val="false"/>
                <w:color w:val="000000"/>
                <w:sz w:val="20"/>
                <w:szCs w:val="20"/>
              </w:rPr>
              <w:t xml:space="preserve">Toute donnée générée DOIT être identifiable comme provenant du Loader et réversible.</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ENF-06</w:t>
            </w:r>
          </w:p>
        </w:tc>
        <w:tc>
          <w:tcPr>
            <w:tcW w:type="dxa" w:w="2200"/>
            <w:tcMar>
              <w:top w:type="dxa" w:w="80"/>
              <w:left w:type="dxa" w:w="120"/>
              <w:bottom w:type="dxa" w:w="80"/>
              <w:right w:type="dxa" w:w="120"/>
            </w:tcMar>
          </w:tcPr>
          <w:p>
            <w:pPr>
              <w:jc w:val="left"/>
            </w:pPr>
            <w:r>
              <w:rPr>
                <w:b w:val="false"/>
                <w:bCs w:val="false"/>
                <w:color w:val="000000"/>
                <w:sz w:val="20"/>
                <w:szCs w:val="20"/>
              </w:rPr>
              <w:t xml:space="preserve">Ergonomie</w:t>
            </w:r>
          </w:p>
        </w:tc>
        <w:tc>
          <w:tcPr>
            <w:tcW w:type="dxa" w:w="6000"/>
            <w:tcMar>
              <w:top w:type="dxa" w:w="80"/>
              <w:left w:type="dxa" w:w="120"/>
              <w:bottom w:type="dxa" w:w="80"/>
              <w:right w:type="dxa" w:w="120"/>
            </w:tcMar>
          </w:tcPr>
          <w:p>
            <w:pPr>
              <w:jc w:val="left"/>
            </w:pPr>
            <w:r>
              <w:rPr>
                <w:b w:val="false"/>
                <w:bCs w:val="false"/>
                <w:color w:val="000000"/>
                <w:sz w:val="20"/>
                <w:szCs w:val="20"/>
              </w:rPr>
              <w:t xml:space="preserve">L'interface DOIT être utilisable sans connaissance technique préalable par un membre non technique de l'équipe.</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ENF-07</w:t>
            </w:r>
          </w:p>
        </w:tc>
        <w:tc>
          <w:tcPr>
            <w:tcW w:type="dxa" w:w="2200"/>
            <w:tcMar>
              <w:top w:type="dxa" w:w="80"/>
              <w:left w:type="dxa" w:w="120"/>
              <w:bottom w:type="dxa" w:w="80"/>
              <w:right w:type="dxa" w:w="120"/>
            </w:tcMar>
          </w:tcPr>
          <w:p>
            <w:pPr>
              <w:jc w:val="left"/>
            </w:pPr>
            <w:r>
              <w:rPr>
                <w:b w:val="false"/>
                <w:bCs w:val="false"/>
                <w:color w:val="000000"/>
                <w:sz w:val="20"/>
                <w:szCs w:val="20"/>
              </w:rPr>
              <w:t xml:space="preserve">Extensibilité</w:t>
            </w:r>
          </w:p>
        </w:tc>
        <w:tc>
          <w:tcPr>
            <w:tcW w:type="dxa" w:w="6000"/>
            <w:tcMar>
              <w:top w:type="dxa" w:w="80"/>
              <w:left w:type="dxa" w:w="120"/>
              <w:bottom w:type="dxa" w:w="80"/>
              <w:right w:type="dxa" w:w="120"/>
            </w:tcMar>
          </w:tcPr>
          <w:p>
            <w:pPr>
              <w:jc w:val="left"/>
            </w:pPr>
            <w:r>
              <w:rPr>
                <w:b w:val="false"/>
                <w:bCs w:val="false"/>
                <w:color w:val="000000"/>
                <w:sz w:val="20"/>
                <w:szCs w:val="20"/>
              </w:rPr>
              <w:t xml:space="preserve">L'ajout d'un nouveau pays NE DOIT PAS nécessiter de modification du code, uniquement une extension du référentiel géographique.</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ENF-08</w:t>
            </w:r>
          </w:p>
        </w:tc>
        <w:tc>
          <w:tcPr>
            <w:tcW w:type="dxa" w:w="2200"/>
            <w:tcMar>
              <w:top w:type="dxa" w:w="80"/>
              <w:left w:type="dxa" w:w="120"/>
              <w:bottom w:type="dxa" w:w="80"/>
              <w:right w:type="dxa" w:w="120"/>
            </w:tcMar>
          </w:tcPr>
          <w:p>
            <w:pPr>
              <w:jc w:val="left"/>
            </w:pPr>
            <w:r>
              <w:rPr>
                <w:b w:val="false"/>
                <w:bCs w:val="false"/>
                <w:color w:val="000000"/>
                <w:sz w:val="20"/>
                <w:szCs w:val="20"/>
              </w:rPr>
              <w:t xml:space="preserve">Maintenabilité</w:t>
            </w:r>
          </w:p>
        </w:tc>
        <w:tc>
          <w:tcPr>
            <w:tcW w:type="dxa" w:w="6000"/>
            <w:tcMar>
              <w:top w:type="dxa" w:w="80"/>
              <w:left w:type="dxa" w:w="120"/>
              <w:bottom w:type="dxa" w:w="80"/>
              <w:right w:type="dxa" w:w="120"/>
            </w:tcMar>
          </w:tcPr>
          <w:p>
            <w:pPr>
              <w:jc w:val="left"/>
            </w:pPr>
            <w:r>
              <w:rPr>
                <w:b w:val="false"/>
                <w:bCs w:val="false"/>
                <w:color w:val="000000"/>
                <w:sz w:val="20"/>
                <w:szCs w:val="20"/>
              </w:rPr>
              <w:t xml:space="preserve">Chaque module (géographie, organisation, identité, crédit, interface) DOIT être remplaçable indépendamment sans impact sur les autres.</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ENF-09</w:t>
            </w:r>
          </w:p>
        </w:tc>
        <w:tc>
          <w:tcPr>
            <w:tcW w:type="dxa" w:w="2200"/>
            <w:tcMar>
              <w:top w:type="dxa" w:w="80"/>
              <w:left w:type="dxa" w:w="120"/>
              <w:bottom w:type="dxa" w:w="80"/>
              <w:right w:type="dxa" w:w="120"/>
            </w:tcMar>
          </w:tcPr>
          <w:p>
            <w:pPr>
              <w:jc w:val="left"/>
            </w:pPr>
            <w:r>
              <w:rPr>
                <w:b w:val="false"/>
                <w:bCs w:val="false"/>
                <w:color w:val="000000"/>
                <w:sz w:val="20"/>
                <w:szCs w:val="20"/>
              </w:rPr>
              <w:t xml:space="preserve">Confidentialité</w:t>
            </w:r>
          </w:p>
        </w:tc>
        <w:tc>
          <w:tcPr>
            <w:tcW w:type="dxa" w:w="6000"/>
            <w:tcMar>
              <w:top w:type="dxa" w:w="80"/>
              <w:left w:type="dxa" w:w="120"/>
              <w:bottom w:type="dxa" w:w="80"/>
              <w:right w:type="dxa" w:w="120"/>
            </w:tcMar>
          </w:tcPr>
          <w:p>
            <w:pPr>
              <w:jc w:val="left"/>
            </w:pPr>
            <w:r>
              <w:rPr>
                <w:b w:val="false"/>
                <w:bCs w:val="false"/>
                <w:color w:val="000000"/>
                <w:sz w:val="20"/>
                <w:szCs w:val="20"/>
              </w:rPr>
              <w:t xml:space="preserve">Les données générées étant fictives, aucune donnée personnelle réelle NE DOIT être utilisée ou produite par l'outil.</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ENF-10</w:t>
            </w:r>
          </w:p>
        </w:tc>
        <w:tc>
          <w:tcPr>
            <w:tcW w:type="dxa" w:w="2200"/>
            <w:tcMar>
              <w:top w:type="dxa" w:w="80"/>
              <w:left w:type="dxa" w:w="120"/>
              <w:bottom w:type="dxa" w:w="80"/>
              <w:right w:type="dxa" w:w="120"/>
            </w:tcMar>
          </w:tcPr>
          <w:p>
            <w:pPr>
              <w:jc w:val="left"/>
            </w:pPr>
            <w:r>
              <w:rPr>
                <w:b w:val="false"/>
                <w:bCs w:val="false"/>
                <w:color w:val="000000"/>
                <w:sz w:val="20"/>
                <w:szCs w:val="20"/>
              </w:rPr>
              <w:t xml:space="preserve">Compatibilité</w:t>
            </w:r>
          </w:p>
        </w:tc>
        <w:tc>
          <w:tcPr>
            <w:tcW w:type="dxa" w:w="6000"/>
            <w:tcMar>
              <w:top w:type="dxa" w:w="80"/>
              <w:left w:type="dxa" w:w="120"/>
              <w:bottom w:type="dxa" w:w="80"/>
              <w:right w:type="dxa" w:w="120"/>
            </w:tcMar>
          </w:tcPr>
          <w:p>
            <w:pPr>
              <w:jc w:val="left"/>
            </w:pPr>
            <w:r>
              <w:rPr>
                <w:b w:val="false"/>
                <w:bCs w:val="false"/>
                <w:color w:val="000000"/>
                <w:sz w:val="20"/>
                <w:szCs w:val="20"/>
              </w:rPr>
              <w:t xml:space="preserve">L'outil DOIT s'intégrer avec les API FinZuu existantes sans nécessiter de modification de leur contrat REST.</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ENF-11</w:t>
            </w:r>
          </w:p>
        </w:tc>
        <w:tc>
          <w:tcPr>
            <w:tcW w:type="dxa" w:w="2200"/>
            <w:tcMar>
              <w:top w:type="dxa" w:w="80"/>
              <w:left w:type="dxa" w:w="120"/>
              <w:bottom w:type="dxa" w:w="80"/>
              <w:right w:type="dxa" w:w="120"/>
            </w:tcMar>
          </w:tcPr>
          <w:p>
            <w:pPr>
              <w:jc w:val="left"/>
            </w:pPr>
            <w:r>
              <w:rPr>
                <w:b w:val="false"/>
                <w:bCs w:val="false"/>
                <w:color w:val="000000"/>
                <w:sz w:val="20"/>
                <w:szCs w:val="20"/>
              </w:rPr>
              <w:t xml:space="preserve">Déployabilité</w:t>
            </w:r>
          </w:p>
        </w:tc>
        <w:tc>
          <w:tcPr>
            <w:tcW w:type="dxa" w:w="6000"/>
            <w:tcMar>
              <w:top w:type="dxa" w:w="80"/>
              <w:left w:type="dxa" w:w="120"/>
              <w:bottom w:type="dxa" w:w="80"/>
              <w:right w:type="dxa" w:w="120"/>
            </w:tcMar>
          </w:tcPr>
          <w:p>
            <w:pPr>
              <w:jc w:val="left"/>
            </w:pPr>
            <w:r>
              <w:rPr>
                <w:b w:val="false"/>
                <w:bCs w:val="false"/>
                <w:color w:val="000000"/>
                <w:sz w:val="20"/>
                <w:szCs w:val="20"/>
              </w:rPr>
              <w:t xml:space="preserve">L'outil DOIT être déployé sur le domaine loader.fintech4esg.com avec authentification requise.</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ENF-12</w:t>
            </w:r>
          </w:p>
        </w:tc>
        <w:tc>
          <w:tcPr>
            <w:tcW w:type="dxa" w:w="2200"/>
            <w:tcMar>
              <w:top w:type="dxa" w:w="80"/>
              <w:left w:type="dxa" w:w="120"/>
              <w:bottom w:type="dxa" w:w="80"/>
              <w:right w:type="dxa" w:w="120"/>
            </w:tcMar>
          </w:tcPr>
          <w:p>
            <w:pPr>
              <w:jc w:val="left"/>
            </w:pPr>
            <w:r>
              <w:rPr>
                <w:b w:val="false"/>
                <w:bCs w:val="false"/>
                <w:color w:val="000000"/>
                <w:sz w:val="20"/>
                <w:szCs w:val="20"/>
              </w:rPr>
              <w:t xml:space="preserve">Observabilité</w:t>
            </w:r>
          </w:p>
        </w:tc>
        <w:tc>
          <w:tcPr>
            <w:tcW w:type="dxa" w:w="6000"/>
            <w:tcMar>
              <w:top w:type="dxa" w:w="80"/>
              <w:left w:type="dxa" w:w="120"/>
              <w:bottom w:type="dxa" w:w="80"/>
              <w:right w:type="dxa" w:w="120"/>
            </w:tcMar>
          </w:tcPr>
          <w:p>
            <w:pPr>
              <w:jc w:val="left"/>
            </w:pPr>
            <w:r>
              <w:rPr>
                <w:b w:val="false"/>
                <w:bCs w:val="false"/>
                <w:color w:val="000000"/>
                <w:sz w:val="20"/>
                <w:szCs w:val="20"/>
              </w:rPr>
              <w:t xml:space="preserve">L'outil DOIT émettre des logs structurés exploitables par un système centralisé de journalisation.</w:t>
            </w:r>
          </w:p>
        </w:tc>
      </w:tr>
      <w:tr>
        <w:tc>
          <w:tcPr>
            <w:tcW w:type="dxa" w:w="1000"/>
            <w:shd w:fill="E8F5E9" w:val="clear"/>
            <w:tcMar>
              <w:top w:type="dxa" w:w="80"/>
              <w:left w:type="dxa" w:w="120"/>
              <w:bottom w:type="dxa" w:w="80"/>
              <w:right w:type="dxa" w:w="120"/>
            </w:tcMar>
          </w:tcPr>
          <w:p>
            <w:pPr>
              <w:jc w:val="left"/>
            </w:pPr>
            <w:r>
              <w:rPr>
                <w:b/>
                <w:bCs/>
                <w:color w:val="000000"/>
                <w:sz w:val="20"/>
                <w:szCs w:val="20"/>
              </w:rPr>
              <w:t xml:space="preserve">ENF-13</w:t>
            </w:r>
          </w:p>
        </w:tc>
        <w:tc>
          <w:tcPr>
            <w:tcW w:type="dxa" w:w="2200"/>
            <w:shd w:fill="E8F5E9" w:val="clear"/>
            <w:tcMar>
              <w:top w:type="dxa" w:w="80"/>
              <w:left w:type="dxa" w:w="120"/>
              <w:bottom w:type="dxa" w:w="80"/>
              <w:right w:type="dxa" w:w="120"/>
            </w:tcMar>
          </w:tcPr>
          <w:p>
            <w:pPr>
              <w:jc w:val="left"/>
            </w:pPr>
            <w:r>
              <w:rPr>
                <w:b/>
                <w:bCs/>
                <w:color w:val="000000"/>
                <w:sz w:val="20"/>
                <w:szCs w:val="20"/>
              </w:rPr>
              <w:t xml:space="preserve">Réalisme statistique — AJOUT V1.2</w:t>
            </w:r>
          </w:p>
        </w:tc>
        <w:tc>
          <w:tcPr>
            <w:tcW w:type="dxa" w:w="6000"/>
            <w:shd w:fill="E8F5E9" w:val="clear"/>
            <w:tcMar>
              <w:top w:type="dxa" w:w="80"/>
              <w:left w:type="dxa" w:w="120"/>
              <w:bottom w:type="dxa" w:w="80"/>
              <w:right w:type="dxa" w:w="120"/>
            </w:tcMar>
          </w:tcPr>
          <w:p>
            <w:pPr>
              <w:jc w:val="left"/>
            </w:pPr>
            <w:r>
              <w:rPr>
                <w:b w:val="false"/>
                <w:bCs w:val="false"/>
                <w:color w:val="000000"/>
                <w:sz w:val="20"/>
                <w:szCs w:val="20"/>
              </w:rPr>
              <w:t xml:space="preserve">La distribution des profils comportementaux générés DOIT respecter les poids configurés à plus ou moins 3 pour cent sur un échantillon de 1000 clients.</w:t>
            </w:r>
          </w:p>
        </w:tc>
      </w:tr>
      <w:tr>
        <w:tc>
          <w:tcPr>
            <w:tcW w:type="dxa" w:w="1000"/>
            <w:shd w:fill="E8F5E9" w:val="clear"/>
            <w:tcMar>
              <w:top w:type="dxa" w:w="80"/>
              <w:left w:type="dxa" w:w="120"/>
              <w:bottom w:type="dxa" w:w="80"/>
              <w:right w:type="dxa" w:w="120"/>
            </w:tcMar>
          </w:tcPr>
          <w:p>
            <w:pPr>
              <w:jc w:val="left"/>
            </w:pPr>
            <w:r>
              <w:rPr>
                <w:b/>
                <w:bCs/>
                <w:color w:val="000000"/>
                <w:sz w:val="20"/>
                <w:szCs w:val="20"/>
              </w:rPr>
              <w:t xml:space="preserve">ENF-14</w:t>
            </w:r>
          </w:p>
        </w:tc>
        <w:tc>
          <w:tcPr>
            <w:tcW w:type="dxa" w:w="2200"/>
            <w:shd w:fill="E8F5E9" w:val="clear"/>
            <w:tcMar>
              <w:top w:type="dxa" w:w="80"/>
              <w:left w:type="dxa" w:w="120"/>
              <w:bottom w:type="dxa" w:w="80"/>
              <w:right w:type="dxa" w:w="120"/>
            </w:tcMar>
          </w:tcPr>
          <w:p>
            <w:pPr>
              <w:jc w:val="left"/>
            </w:pPr>
            <w:r>
              <w:rPr>
                <w:b/>
                <w:bCs/>
                <w:color w:val="000000"/>
                <w:sz w:val="20"/>
                <w:szCs w:val="20"/>
              </w:rPr>
              <w:t xml:space="preserve">Conformité microfinance — AJOUT V1.2</w:t>
            </w:r>
          </w:p>
        </w:tc>
        <w:tc>
          <w:tcPr>
            <w:tcW w:type="dxa" w:w="6000"/>
            <w:shd w:fill="E8F5E9" w:val="clear"/>
            <w:tcMar>
              <w:top w:type="dxa" w:w="80"/>
              <w:left w:type="dxa" w:w="120"/>
              <w:bottom w:type="dxa" w:w="80"/>
              <w:right w:type="dxa" w:w="120"/>
            </w:tcMar>
          </w:tcPr>
          <w:p>
            <w:pPr>
              <w:jc w:val="left"/>
            </w:pPr>
            <w:r>
              <w:rPr>
                <w:b w:val="false"/>
                <w:bCs w:val="false"/>
                <w:color w:val="000000"/>
                <w:sz w:val="20"/>
                <w:szCs w:val="20"/>
              </w:rPr>
              <w:t xml:space="preserve">Les indicateurs Portfolio At Risk produits DOIVENT respecter les seuils standards de la microfinance : PAR30 inférieur ou égal à 15 pour cent, PAR90 inférieur ou égal à 8 pour cent, taux de recouvrement supérieur ou égal à 85 pour cent, pour une distribution nominale.</w:t>
            </w:r>
          </w:p>
        </w:tc>
      </w:tr>
      <w:tr>
        <w:tc>
          <w:tcPr>
            <w:tcW w:type="dxa" w:w="1000"/>
            <w:shd w:fill="E8F5E9" w:val="clear"/>
            <w:tcMar>
              <w:top w:type="dxa" w:w="80"/>
              <w:left w:type="dxa" w:w="120"/>
              <w:bottom w:type="dxa" w:w="80"/>
              <w:right w:type="dxa" w:w="120"/>
            </w:tcMar>
          </w:tcPr>
          <w:p>
            <w:pPr>
              <w:jc w:val="left"/>
            </w:pPr>
            <w:r>
              <w:rPr>
                <w:b/>
                <w:bCs/>
                <w:color w:val="000000"/>
                <w:sz w:val="20"/>
                <w:szCs w:val="20"/>
              </w:rPr>
              <w:t xml:space="preserve">ENF-15</w:t>
            </w:r>
          </w:p>
        </w:tc>
        <w:tc>
          <w:tcPr>
            <w:tcW w:type="dxa" w:w="2200"/>
            <w:shd w:fill="E8F5E9" w:val="clear"/>
            <w:tcMar>
              <w:top w:type="dxa" w:w="80"/>
              <w:left w:type="dxa" w:w="120"/>
              <w:bottom w:type="dxa" w:w="80"/>
              <w:right w:type="dxa" w:w="120"/>
            </w:tcMar>
          </w:tcPr>
          <w:p>
            <w:pPr>
              <w:jc w:val="left"/>
            </w:pPr>
            <w:r>
              <w:rPr>
                <w:b/>
                <w:bCs/>
                <w:color w:val="000000"/>
                <w:sz w:val="20"/>
                <w:szCs w:val="20"/>
              </w:rPr>
              <w:t xml:space="preserve">Reproductibilité — AJOUT V1.2</w:t>
            </w:r>
          </w:p>
        </w:tc>
        <w:tc>
          <w:tcPr>
            <w:tcW w:type="dxa" w:w="6000"/>
            <w:shd w:fill="E8F5E9" w:val="clear"/>
            <w:tcMar>
              <w:top w:type="dxa" w:w="80"/>
              <w:left w:type="dxa" w:w="120"/>
              <w:bottom w:type="dxa" w:w="80"/>
              <w:right w:type="dxa" w:w="120"/>
            </w:tcMar>
          </w:tcPr>
          <w:p>
            <w:pPr>
              <w:jc w:val="left"/>
            </w:pPr>
            <w:r>
              <w:rPr>
                <w:b w:val="false"/>
                <w:bCs w:val="false"/>
                <w:color w:val="000000"/>
                <w:sz w:val="20"/>
                <w:szCs w:val="20"/>
              </w:rPr>
              <w:t xml:space="preserve">Deux exécutions avec les mêmes paramètres et le même identifiant de génération DOIVENT produire strictement le même écosystème (profils, prêts, séquences de remboursement).</w:t>
            </w:r>
          </w:p>
        </w:tc>
      </w:tr>
      <w:tr>
        <w:tc>
          <w:tcPr>
            <w:tcW w:w="1000" w:type="dxa"/>
            <w:tcBorders>
              <w:top w:val="single" w:sz="4" w:color="000000"/>
              <w:left w:val="single" w:sz="4" w:color="000000"/>
              <w:bottom w:val="single" w:sz="4" w:color="000000"/>
              <w:right w:val="single" w:sz="4" w:color="000000"/>
            </w:tcBorders>
            <w:shd w:val="clear" w:fill="E8F5E9"/>
          </w:tcPr>
          <w:p>
            <w:r>
              <w:rPr>
                <w:sz w:val="20"/>
                <w:b/>
              </w:rPr>
              <w:t xml:space="preserve">ENF-16</w:t>
            </w:r>
          </w:p>
        </w:tc>
        <w:tc>
          <w:tcPr>
            <w:tcW w:w="2200" w:type="dxa"/>
            <w:tcBorders>
              <w:top w:val="single" w:sz="4" w:color="000000"/>
              <w:left w:val="single" w:sz="4" w:color="000000"/>
              <w:bottom w:val="single" w:sz="4" w:color="000000"/>
              <w:right w:val="single" w:sz="4" w:color="000000"/>
            </w:tcBorders>
            <w:shd w:val="clear" w:fill="E8F5E9"/>
          </w:tcPr>
          <w:p>
            <w:r>
              <w:rPr>
                <w:sz w:val="20"/>
              </w:rPr>
              <w:t xml:space="preserve">Le Loader DOIT utiliser une fenêtre temporelle historique de 180 jours paramétrable via les variables SIM_START_DATE et SIM_END_DATE. Il DOIT réutiliser les fonctions de conversion temporelle du script du référent loan-simulation pour assurer la traçabilité entre jours de simulation et horodatages réels. L'exécution DOIT être totalement isolée de tout service de production externe : aucun appel HTTP à ReadyScore, aucune dépendance à un cluster Kafka de production. Toute exécution du Loader DOIT s'effectuer exclusivement dans un environnement TEST ou DEMO.</w:t>
            </w:r>
          </w:p>
        </w:tc>
        <w:tc>
          <w:tcPr>
            <w:tcW w:w="6000" w:type="dxa"/>
            <w:tcBorders>
              <w:top w:val="single" w:sz="4" w:color="000000"/>
              <w:left w:val="single" w:sz="4" w:color="000000"/>
              <w:bottom w:val="single" w:sz="4" w:color="000000"/>
              <w:right w:val="single" w:sz="4" w:color="000000"/>
            </w:tcBorders>
            <w:shd w:val="clear" w:fill="E8F5E9"/>
          </w:tcPr>
          <w:p>
            <w:r>
              <w:rPr>
                <w:sz w:val="20"/>
                <w:b/>
              </w:rPr>
              <w:t xml:space="preserve">M</w:t>
            </w:r>
          </w:p>
        </w:tc>
      </w:tr>
    </w:tbl>
    <w:p>
      <w:r>
        <w:br w:type="page"/>
      </w:r>
    </w:p>
    <w:p>
      <w:pPr>
        <w:pStyle w:val="Heading1"/>
        <w:spacing w:after="240" w:before="480"/>
      </w:pPr>
      <w:r>
        <w:rPr>
          <w:b/>
          <w:bCs/>
          <w:color w:val="6B2E9E"/>
          <w:sz w:val="32"/>
          <w:szCs w:val="32"/>
        </w:rPr>
        <w:t xml:space="preserve">9. Contraintes</w:t>
      </w:r>
    </w:p>
    <w:p>
      <w:pPr>
        <w:pStyle w:val="Heading2"/>
        <w:spacing w:after="180" w:before="360"/>
      </w:pPr>
      <w:r>
        <w:rPr>
          <w:b/>
          <w:bCs/>
          <w:color w:val="6B2E9E"/>
          <w:sz w:val="26"/>
          <w:szCs w:val="26"/>
        </w:rPr>
        <w:t xml:space="preserve">9.1 Contraintes techniques</w:t>
      </w:r>
    </w:p>
    <w:p>
      <w:pPr>
        <w:pStyle w:val="ListParagraph"/>
        <w:numPr>
          <w:ilvl w:val="0"/>
          <w:numId w:val="1"/>
        </w:numPr>
        <w:spacing w:after="80"/>
      </w:pPr>
      <w:r>
        <w:rPr>
          <w:b/>
          <w:bCs/>
          <w:sz w:val="22"/>
          <w:szCs w:val="22"/>
        </w:rPr>
        <w:t xml:space="preserve">CT-01 — </w:t>
      </w:r>
      <w:r>
        <w:rPr>
          <w:sz w:val="22"/>
          <w:szCs w:val="22"/>
        </w:rPr>
        <w:t xml:space="preserve">Le Loader interagit avec les services FinZuu via APISIX en HTTPS. Toute défaillance d'un service de gateway est exogène au Loader et hors de son périmètre de correction.</w:t>
      </w:r>
    </w:p>
    <w:p>
      <w:pPr>
        <w:pStyle w:val="ListParagraph"/>
        <w:numPr>
          <w:ilvl w:val="0"/>
          <w:numId w:val="1"/>
        </w:numPr>
        <w:spacing w:after="80"/>
      </w:pPr>
      <w:r>
        <w:rPr>
          <w:b/>
          <w:bCs/>
          <w:sz w:val="22"/>
          <w:szCs w:val="22"/>
        </w:rPr>
        <w:t xml:space="preserve">CT-02 — </w:t>
      </w:r>
      <w:r>
        <w:rPr>
          <w:sz w:val="22"/>
          <w:szCs w:val="22"/>
        </w:rPr>
        <w:t xml:space="preserve">Le service loan-service n'est pas livré à la date de rédaction. La partie prêt du Loader ne peut être validée qu'en mode simulé jusqu'à sa livraison.</w:t>
      </w:r>
    </w:p>
    <w:p>
      <w:pPr>
        <w:pStyle w:val="ListParagraph"/>
        <w:numPr>
          <w:ilvl w:val="0"/>
          <w:numId w:val="1"/>
        </w:numPr>
        <w:spacing w:after="80"/>
      </w:pPr>
      <w:r>
        <w:rPr>
          <w:b/>
          <w:bCs/>
          <w:sz w:val="22"/>
          <w:szCs w:val="22"/>
        </w:rPr>
        <w:t xml:space="preserve">CT-03 — </w:t>
      </w:r>
      <w:r>
        <w:rPr>
          <w:sz w:val="22"/>
          <w:szCs w:val="22"/>
        </w:rPr>
        <w:t xml:space="preserve">L'API Faker fintech4esg fonctionne avec un cache Redis déterministe. Le run_id de référence (20260620123721) est le seul lot pré-calculé disponible.</w:t>
      </w:r>
    </w:p>
    <w:p>
      <w:pPr>
        <w:pStyle w:val="ListParagraph"/>
        <w:numPr>
          <w:ilvl w:val="0"/>
          <w:numId w:val="1"/>
        </w:numPr>
        <w:spacing w:after="80"/>
      </w:pPr>
      <w:r>
        <w:rPr>
          <w:b/>
          <w:bCs/>
          <w:sz w:val="22"/>
          <w:szCs w:val="22"/>
        </w:rPr>
        <w:t xml:space="preserve">CT-04 — </w:t>
      </w:r>
      <w:r>
        <w:rPr>
          <w:sz w:val="22"/>
          <w:szCs w:val="22"/>
        </w:rPr>
        <w:t xml:space="preserve">L'API Faker ne rejette pas les filtres invalides (country_code=ZZ retourne un client au hasard). Le Loader DOIT valider les filtres avant chaque appel.</w:t>
      </w:r>
    </w:p>
    <w:p>
      <w:pPr>
        <w:pStyle w:val="Heading2"/>
        <w:spacing w:after="180" w:before="360"/>
      </w:pPr>
      <w:r>
        <w:rPr>
          <w:b/>
          <w:bCs/>
          <w:color w:val="6B2E9E"/>
          <w:sz w:val="26"/>
          <w:szCs w:val="26"/>
        </w:rPr>
        <w:t xml:space="preserve">9.2 Contraintes organisationnelles</w:t>
      </w:r>
    </w:p>
    <w:p>
      <w:pPr>
        <w:pStyle w:val="ListParagraph"/>
        <w:numPr>
          <w:ilvl w:val="0"/>
          <w:numId w:val="1"/>
        </w:numPr>
        <w:spacing w:after="80"/>
      </w:pPr>
      <w:r>
        <w:rPr>
          <w:b/>
          <w:bCs/>
          <w:sz w:val="22"/>
          <w:szCs w:val="22"/>
        </w:rPr>
        <w:t xml:space="preserve">CO-01 — </w:t>
      </w:r>
      <w:r>
        <w:rPr>
          <w:sz w:val="22"/>
          <w:szCs w:val="22"/>
        </w:rPr>
        <w:t xml:space="preserve">Le rattachement du Lender (au niveau Company, Branche, Agence ou Kiosque) DOIT être validé avec la Direction Technique avant le développement du module Organisation.</w:t>
      </w:r>
    </w:p>
    <w:p>
      <w:pPr>
        <w:pStyle w:val="ListParagraph"/>
        <w:numPr>
          <w:ilvl w:val="0"/>
          <w:numId w:val="1"/>
        </w:numPr>
        <w:spacing w:after="80"/>
      </w:pPr>
      <w:r>
        <w:rPr>
          <w:b/>
          <w:bCs/>
          <w:sz w:val="22"/>
          <w:szCs w:val="22"/>
        </w:rPr>
        <w:t xml:space="preserve">CO-02 — </w:t>
      </w:r>
      <w:r>
        <w:rPr>
          <w:sz w:val="22"/>
          <w:szCs w:val="22"/>
        </w:rPr>
        <w:t xml:space="preserve">La nomenclature des produits de crédit fait apparaître une divergence entre les documents internes (Nano/Micro/BNPL/ReadyToGo) et l'API Faker (Nano/Macro). Cette question DOIT être tranchée avant la mise en production.</w:t>
      </w:r>
    </w:p>
    <w:p>
      <w:pPr>
        <w:pStyle w:val="ListParagraph"/>
        <w:numPr>
          <w:ilvl w:val="0"/>
          <w:numId w:val="1"/>
        </w:numPr>
        <w:spacing w:after="80"/>
      </w:pPr>
      <w:r>
        <w:rPr>
          <w:b/>
          <w:bCs/>
          <w:sz w:val="22"/>
          <w:szCs w:val="22"/>
        </w:rPr>
        <w:t xml:space="preserve">CO-03 — </w:t>
      </w:r>
      <w:r>
        <w:rPr>
          <w:sz w:val="22"/>
          <w:szCs w:val="22"/>
        </w:rPr>
        <w:t xml:space="preserve">La livraison du Loader DOIT s'inscrire dans le Sprint 4 en cours, avec une première version opérationnelle avant la fin juillet 2026.</w:t>
      </w:r>
    </w:p>
    <w:p>
      <w:pPr>
        <w:pBdr>
          <w:top w:val="single" w:color="A5D6A7" w:sz="6" w:space="4"/>
          <w:bottom w:val="single" w:color="A5D6A7" w:sz="6" w:space="4"/>
          <w:left w:val="single" w:color="4CAF50" w:sz="24" w:space="8"/>
          <w:right w:val="single" w:color="A5D6A7" w:sz="6" w:space="4"/>
        </w:pBdr>
        <w:shd w:fill="E8F5E9" w:val="clear"/>
        <w:spacing w:after="120" w:before="120"/>
      </w:pPr>
      <w:r>
        <w:rPr>
          <w:b/>
          <w:bCs/>
          <w:color w:val="4CAF50"/>
          <w:sz w:val="22"/>
          <w:szCs w:val="22"/>
        </w:rPr>
        <w:t xml:space="preserve">AJOUT V1.2 — </w:t>
      </w:r>
      <w:r>
        <w:rPr>
          <w:i/>
          <w:iCs/>
          <w:sz w:val="22"/>
          <w:szCs w:val="22"/>
        </w:rPr>
        <w:t xml:space="preserve">CO-04 — La méthodologie de simulation comportementale et le catalogue produits crédit officiel ont été fournis par la Direction Technique le 20 juillet 2026. Toute évolution de ces éléments après validation du présent cahier des charges suit un processus formel de gestion de changement.</w:t>
      </w:r>
    </w:p>
    <w:p>
      <w:pPr>
        <w:pStyle w:val="Heading2"/>
        <w:spacing w:after="180" w:before="360"/>
      </w:pPr>
      <w:r>
        <w:rPr>
          <w:b/>
          <w:bCs/>
          <w:color w:val="6B2E9E"/>
          <w:sz w:val="26"/>
          <w:szCs w:val="26"/>
        </w:rPr>
        <w:t xml:space="preserve">9.3 Contraintes réglementaires</w:t>
      </w:r>
    </w:p>
    <w:p>
      <w:pPr>
        <w:pStyle w:val="ListParagraph"/>
        <w:numPr>
          <w:ilvl w:val="0"/>
          <w:numId w:val="1"/>
        </w:numPr>
        <w:spacing w:after="80"/>
      </w:pPr>
      <w:r>
        <w:rPr>
          <w:b/>
          <w:bCs/>
          <w:sz w:val="22"/>
          <w:szCs w:val="22"/>
        </w:rPr>
        <w:t xml:space="preserve">CR-01 — </w:t>
      </w:r>
      <w:r>
        <w:rPr>
          <w:sz w:val="22"/>
          <w:szCs w:val="22"/>
        </w:rPr>
        <w:t xml:space="preserve">Les taux d'intérêt générés DOIVENT rester inférieurs ou égaux au plafond d'usure en vigueur en zone CEMAC/UEMOA (24 pour cent annuel), même en environnement de test.</w:t>
      </w:r>
    </w:p>
    <w:p>
      <w:pPr>
        <w:pStyle w:val="ListParagraph"/>
        <w:numPr>
          <w:ilvl w:val="0"/>
          <w:numId w:val="1"/>
        </w:numPr>
        <w:spacing w:after="80"/>
      </w:pPr>
      <w:r>
        <w:rPr>
          <w:b/>
          <w:bCs/>
          <w:sz w:val="22"/>
          <w:szCs w:val="22"/>
        </w:rPr>
        <w:t xml:space="preserve">CR-02 — </w:t>
      </w:r>
      <w:r>
        <w:rPr>
          <w:sz w:val="22"/>
          <w:szCs w:val="22"/>
        </w:rPr>
        <w:t xml:space="preserve">Les identités générées DOIVENT être fictives et non réelles ; aucune donnée personnelle réelle ne peut être utilisée ou produite.</w:t>
      </w:r>
    </w:p>
    <w:p>
      <w:pPr>
        <w:pStyle w:val="ListParagraph"/>
        <w:numPr>
          <w:ilvl w:val="0"/>
          <w:numId w:val="1"/>
        </w:numPr>
        <w:spacing w:after="80"/>
      </w:pPr>
      <w:r>
        <w:rPr>
          <w:b/>
          <w:bCs/>
          <w:sz w:val="22"/>
          <w:szCs w:val="22"/>
        </w:rPr>
        <w:t xml:space="preserve">CR-03 — </w:t>
      </w:r>
      <w:r>
        <w:rPr>
          <w:sz w:val="22"/>
          <w:szCs w:val="22"/>
        </w:rPr>
        <w:t xml:space="preserve">Les MSISDN générés DOIVENT respecter le format régulateur de l'opérateur telco de chaque pays (ART pour CM, ARTCI pour CI, ARCEP-BF pour BF, ARTP pour SN).</w:t>
      </w:r>
    </w:p>
    <w:p>
      <w:r>
        <w:br w:type="page"/>
      </w:r>
    </w:p>
    <w:p>
      <w:pPr>
        <w:pStyle w:val="Heading1"/>
        <w:spacing w:after="240" w:before="480"/>
      </w:pPr>
      <w:r>
        <w:rPr>
          <w:b/>
          <w:bCs/>
          <w:color w:val="6B2E9E"/>
          <w:sz w:val="32"/>
          <w:szCs w:val="32"/>
        </w:rPr>
        <w:t xml:space="preserve">10. Hypothèses et risques</w:t>
      </w:r>
    </w:p>
    <w:p>
      <w:pPr>
        <w:pStyle w:val="Heading2"/>
        <w:spacing w:after="180" w:before="360"/>
      </w:pPr>
      <w:r>
        <w:rPr>
          <w:b/>
          <w:bCs/>
          <w:color w:val="6B2E9E"/>
          <w:sz w:val="26"/>
          <w:szCs w:val="26"/>
        </w:rPr>
        <w:t xml:space="preserve">10.1 Hypothèses de travail</w:t>
      </w:r>
    </w:p>
    <w:p>
      <w:pPr>
        <w:pStyle w:val="ListParagraph"/>
        <w:numPr>
          <w:ilvl w:val="0"/>
          <w:numId w:val="1"/>
        </w:numPr>
        <w:spacing w:after="80"/>
      </w:pPr>
      <w:r>
        <w:rPr>
          <w:b/>
          <w:bCs/>
          <w:sz w:val="22"/>
          <w:szCs w:val="22"/>
        </w:rPr>
        <w:t xml:space="preserve">H-01 — </w:t>
      </w:r>
      <w:r>
        <w:rPr>
          <w:sz w:val="22"/>
          <w:szCs w:val="22"/>
        </w:rPr>
        <w:t xml:space="preserve">L'environnement TEST dispose des neuf services FinZuu opérationnels et atteignables via APISIX.</w:t>
      </w:r>
    </w:p>
    <w:p>
      <w:pPr>
        <w:pStyle w:val="ListParagraph"/>
        <w:numPr>
          <w:ilvl w:val="0"/>
          <w:numId w:val="1"/>
        </w:numPr>
        <w:spacing w:after="80"/>
      </w:pPr>
      <w:r>
        <w:rPr>
          <w:b/>
          <w:bCs/>
          <w:sz w:val="22"/>
          <w:szCs w:val="22"/>
        </w:rPr>
        <w:t xml:space="preserve">H-02 — </w:t>
      </w:r>
      <w:r>
        <w:rPr>
          <w:sz w:val="22"/>
          <w:szCs w:val="22"/>
        </w:rPr>
        <w:t xml:space="preserve">L'API Faker fintech4esg reste accessible et stable dans sa version testée au 16 juillet 2026.</w:t>
      </w:r>
    </w:p>
    <w:p>
      <w:pPr>
        <w:pStyle w:val="ListParagraph"/>
        <w:numPr>
          <w:ilvl w:val="0"/>
          <w:numId w:val="1"/>
        </w:numPr>
        <w:spacing w:after="80"/>
      </w:pPr>
      <w:r>
        <w:rPr>
          <w:b/>
          <w:bCs/>
          <w:sz w:val="22"/>
          <w:szCs w:val="22"/>
        </w:rPr>
        <w:t xml:space="preserve">H-03 — </w:t>
      </w:r>
      <w:r>
        <w:rPr>
          <w:sz w:val="22"/>
          <w:szCs w:val="22"/>
        </w:rPr>
        <w:t xml:space="preserve">Le module loan-service développé par Duhamel sera livré avant la fin du sprint et exposera une API REST compatible.</w:t>
      </w:r>
    </w:p>
    <w:p>
      <w:pPr>
        <w:pStyle w:val="ListParagraph"/>
        <w:numPr>
          <w:ilvl w:val="0"/>
          <w:numId w:val="1"/>
        </w:numPr>
        <w:spacing w:after="80"/>
      </w:pPr>
      <w:r>
        <w:rPr>
          <w:b/>
          <w:bCs/>
          <w:sz w:val="22"/>
          <w:szCs w:val="22"/>
        </w:rPr>
        <w:t xml:space="preserve">H-04 — </w:t>
      </w:r>
      <w:r>
        <w:rPr>
          <w:sz w:val="22"/>
          <w:szCs w:val="22"/>
        </w:rPr>
        <w:t xml:space="preserve">L'infrastructure cible loader.fintech4esg.com sera provisionnée et accessible avant le lancement de la production.</w:t>
      </w:r>
    </w:p>
    <w:p>
      <w:pPr>
        <w:pStyle w:val="ListParagraph"/>
        <w:numPr>
          <w:ilvl w:val="0"/>
          <w:numId w:val="1"/>
        </w:numPr>
        <w:spacing w:after="80"/>
      </w:pPr>
      <w:r>
        <w:rPr>
          <w:b/>
          <w:bCs/>
          <w:sz w:val="22"/>
          <w:szCs w:val="22"/>
        </w:rPr>
        <w:t xml:space="preserve">H-05 — </w:t>
      </w:r>
      <w:r>
        <w:rPr>
          <w:sz w:val="22"/>
          <w:szCs w:val="22"/>
        </w:rPr>
        <w:t xml:space="preserve">Les credentiels des cinq rôles utilisateurs (ROOT, STAFF, COMPANY, CUSTOMER, GUEST) seront valides pendant toute la durée du projet.</w:t>
      </w:r>
    </w:p>
    <w:p>
      <w:pPr>
        <w:pBdr>
          <w:top w:val="single" w:color="A5D6A7" w:sz="6" w:space="4"/>
          <w:bottom w:val="single" w:color="A5D6A7" w:sz="6" w:space="4"/>
          <w:left w:val="single" w:color="4CAF50" w:sz="24" w:space="8"/>
          <w:right w:val="single" w:color="A5D6A7" w:sz="6" w:space="4"/>
        </w:pBdr>
        <w:shd w:fill="E8F5E9" w:val="clear"/>
        <w:spacing w:after="120" w:before="120"/>
      </w:pPr>
      <w:r>
        <w:rPr>
          <w:b/>
          <w:bCs/>
          <w:color w:val="4CAF50"/>
          <w:sz w:val="22"/>
          <w:szCs w:val="22"/>
        </w:rPr>
        <w:t xml:space="preserve">AJOUT V1.2 — </w:t>
      </w:r>
      <w:r>
        <w:rPr>
          <w:i/>
          <w:iCs/>
          <w:sz w:val="22"/>
          <w:szCs w:val="22"/>
        </w:rPr>
        <w:t xml:space="preserve">H-06 — Les règles empiriques de pondération des profils comportementaux fournies par le référent loan-simulation restent valides pour la population cible (microfinance en Afrique subsaharienne). Toute évolution significative du contexte métier peut nécessiter une recalibration.</w:t>
      </w:r>
    </w:p>
    <w:p>
      <w:pPr>
        <w:pStyle w:val="Heading2"/>
        <w:spacing w:after="180" w:before="360"/>
      </w:pPr>
      <w:r>
        <w:rPr>
          <w:b/>
          <w:bCs/>
          <w:color w:val="6B2E9E"/>
          <w:sz w:val="26"/>
          <w:szCs w:val="26"/>
        </w:rPr>
        <w:t xml:space="preserve">10.2 Matrice des risques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400"/>
        <w:gridCol w:w="1200"/>
        <w:gridCol w:w="3400"/>
      </w:tblGrid>
      <w:tr>
        <w:trPr>
          <w:tblHeader/>
        </w:trPr>
        <w:tc>
          <w:tcPr>
            <w:tcW w:type="dxa" w:w="800"/>
            <w:shd w:fill="6B2E9E" w:val="clear"/>
            <w:tcMar>
              <w:top w:type="dxa" w:w="100"/>
              <w:left w:type="dxa" w:w="120"/>
              <w:bottom w:type="dxa" w:w="100"/>
              <w:right w:type="dxa" w:w="120"/>
            </w:tcMar>
          </w:tcPr>
          <w:p>
            <w:pPr>
              <w:jc w:val="center"/>
            </w:pPr>
            <w:r>
              <w:rPr>
                <w:b/>
                <w:bCs/>
                <w:color w:val="FFFFFF"/>
                <w:sz w:val="20"/>
                <w:szCs w:val="20"/>
              </w:rPr>
              <w:t xml:space="preserve">ID</w:t>
            </w:r>
          </w:p>
        </w:tc>
        <w:tc>
          <w:tcPr>
            <w:tcW w:type="dxa" w:w="2400"/>
            <w:shd w:fill="6B2E9E" w:val="clear"/>
            <w:tcMar>
              <w:top w:type="dxa" w:w="100"/>
              <w:left w:type="dxa" w:w="120"/>
              <w:bottom w:type="dxa" w:w="100"/>
              <w:right w:type="dxa" w:w="120"/>
            </w:tcMar>
          </w:tcPr>
          <w:p>
            <w:pPr>
              <w:jc w:val="center"/>
            </w:pPr>
            <w:r>
              <w:rPr>
                <w:b/>
                <w:bCs/>
                <w:color w:val="FFFFFF"/>
                <w:sz w:val="20"/>
                <w:szCs w:val="20"/>
              </w:rPr>
              <w:t xml:space="preserve">Risque</w:t>
            </w:r>
          </w:p>
        </w:tc>
        <w:tc>
          <w:tcPr>
            <w:tcW w:type="dxa" w:w="1400"/>
            <w:shd w:fill="6B2E9E" w:val="clear"/>
            <w:tcMar>
              <w:top w:type="dxa" w:w="100"/>
              <w:left w:type="dxa" w:w="120"/>
              <w:bottom w:type="dxa" w:w="100"/>
              <w:right w:type="dxa" w:w="120"/>
            </w:tcMar>
          </w:tcPr>
          <w:p>
            <w:pPr>
              <w:jc w:val="center"/>
            </w:pPr>
            <w:r>
              <w:rPr>
                <w:b/>
                <w:bCs/>
                <w:color w:val="FFFFFF"/>
                <w:sz w:val="20"/>
                <w:szCs w:val="20"/>
              </w:rPr>
              <w:t xml:space="preserve">Probabilité</w:t>
            </w:r>
          </w:p>
        </w:tc>
        <w:tc>
          <w:tcPr>
            <w:tcW w:type="dxa" w:w="1200"/>
            <w:shd w:fill="6B2E9E" w:val="clear"/>
            <w:tcMar>
              <w:top w:type="dxa" w:w="100"/>
              <w:left w:type="dxa" w:w="120"/>
              <w:bottom w:type="dxa" w:w="100"/>
              <w:right w:type="dxa" w:w="120"/>
            </w:tcMar>
          </w:tcPr>
          <w:p>
            <w:pPr>
              <w:jc w:val="center"/>
            </w:pPr>
            <w:r>
              <w:rPr>
                <w:b/>
                <w:bCs/>
                <w:color w:val="FFFFFF"/>
                <w:sz w:val="20"/>
                <w:szCs w:val="20"/>
              </w:rPr>
              <w:t xml:space="preserve">Impact</w:t>
            </w:r>
          </w:p>
        </w:tc>
        <w:tc>
          <w:tcPr>
            <w:tcW w:type="dxa" w:w="3400"/>
            <w:shd w:fill="6B2E9E" w:val="clear"/>
            <w:tcMar>
              <w:top w:type="dxa" w:w="100"/>
              <w:left w:type="dxa" w:w="120"/>
              <w:bottom w:type="dxa" w:w="100"/>
              <w:right w:type="dxa" w:w="120"/>
            </w:tcMar>
          </w:tcPr>
          <w:p>
            <w:pPr>
              <w:jc w:val="center"/>
            </w:pPr>
            <w:r>
              <w:rPr>
                <w:b/>
                <w:bCs/>
                <w:color w:val="FFFFFF"/>
                <w:sz w:val="20"/>
                <w:szCs w:val="20"/>
              </w:rPr>
              <w:t xml:space="preserve">Mitigation</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R-01</w:t>
            </w:r>
          </w:p>
        </w:tc>
        <w:tc>
          <w:tcPr>
            <w:tcW w:type="dxa" w:w="2400"/>
            <w:tcMar>
              <w:top w:type="dxa" w:w="80"/>
              <w:left w:type="dxa" w:w="120"/>
              <w:bottom w:type="dxa" w:w="80"/>
              <w:right w:type="dxa" w:w="120"/>
            </w:tcMar>
          </w:tcPr>
          <w:p>
            <w:pPr>
              <w:jc w:val="left"/>
            </w:pPr>
            <w:r>
              <w:rPr>
                <w:b w:val="false"/>
                <w:bCs w:val="false"/>
                <w:color w:val="000000"/>
                <w:sz w:val="20"/>
                <w:szCs w:val="20"/>
              </w:rPr>
              <w:t xml:space="preserve">Faker devient indisponible pendant une exécution</w:t>
            </w:r>
          </w:p>
        </w:tc>
        <w:tc>
          <w:tcPr>
            <w:tcW w:type="dxa" w:w="1400"/>
            <w:tcMar>
              <w:top w:type="dxa" w:w="80"/>
              <w:left w:type="dxa" w:w="120"/>
              <w:bottom w:type="dxa" w:w="80"/>
              <w:right w:type="dxa" w:w="120"/>
            </w:tcMar>
          </w:tcPr>
          <w:p>
            <w:pPr>
              <w:jc w:val="left"/>
            </w:pPr>
            <w:r>
              <w:rPr>
                <w:b w:val="false"/>
                <w:bCs w:val="false"/>
                <w:color w:val="000000"/>
                <w:sz w:val="20"/>
                <w:szCs w:val="20"/>
              </w:rPr>
              <w:t xml:space="preserve">Moyenne</w:t>
            </w:r>
          </w:p>
        </w:tc>
        <w:tc>
          <w:tcPr>
            <w:tcW w:type="dxa" w:w="1200"/>
            <w:tcMar>
              <w:top w:type="dxa" w:w="80"/>
              <w:left w:type="dxa" w:w="120"/>
              <w:bottom w:type="dxa" w:w="80"/>
              <w:right w:type="dxa" w:w="120"/>
            </w:tcMar>
          </w:tcPr>
          <w:p>
            <w:pPr>
              <w:jc w:val="left"/>
            </w:pPr>
            <w:r>
              <w:rPr>
                <w:b w:val="false"/>
                <w:bCs w:val="false"/>
                <w:color w:val="000000"/>
                <w:sz w:val="20"/>
                <w:szCs w:val="20"/>
              </w:rPr>
              <w:t xml:space="preserve">Fort</w:t>
            </w:r>
          </w:p>
        </w:tc>
        <w:tc>
          <w:tcPr>
            <w:tcW w:type="dxa" w:w="3400"/>
            <w:tcMar>
              <w:top w:type="dxa" w:w="80"/>
              <w:left w:type="dxa" w:w="120"/>
              <w:bottom w:type="dxa" w:w="80"/>
              <w:right w:type="dxa" w:w="120"/>
            </w:tcMar>
          </w:tcPr>
          <w:p>
            <w:pPr>
              <w:jc w:val="left"/>
            </w:pPr>
            <w:r>
              <w:rPr>
                <w:b w:val="false"/>
                <w:bCs w:val="false"/>
                <w:color w:val="000000"/>
                <w:sz w:val="20"/>
                <w:szCs w:val="20"/>
              </w:rPr>
              <w:t xml:space="preserve">Cache local des payloads récupérés ; stratégie de repli.</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R-02</w:t>
            </w:r>
          </w:p>
        </w:tc>
        <w:tc>
          <w:tcPr>
            <w:tcW w:type="dxa" w:w="2400"/>
            <w:tcMar>
              <w:top w:type="dxa" w:w="80"/>
              <w:left w:type="dxa" w:w="120"/>
              <w:bottom w:type="dxa" w:w="80"/>
              <w:right w:type="dxa" w:w="120"/>
            </w:tcMar>
          </w:tcPr>
          <w:p>
            <w:pPr>
              <w:jc w:val="left"/>
            </w:pPr>
            <w:r>
              <w:rPr>
                <w:b w:val="false"/>
                <w:bCs w:val="false"/>
                <w:color w:val="000000"/>
                <w:sz w:val="20"/>
                <w:szCs w:val="20"/>
              </w:rPr>
              <w:t xml:space="preserve">loan-service livré en retard</w:t>
            </w:r>
          </w:p>
        </w:tc>
        <w:tc>
          <w:tcPr>
            <w:tcW w:type="dxa" w:w="1400"/>
            <w:tcMar>
              <w:top w:type="dxa" w:w="80"/>
              <w:left w:type="dxa" w:w="120"/>
              <w:bottom w:type="dxa" w:w="80"/>
              <w:right w:type="dxa" w:w="120"/>
            </w:tcMar>
          </w:tcPr>
          <w:p>
            <w:pPr>
              <w:jc w:val="left"/>
            </w:pPr>
            <w:r>
              <w:rPr>
                <w:b w:val="false"/>
                <w:bCs w:val="false"/>
                <w:color w:val="000000"/>
                <w:sz w:val="20"/>
                <w:szCs w:val="20"/>
              </w:rPr>
              <w:t xml:space="preserve">Moyenne</w:t>
            </w:r>
          </w:p>
        </w:tc>
        <w:tc>
          <w:tcPr>
            <w:tcW w:type="dxa" w:w="1200"/>
            <w:tcMar>
              <w:top w:type="dxa" w:w="80"/>
              <w:left w:type="dxa" w:w="120"/>
              <w:bottom w:type="dxa" w:w="80"/>
              <w:right w:type="dxa" w:w="120"/>
            </w:tcMar>
          </w:tcPr>
          <w:p>
            <w:pPr>
              <w:jc w:val="left"/>
            </w:pPr>
            <w:r>
              <w:rPr>
                <w:b w:val="false"/>
                <w:bCs w:val="false"/>
                <w:color w:val="000000"/>
                <w:sz w:val="20"/>
                <w:szCs w:val="20"/>
              </w:rPr>
              <w:t xml:space="preserve">Fort</w:t>
            </w:r>
          </w:p>
        </w:tc>
        <w:tc>
          <w:tcPr>
            <w:tcW w:type="dxa" w:w="3400"/>
            <w:tcMar>
              <w:top w:type="dxa" w:w="80"/>
              <w:left w:type="dxa" w:w="120"/>
              <w:bottom w:type="dxa" w:w="80"/>
              <w:right w:type="dxa" w:w="120"/>
            </w:tcMar>
          </w:tcPr>
          <w:p>
            <w:pPr>
              <w:jc w:val="left"/>
            </w:pPr>
            <w:r>
              <w:rPr>
                <w:b w:val="false"/>
                <w:bCs w:val="false"/>
                <w:color w:val="000000"/>
                <w:sz w:val="20"/>
                <w:szCs w:val="20"/>
              </w:rPr>
              <w:t xml:space="preserve">Mode simulé activé par défaut ; injection réelle différable.</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R-03</w:t>
            </w:r>
          </w:p>
        </w:tc>
        <w:tc>
          <w:tcPr>
            <w:tcW w:type="dxa" w:w="2400"/>
            <w:tcMar>
              <w:top w:type="dxa" w:w="80"/>
              <w:left w:type="dxa" w:w="120"/>
              <w:bottom w:type="dxa" w:w="80"/>
              <w:right w:type="dxa" w:w="120"/>
            </w:tcMar>
          </w:tcPr>
          <w:p>
            <w:pPr>
              <w:jc w:val="left"/>
            </w:pPr>
            <w:r>
              <w:rPr>
                <w:b w:val="false"/>
                <w:bCs w:val="false"/>
                <w:color w:val="000000"/>
                <w:sz w:val="20"/>
                <w:szCs w:val="20"/>
              </w:rPr>
              <w:t xml:space="preserve">Divergence nomenclature produit (Nano/Micro/Macro)</w:t>
            </w:r>
          </w:p>
        </w:tc>
        <w:tc>
          <w:tcPr>
            <w:tcW w:type="dxa" w:w="1400"/>
            <w:tcMar>
              <w:top w:type="dxa" w:w="80"/>
              <w:left w:type="dxa" w:w="120"/>
              <w:bottom w:type="dxa" w:w="80"/>
              <w:right w:type="dxa" w:w="120"/>
            </w:tcMar>
          </w:tcPr>
          <w:p>
            <w:pPr>
              <w:jc w:val="left"/>
            </w:pPr>
            <w:r>
              <w:rPr>
                <w:b w:val="false"/>
                <w:bCs w:val="false"/>
                <w:color w:val="000000"/>
                <w:sz w:val="20"/>
                <w:szCs w:val="20"/>
              </w:rPr>
              <w:t xml:space="preserve">Élevée</w:t>
            </w:r>
          </w:p>
        </w:tc>
        <w:tc>
          <w:tcPr>
            <w:tcW w:type="dxa" w:w="1200"/>
            <w:tcMar>
              <w:top w:type="dxa" w:w="80"/>
              <w:left w:type="dxa" w:w="120"/>
              <w:bottom w:type="dxa" w:w="80"/>
              <w:right w:type="dxa" w:w="120"/>
            </w:tcMar>
          </w:tcPr>
          <w:p>
            <w:pPr>
              <w:jc w:val="left"/>
            </w:pPr>
            <w:r>
              <w:rPr>
                <w:b w:val="false"/>
                <w:bCs w:val="false"/>
                <w:color w:val="000000"/>
                <w:sz w:val="20"/>
                <w:szCs w:val="20"/>
              </w:rPr>
              <w:t xml:space="preserve">Moyen</w:t>
            </w:r>
          </w:p>
        </w:tc>
        <w:tc>
          <w:tcPr>
            <w:tcW w:type="dxa" w:w="3400"/>
            <w:tcMar>
              <w:top w:type="dxa" w:w="80"/>
              <w:left w:type="dxa" w:w="120"/>
              <w:bottom w:type="dxa" w:w="80"/>
              <w:right w:type="dxa" w:w="120"/>
            </w:tcMar>
          </w:tcPr>
          <w:p>
            <w:pPr>
              <w:jc w:val="left"/>
            </w:pPr>
            <w:r>
              <w:rPr>
                <w:b w:val="false"/>
                <w:bCs w:val="false"/>
                <w:color w:val="000000"/>
                <w:sz w:val="20"/>
                <w:szCs w:val="20"/>
              </w:rPr>
              <w:t xml:space="preserve">Question portée au meeting du 17/07 pour arbitrage. Résolue en v1.2 par le catalogue officiel Nano/Macro/BNPL/ReadyToGo.</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R-04</w:t>
            </w:r>
          </w:p>
        </w:tc>
        <w:tc>
          <w:tcPr>
            <w:tcW w:type="dxa" w:w="2400"/>
            <w:tcMar>
              <w:top w:type="dxa" w:w="80"/>
              <w:left w:type="dxa" w:w="120"/>
              <w:bottom w:type="dxa" w:w="80"/>
              <w:right w:type="dxa" w:w="120"/>
            </w:tcMar>
          </w:tcPr>
          <w:p>
            <w:pPr>
              <w:jc w:val="left"/>
            </w:pPr>
            <w:r>
              <w:rPr>
                <w:b w:val="false"/>
                <w:bCs w:val="false"/>
                <w:color w:val="000000"/>
                <w:sz w:val="20"/>
                <w:szCs w:val="20"/>
              </w:rPr>
              <w:t xml:space="preserve">Volume de production supérieur aux capacités Faker</w:t>
            </w:r>
          </w:p>
        </w:tc>
        <w:tc>
          <w:tcPr>
            <w:tcW w:type="dxa" w:w="1400"/>
            <w:tcMar>
              <w:top w:type="dxa" w:w="80"/>
              <w:left w:type="dxa" w:w="120"/>
              <w:bottom w:type="dxa" w:w="80"/>
              <w:right w:type="dxa" w:w="120"/>
            </w:tcMar>
          </w:tcPr>
          <w:p>
            <w:pPr>
              <w:jc w:val="left"/>
            </w:pPr>
            <w:r>
              <w:rPr>
                <w:b w:val="false"/>
                <w:bCs w:val="false"/>
                <w:color w:val="000000"/>
                <w:sz w:val="20"/>
                <w:szCs w:val="20"/>
              </w:rPr>
              <w:t xml:space="preserve">Faible</w:t>
            </w:r>
          </w:p>
        </w:tc>
        <w:tc>
          <w:tcPr>
            <w:tcW w:type="dxa" w:w="1200"/>
            <w:tcMar>
              <w:top w:type="dxa" w:w="80"/>
              <w:left w:type="dxa" w:w="120"/>
              <w:bottom w:type="dxa" w:w="80"/>
              <w:right w:type="dxa" w:w="120"/>
            </w:tcMar>
          </w:tcPr>
          <w:p>
            <w:pPr>
              <w:jc w:val="left"/>
            </w:pPr>
            <w:r>
              <w:rPr>
                <w:b w:val="false"/>
                <w:bCs w:val="false"/>
                <w:color w:val="000000"/>
                <w:sz w:val="20"/>
                <w:szCs w:val="20"/>
              </w:rPr>
              <w:t xml:space="preserve">Moyen</w:t>
            </w:r>
          </w:p>
        </w:tc>
        <w:tc>
          <w:tcPr>
            <w:tcW w:type="dxa" w:w="3400"/>
            <w:tcMar>
              <w:top w:type="dxa" w:w="80"/>
              <w:left w:type="dxa" w:w="120"/>
              <w:bottom w:type="dxa" w:w="80"/>
              <w:right w:type="dxa" w:w="120"/>
            </w:tcMar>
          </w:tcPr>
          <w:p>
            <w:pPr>
              <w:jc w:val="left"/>
            </w:pPr>
            <w:r>
              <w:rPr>
                <w:b w:val="false"/>
                <w:bCs w:val="false"/>
                <w:color w:val="000000"/>
                <w:sz w:val="20"/>
                <w:szCs w:val="20"/>
              </w:rPr>
              <w:t xml:space="preserve">Rate limiting côté client ; batchage progressif.</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R-05</w:t>
            </w:r>
          </w:p>
        </w:tc>
        <w:tc>
          <w:tcPr>
            <w:tcW w:type="dxa" w:w="2400"/>
            <w:tcMar>
              <w:top w:type="dxa" w:w="80"/>
              <w:left w:type="dxa" w:w="120"/>
              <w:bottom w:type="dxa" w:w="80"/>
              <w:right w:type="dxa" w:w="120"/>
            </w:tcMar>
          </w:tcPr>
          <w:p>
            <w:pPr>
              <w:jc w:val="left"/>
            </w:pPr>
            <w:r>
              <w:rPr>
                <w:b w:val="false"/>
                <w:bCs w:val="false"/>
                <w:color w:val="000000"/>
                <w:sz w:val="20"/>
                <w:szCs w:val="20"/>
              </w:rPr>
              <w:t xml:space="preserve">Blocage APISIX sur services amont pendant l'exécution</w:t>
            </w:r>
          </w:p>
        </w:tc>
        <w:tc>
          <w:tcPr>
            <w:tcW w:type="dxa" w:w="1400"/>
            <w:tcMar>
              <w:top w:type="dxa" w:w="80"/>
              <w:left w:type="dxa" w:w="120"/>
              <w:bottom w:type="dxa" w:w="80"/>
              <w:right w:type="dxa" w:w="120"/>
            </w:tcMar>
          </w:tcPr>
          <w:p>
            <w:pPr>
              <w:jc w:val="left"/>
            </w:pPr>
            <w:r>
              <w:rPr>
                <w:b w:val="false"/>
                <w:bCs w:val="false"/>
                <w:color w:val="000000"/>
                <w:sz w:val="20"/>
                <w:szCs w:val="20"/>
              </w:rPr>
              <w:t xml:space="preserve">Faible</w:t>
            </w:r>
          </w:p>
        </w:tc>
        <w:tc>
          <w:tcPr>
            <w:tcW w:type="dxa" w:w="1200"/>
            <w:tcMar>
              <w:top w:type="dxa" w:w="80"/>
              <w:left w:type="dxa" w:w="120"/>
              <w:bottom w:type="dxa" w:w="80"/>
              <w:right w:type="dxa" w:w="120"/>
            </w:tcMar>
          </w:tcPr>
          <w:p>
            <w:pPr>
              <w:jc w:val="left"/>
            </w:pPr>
            <w:r>
              <w:rPr>
                <w:b w:val="false"/>
                <w:bCs w:val="false"/>
                <w:color w:val="000000"/>
                <w:sz w:val="20"/>
                <w:szCs w:val="20"/>
              </w:rPr>
              <w:t xml:space="preserve">Fort</w:t>
            </w:r>
          </w:p>
        </w:tc>
        <w:tc>
          <w:tcPr>
            <w:tcW w:type="dxa" w:w="3400"/>
            <w:tcMar>
              <w:top w:type="dxa" w:w="80"/>
              <w:left w:type="dxa" w:w="120"/>
              <w:bottom w:type="dxa" w:w="80"/>
              <w:right w:type="dxa" w:w="120"/>
            </w:tcMar>
          </w:tcPr>
          <w:p>
            <w:pPr>
              <w:jc w:val="left"/>
            </w:pPr>
            <w:r>
              <w:rPr>
                <w:b w:val="false"/>
                <w:bCs w:val="false"/>
                <w:color w:val="000000"/>
                <w:sz w:val="20"/>
                <w:szCs w:val="20"/>
              </w:rPr>
              <w:t xml:space="preserve">Retry avec backoff exponentiel ; journalisation dédiée.</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R-06</w:t>
            </w:r>
          </w:p>
        </w:tc>
        <w:tc>
          <w:tcPr>
            <w:tcW w:type="dxa" w:w="2400"/>
            <w:tcMar>
              <w:top w:type="dxa" w:w="80"/>
              <w:left w:type="dxa" w:w="120"/>
              <w:bottom w:type="dxa" w:w="80"/>
              <w:right w:type="dxa" w:w="120"/>
            </w:tcMar>
          </w:tcPr>
          <w:p>
            <w:pPr>
              <w:jc w:val="left"/>
            </w:pPr>
            <w:r>
              <w:rPr>
                <w:b w:val="false"/>
                <w:bCs w:val="false"/>
                <w:color w:val="000000"/>
                <w:sz w:val="20"/>
                <w:szCs w:val="20"/>
              </w:rPr>
              <w:t xml:space="preserve">Utilisation involontaire en environnement de production</w:t>
            </w:r>
          </w:p>
        </w:tc>
        <w:tc>
          <w:tcPr>
            <w:tcW w:type="dxa" w:w="1400"/>
            <w:tcMar>
              <w:top w:type="dxa" w:w="80"/>
              <w:left w:type="dxa" w:w="120"/>
              <w:bottom w:type="dxa" w:w="80"/>
              <w:right w:type="dxa" w:w="120"/>
            </w:tcMar>
          </w:tcPr>
          <w:p>
            <w:pPr>
              <w:jc w:val="left"/>
            </w:pPr>
            <w:r>
              <w:rPr>
                <w:b w:val="false"/>
                <w:bCs w:val="false"/>
                <w:color w:val="000000"/>
                <w:sz w:val="20"/>
                <w:szCs w:val="20"/>
              </w:rPr>
              <w:t xml:space="preserve">Faible</w:t>
            </w:r>
          </w:p>
        </w:tc>
        <w:tc>
          <w:tcPr>
            <w:tcW w:type="dxa" w:w="1200"/>
            <w:tcMar>
              <w:top w:type="dxa" w:w="80"/>
              <w:left w:type="dxa" w:w="120"/>
              <w:bottom w:type="dxa" w:w="80"/>
              <w:right w:type="dxa" w:w="120"/>
            </w:tcMar>
          </w:tcPr>
          <w:p>
            <w:pPr>
              <w:jc w:val="left"/>
            </w:pPr>
            <w:r>
              <w:rPr>
                <w:b w:val="false"/>
                <w:bCs w:val="false"/>
                <w:color w:val="000000"/>
                <w:sz w:val="20"/>
                <w:szCs w:val="20"/>
              </w:rPr>
              <w:t xml:space="preserve">Critique</w:t>
            </w:r>
          </w:p>
        </w:tc>
        <w:tc>
          <w:tcPr>
            <w:tcW w:type="dxa" w:w="3400"/>
            <w:tcMar>
              <w:top w:type="dxa" w:w="80"/>
              <w:left w:type="dxa" w:w="120"/>
              <w:bottom w:type="dxa" w:w="80"/>
              <w:right w:type="dxa" w:w="120"/>
            </w:tcMar>
          </w:tcPr>
          <w:p>
            <w:pPr>
              <w:jc w:val="left"/>
            </w:pPr>
            <w:r>
              <w:rPr>
                <w:b w:val="false"/>
                <w:bCs w:val="false"/>
                <w:color w:val="000000"/>
                <w:sz w:val="20"/>
                <w:szCs w:val="20"/>
              </w:rPr>
              <w:t xml:space="preserve">Vérification stricte du domaine cible ; blocage en dur.</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R-07</w:t>
            </w:r>
          </w:p>
        </w:tc>
        <w:tc>
          <w:tcPr>
            <w:tcW w:type="dxa" w:w="2400"/>
            <w:tcMar>
              <w:top w:type="dxa" w:w="80"/>
              <w:left w:type="dxa" w:w="120"/>
              <w:bottom w:type="dxa" w:w="80"/>
              <w:right w:type="dxa" w:w="120"/>
            </w:tcMar>
          </w:tcPr>
          <w:p>
            <w:pPr>
              <w:jc w:val="left"/>
            </w:pPr>
            <w:r>
              <w:rPr>
                <w:b w:val="false"/>
                <w:bCs w:val="false"/>
                <w:color w:val="000000"/>
                <w:sz w:val="20"/>
                <w:szCs w:val="20"/>
              </w:rPr>
              <w:t xml:space="preserve">Doublons entre exécutions successives</w:t>
            </w:r>
          </w:p>
        </w:tc>
        <w:tc>
          <w:tcPr>
            <w:tcW w:type="dxa" w:w="1400"/>
            <w:tcMar>
              <w:top w:type="dxa" w:w="80"/>
              <w:left w:type="dxa" w:w="120"/>
              <w:bottom w:type="dxa" w:w="80"/>
              <w:right w:type="dxa" w:w="120"/>
            </w:tcMar>
          </w:tcPr>
          <w:p>
            <w:pPr>
              <w:jc w:val="left"/>
            </w:pPr>
            <w:r>
              <w:rPr>
                <w:b w:val="false"/>
                <w:bCs w:val="false"/>
                <w:color w:val="000000"/>
                <w:sz w:val="20"/>
                <w:szCs w:val="20"/>
              </w:rPr>
              <w:t xml:space="preserve">Moyenne</w:t>
            </w:r>
          </w:p>
        </w:tc>
        <w:tc>
          <w:tcPr>
            <w:tcW w:type="dxa" w:w="1200"/>
            <w:tcMar>
              <w:top w:type="dxa" w:w="80"/>
              <w:left w:type="dxa" w:w="120"/>
              <w:bottom w:type="dxa" w:w="80"/>
              <w:right w:type="dxa" w:w="120"/>
            </w:tcMar>
          </w:tcPr>
          <w:p>
            <w:pPr>
              <w:jc w:val="left"/>
            </w:pPr>
            <w:r>
              <w:rPr>
                <w:b w:val="false"/>
                <w:bCs w:val="false"/>
                <w:color w:val="000000"/>
                <w:sz w:val="20"/>
                <w:szCs w:val="20"/>
              </w:rPr>
              <w:t xml:space="preserve">Fort</w:t>
            </w:r>
          </w:p>
        </w:tc>
        <w:tc>
          <w:tcPr>
            <w:tcW w:type="dxa" w:w="3400"/>
            <w:tcMar>
              <w:top w:type="dxa" w:w="80"/>
              <w:left w:type="dxa" w:w="120"/>
              <w:bottom w:type="dxa" w:w="80"/>
              <w:right w:type="dxa" w:w="120"/>
            </w:tcMar>
          </w:tcPr>
          <w:p>
            <w:pPr>
              <w:jc w:val="left"/>
            </w:pPr>
            <w:r>
              <w:rPr>
                <w:b w:val="false"/>
                <w:bCs w:val="false"/>
                <w:color w:val="000000"/>
                <w:sz w:val="20"/>
                <w:szCs w:val="20"/>
              </w:rPr>
              <w:t xml:space="preserve">Préfixe unique par exécution ; contrôle d'idempotence.</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R-08</w:t>
            </w:r>
          </w:p>
        </w:tc>
        <w:tc>
          <w:tcPr>
            <w:tcW w:type="dxa" w:w="2400"/>
            <w:tcMar>
              <w:top w:type="dxa" w:w="80"/>
              <w:left w:type="dxa" w:w="120"/>
              <w:bottom w:type="dxa" w:w="80"/>
              <w:right w:type="dxa" w:w="120"/>
            </w:tcMar>
          </w:tcPr>
          <w:p>
            <w:pPr>
              <w:jc w:val="left"/>
            </w:pPr>
            <w:r>
              <w:rPr>
                <w:b w:val="false"/>
                <w:bCs w:val="false"/>
                <w:color w:val="000000"/>
                <w:sz w:val="20"/>
                <w:szCs w:val="20"/>
              </w:rPr>
              <w:t xml:space="preserve">Non conformité plafond usure BEAC/COBAC</w:t>
            </w:r>
          </w:p>
        </w:tc>
        <w:tc>
          <w:tcPr>
            <w:tcW w:type="dxa" w:w="1400"/>
            <w:tcMar>
              <w:top w:type="dxa" w:w="80"/>
              <w:left w:type="dxa" w:w="120"/>
              <w:bottom w:type="dxa" w:w="80"/>
              <w:right w:type="dxa" w:w="120"/>
            </w:tcMar>
          </w:tcPr>
          <w:p>
            <w:pPr>
              <w:jc w:val="left"/>
            </w:pPr>
            <w:r>
              <w:rPr>
                <w:b w:val="false"/>
                <w:bCs w:val="false"/>
                <w:color w:val="000000"/>
                <w:sz w:val="20"/>
                <w:szCs w:val="20"/>
              </w:rPr>
              <w:t xml:space="preserve">Faible</w:t>
            </w:r>
          </w:p>
        </w:tc>
        <w:tc>
          <w:tcPr>
            <w:tcW w:type="dxa" w:w="1200"/>
            <w:tcMar>
              <w:top w:type="dxa" w:w="80"/>
              <w:left w:type="dxa" w:w="120"/>
              <w:bottom w:type="dxa" w:w="80"/>
              <w:right w:type="dxa" w:w="120"/>
            </w:tcMar>
          </w:tcPr>
          <w:p>
            <w:pPr>
              <w:jc w:val="left"/>
            </w:pPr>
            <w:r>
              <w:rPr>
                <w:b w:val="false"/>
                <w:bCs w:val="false"/>
                <w:color w:val="000000"/>
                <w:sz w:val="20"/>
                <w:szCs w:val="20"/>
              </w:rPr>
              <w:t xml:space="preserve">Critique</w:t>
            </w:r>
          </w:p>
        </w:tc>
        <w:tc>
          <w:tcPr>
            <w:tcW w:type="dxa" w:w="3400"/>
            <w:tcMar>
              <w:top w:type="dxa" w:w="80"/>
              <w:left w:type="dxa" w:w="120"/>
              <w:bottom w:type="dxa" w:w="80"/>
              <w:right w:type="dxa" w:w="120"/>
            </w:tcMar>
          </w:tcPr>
          <w:p>
            <w:pPr>
              <w:jc w:val="left"/>
            </w:pPr>
            <w:r>
              <w:rPr>
                <w:b w:val="false"/>
                <w:bCs w:val="false"/>
                <w:color w:val="000000"/>
                <w:sz w:val="20"/>
                <w:szCs w:val="20"/>
              </w:rPr>
              <w:t xml:space="preserve">Validation stricte des taux en amont d'injection.</w:t>
            </w:r>
          </w:p>
        </w:tc>
      </w:tr>
      <w:tr>
        <w:tc>
          <w:tcPr>
            <w:tcW w:type="dxa" w:w="800"/>
            <w:shd w:fill="E8F5E9" w:val="clear"/>
            <w:tcMar>
              <w:top w:type="dxa" w:w="80"/>
              <w:left w:type="dxa" w:w="120"/>
              <w:bottom w:type="dxa" w:w="80"/>
              <w:right w:type="dxa" w:w="120"/>
            </w:tcMar>
          </w:tcPr>
          <w:p>
            <w:pPr>
              <w:jc w:val="left"/>
            </w:pPr>
            <w:r>
              <w:rPr>
                <w:b/>
                <w:bCs/>
                <w:color w:val="000000"/>
                <w:sz w:val="20"/>
                <w:szCs w:val="20"/>
              </w:rPr>
              <w:t xml:space="preserve">R-09</w:t>
            </w:r>
          </w:p>
        </w:tc>
        <w:tc>
          <w:tcPr>
            <w:tcW w:type="dxa" w:w="2400"/>
            <w:shd w:fill="E8F5E9" w:val="clear"/>
            <w:tcMar>
              <w:top w:type="dxa" w:w="80"/>
              <w:left w:type="dxa" w:w="120"/>
              <w:bottom w:type="dxa" w:w="80"/>
              <w:right w:type="dxa" w:w="120"/>
            </w:tcMar>
          </w:tcPr>
          <w:p>
            <w:pPr>
              <w:jc w:val="left"/>
            </w:pPr>
            <w:r>
              <w:rPr>
                <w:b/>
                <w:bCs/>
                <w:color w:val="000000"/>
                <w:sz w:val="20"/>
                <w:szCs w:val="20"/>
              </w:rPr>
              <w:t xml:space="preserve">Distribution comportementale non représentative</w:t>
            </w:r>
          </w:p>
        </w:tc>
        <w:tc>
          <w:tcPr>
            <w:tcW w:type="dxa" w:w="1400"/>
            <w:shd w:fill="E8F5E9" w:val="clear"/>
            <w:tcMar>
              <w:top w:type="dxa" w:w="80"/>
              <w:left w:type="dxa" w:w="120"/>
              <w:bottom w:type="dxa" w:w="80"/>
              <w:right w:type="dxa" w:w="120"/>
            </w:tcMar>
          </w:tcPr>
          <w:p>
            <w:pPr>
              <w:jc w:val="left"/>
            </w:pPr>
            <w:r>
              <w:rPr>
                <w:b w:val="false"/>
                <w:bCs w:val="false"/>
                <w:color w:val="000000"/>
                <w:sz w:val="20"/>
                <w:szCs w:val="20"/>
              </w:rPr>
              <w:t xml:space="preserve">Moyenne</w:t>
            </w:r>
          </w:p>
        </w:tc>
        <w:tc>
          <w:tcPr>
            <w:tcW w:type="dxa" w:w="1200"/>
            <w:shd w:fill="E8F5E9" w:val="clear"/>
            <w:tcMar>
              <w:top w:type="dxa" w:w="80"/>
              <w:left w:type="dxa" w:w="120"/>
              <w:bottom w:type="dxa" w:w="80"/>
              <w:right w:type="dxa" w:w="120"/>
            </w:tcMar>
          </w:tcPr>
          <w:p>
            <w:pPr>
              <w:jc w:val="left"/>
            </w:pPr>
            <w:r>
              <w:rPr>
                <w:b w:val="false"/>
                <w:bCs w:val="false"/>
                <w:color w:val="000000"/>
                <w:sz w:val="20"/>
                <w:szCs w:val="20"/>
              </w:rPr>
              <w:t xml:space="preserve">Moyen</w:t>
            </w:r>
          </w:p>
        </w:tc>
        <w:tc>
          <w:tcPr>
            <w:tcW w:type="dxa" w:w="3400"/>
            <w:shd w:fill="E8F5E9" w:val="clear"/>
            <w:tcMar>
              <w:top w:type="dxa" w:w="80"/>
              <w:left w:type="dxa" w:w="120"/>
              <w:bottom w:type="dxa" w:w="80"/>
              <w:right w:type="dxa" w:w="120"/>
            </w:tcMar>
          </w:tcPr>
          <w:p>
            <w:pPr>
              <w:jc w:val="left"/>
            </w:pPr>
            <w:r>
              <w:rPr>
                <w:b w:val="false"/>
                <w:bCs w:val="false"/>
                <w:color w:val="000000"/>
                <w:sz w:val="20"/>
                <w:szCs w:val="20"/>
              </w:rPr>
              <w:t xml:space="preserve">AJOUT V1.2 — Contrôle statistique en fin de génération contre les poids configurés ; alerte si écart supérieur à 3 pour cent.</w:t>
            </w:r>
          </w:p>
        </w:tc>
      </w:tr>
      <w:tr>
        <w:tc>
          <w:tcPr>
            <w:tcW w:type="dxa" w:w="800"/>
            <w:shd w:fill="E8F5E9" w:val="clear"/>
            <w:tcMar>
              <w:top w:type="dxa" w:w="80"/>
              <w:left w:type="dxa" w:w="120"/>
              <w:bottom w:type="dxa" w:w="80"/>
              <w:right w:type="dxa" w:w="120"/>
            </w:tcMar>
          </w:tcPr>
          <w:p>
            <w:pPr>
              <w:jc w:val="left"/>
            </w:pPr>
            <w:r>
              <w:rPr>
                <w:b/>
                <w:bCs/>
                <w:color w:val="000000"/>
                <w:sz w:val="20"/>
                <w:szCs w:val="20"/>
              </w:rPr>
              <w:t xml:space="preserve">R-10</w:t>
            </w:r>
          </w:p>
        </w:tc>
        <w:tc>
          <w:tcPr>
            <w:tcW w:type="dxa" w:w="2400"/>
            <w:shd w:fill="E8F5E9" w:val="clear"/>
            <w:tcMar>
              <w:top w:type="dxa" w:w="80"/>
              <w:left w:type="dxa" w:w="120"/>
              <w:bottom w:type="dxa" w:w="80"/>
              <w:right w:type="dxa" w:w="120"/>
            </w:tcMar>
          </w:tcPr>
          <w:p>
            <w:pPr>
              <w:jc w:val="left"/>
            </w:pPr>
            <w:r>
              <w:rPr>
                <w:b/>
                <w:bCs/>
                <w:color w:val="000000"/>
                <w:sz w:val="20"/>
                <w:szCs w:val="20"/>
              </w:rPr>
              <w:t xml:space="preserve">PAR/DPD généré non crédible pour démonstration</w:t>
            </w:r>
          </w:p>
        </w:tc>
        <w:tc>
          <w:tcPr>
            <w:tcW w:type="dxa" w:w="1400"/>
            <w:shd w:fill="E8F5E9" w:val="clear"/>
            <w:tcMar>
              <w:top w:type="dxa" w:w="80"/>
              <w:left w:type="dxa" w:w="120"/>
              <w:bottom w:type="dxa" w:w="80"/>
              <w:right w:type="dxa" w:w="120"/>
            </w:tcMar>
          </w:tcPr>
          <w:p>
            <w:pPr>
              <w:jc w:val="left"/>
            </w:pPr>
            <w:r>
              <w:rPr>
                <w:b w:val="false"/>
                <w:bCs w:val="false"/>
                <w:color w:val="000000"/>
                <w:sz w:val="20"/>
                <w:szCs w:val="20"/>
              </w:rPr>
              <w:t xml:space="preserve">Faible</w:t>
            </w:r>
          </w:p>
        </w:tc>
        <w:tc>
          <w:tcPr>
            <w:tcW w:type="dxa" w:w="1200"/>
            <w:shd w:fill="E8F5E9" w:val="clear"/>
            <w:tcMar>
              <w:top w:type="dxa" w:w="80"/>
              <w:left w:type="dxa" w:w="120"/>
              <w:bottom w:type="dxa" w:w="80"/>
              <w:right w:type="dxa" w:w="120"/>
            </w:tcMar>
          </w:tcPr>
          <w:p>
            <w:pPr>
              <w:jc w:val="left"/>
            </w:pPr>
            <w:r>
              <w:rPr>
                <w:b w:val="false"/>
                <w:bCs w:val="false"/>
                <w:color w:val="000000"/>
                <w:sz w:val="20"/>
                <w:szCs w:val="20"/>
              </w:rPr>
              <w:t xml:space="preserve">Fort</w:t>
            </w:r>
          </w:p>
        </w:tc>
        <w:tc>
          <w:tcPr>
            <w:tcW w:type="dxa" w:w="3400"/>
            <w:shd w:fill="E8F5E9" w:val="clear"/>
            <w:tcMar>
              <w:top w:type="dxa" w:w="80"/>
              <w:left w:type="dxa" w:w="120"/>
              <w:bottom w:type="dxa" w:w="80"/>
              <w:right w:type="dxa" w:w="120"/>
            </w:tcMar>
          </w:tcPr>
          <w:p>
            <w:pPr>
              <w:jc w:val="left"/>
            </w:pPr>
            <w:r>
              <w:rPr>
                <w:b w:val="false"/>
                <w:bCs w:val="false"/>
                <w:color w:val="000000"/>
                <w:sz w:val="20"/>
                <w:szCs w:val="20"/>
              </w:rPr>
              <w:t xml:space="preserve">AJOUT V1.2 — Validation des indicateurs contre les seuils standards microfinance avant chaque démonstration commerciale.</w:t>
            </w:r>
          </w:p>
        </w:tc>
      </w:tr>
    </w:tbl>
    <w:p>
      <w:r>
        <w:br w:type="page"/>
      </w:r>
    </w:p>
    <w:p>
      <w:pPr>
        <w:pStyle w:val="Heading1"/>
        <w:spacing w:after="240" w:before="480"/>
      </w:pPr>
      <w:r>
        <w:rPr>
          <w:b/>
          <w:bCs/>
          <w:color w:val="6B2E9E"/>
          <w:sz w:val="32"/>
          <w:szCs w:val="32"/>
        </w:rPr>
        <w:t xml:space="preserve">11. Livrables et jalons</w:t>
      </w:r>
    </w:p>
    <w:p>
      <w:pPr>
        <w:pStyle w:val="Heading2"/>
        <w:spacing w:after="180" w:before="360"/>
      </w:pPr>
      <w:r>
        <w:rPr>
          <w:b/>
          <w:bCs/>
          <w:color w:val="6B2E9E"/>
          <w:sz w:val="26"/>
          <w:szCs w:val="26"/>
        </w:rPr>
        <w:t xml:space="preserve">11.1 Liste des livrables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2400"/>
      </w:tblGrid>
      <w:tr>
        <w:trPr>
          <w:tblHeader/>
        </w:trPr>
        <w:tc>
          <w:tcPr>
            <w:tcW w:type="dxa" w:w="800"/>
            <w:shd w:fill="6B2E9E" w:val="clear"/>
            <w:tcMar>
              <w:top w:type="dxa" w:w="100"/>
              <w:left w:type="dxa" w:w="120"/>
              <w:bottom w:type="dxa" w:w="100"/>
              <w:right w:type="dxa" w:w="120"/>
            </w:tcMar>
          </w:tcPr>
          <w:p>
            <w:pPr>
              <w:jc w:val="center"/>
            </w:pPr>
            <w:r>
              <w:rPr>
                <w:b/>
                <w:bCs/>
                <w:color w:val="FFFFFF"/>
                <w:sz w:val="20"/>
                <w:szCs w:val="20"/>
              </w:rPr>
              <w:t xml:space="preserve">ID</w:t>
            </w:r>
          </w:p>
        </w:tc>
        <w:tc>
          <w:tcPr>
            <w:tcW w:type="dxa" w:w="6000"/>
            <w:shd w:fill="6B2E9E" w:val="clear"/>
            <w:tcMar>
              <w:top w:type="dxa" w:w="100"/>
              <w:left w:type="dxa" w:w="120"/>
              <w:bottom w:type="dxa" w:w="100"/>
              <w:right w:type="dxa" w:w="120"/>
            </w:tcMar>
          </w:tcPr>
          <w:p>
            <w:pPr>
              <w:jc w:val="center"/>
            </w:pPr>
            <w:r>
              <w:rPr>
                <w:b/>
                <w:bCs/>
                <w:color w:val="FFFFFF"/>
                <w:sz w:val="20"/>
                <w:szCs w:val="20"/>
              </w:rPr>
              <w:t xml:space="preserve">Livrable</w:t>
            </w:r>
          </w:p>
        </w:tc>
        <w:tc>
          <w:tcPr>
            <w:tcW w:type="dxa" w:w="2400"/>
            <w:shd w:fill="6B2E9E" w:val="clear"/>
            <w:tcMar>
              <w:top w:type="dxa" w:w="100"/>
              <w:left w:type="dxa" w:w="120"/>
              <w:bottom w:type="dxa" w:w="100"/>
              <w:right w:type="dxa" w:w="120"/>
            </w:tcMar>
          </w:tcPr>
          <w:p>
            <w:pPr>
              <w:jc w:val="center"/>
            </w:pPr>
            <w:r>
              <w:rPr>
                <w:b/>
                <w:bCs/>
                <w:color w:val="FFFFFF"/>
                <w:sz w:val="20"/>
                <w:szCs w:val="20"/>
              </w:rPr>
              <w:t xml:space="preserve">Format</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L-01</w:t>
            </w:r>
          </w:p>
        </w:tc>
        <w:tc>
          <w:tcPr>
            <w:tcW w:type="dxa" w:w="6000"/>
            <w:tcMar>
              <w:top w:type="dxa" w:w="80"/>
              <w:left w:type="dxa" w:w="120"/>
              <w:bottom w:type="dxa" w:w="80"/>
              <w:right w:type="dxa" w:w="120"/>
            </w:tcMar>
          </w:tcPr>
          <w:p>
            <w:pPr>
              <w:jc w:val="left"/>
            </w:pPr>
            <w:r>
              <w:rPr>
                <w:b w:val="false"/>
                <w:bCs w:val="false"/>
                <w:color w:val="000000"/>
                <w:sz w:val="20"/>
                <w:szCs w:val="20"/>
              </w:rPr>
              <w:t xml:space="preserve">Cahier des charges validé (le présent document)</w:t>
            </w:r>
          </w:p>
        </w:tc>
        <w:tc>
          <w:tcPr>
            <w:tcW w:type="dxa" w:w="2400"/>
            <w:tcMar>
              <w:top w:type="dxa" w:w="80"/>
              <w:left w:type="dxa" w:w="120"/>
              <w:bottom w:type="dxa" w:w="80"/>
              <w:right w:type="dxa" w:w="120"/>
            </w:tcMar>
          </w:tcPr>
          <w:p>
            <w:pPr>
              <w:jc w:val="left"/>
            </w:pPr>
            <w:r>
              <w:rPr>
                <w:b w:val="false"/>
                <w:bCs w:val="false"/>
                <w:color w:val="000000"/>
                <w:sz w:val="20"/>
                <w:szCs w:val="20"/>
              </w:rPr>
              <w:t xml:space="preserve">Word + Confluence</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L-02</w:t>
            </w:r>
          </w:p>
        </w:tc>
        <w:tc>
          <w:tcPr>
            <w:tcW w:type="dxa" w:w="6000"/>
            <w:tcMar>
              <w:top w:type="dxa" w:w="80"/>
              <w:left w:type="dxa" w:w="120"/>
              <w:bottom w:type="dxa" w:w="80"/>
              <w:right w:type="dxa" w:w="120"/>
            </w:tcMar>
          </w:tcPr>
          <w:p>
            <w:pPr>
              <w:jc w:val="left"/>
            </w:pPr>
            <w:r>
              <w:rPr>
                <w:b w:val="false"/>
                <w:bCs w:val="false"/>
                <w:color w:val="000000"/>
                <w:sz w:val="20"/>
                <w:szCs w:val="20"/>
              </w:rPr>
              <w:t xml:space="preserve">Modèle de données documenté (entités, relations, contraintes)</w:t>
            </w:r>
          </w:p>
        </w:tc>
        <w:tc>
          <w:tcPr>
            <w:tcW w:type="dxa" w:w="2400"/>
            <w:tcMar>
              <w:top w:type="dxa" w:w="80"/>
              <w:left w:type="dxa" w:w="120"/>
              <w:bottom w:type="dxa" w:w="80"/>
              <w:right w:type="dxa" w:w="120"/>
            </w:tcMar>
          </w:tcPr>
          <w:p>
            <w:pPr>
              <w:jc w:val="left"/>
            </w:pPr>
            <w:r>
              <w:rPr>
                <w:b w:val="false"/>
                <w:bCs w:val="false"/>
                <w:color w:val="000000"/>
                <w:sz w:val="20"/>
                <w:szCs w:val="20"/>
              </w:rPr>
              <w:t xml:space="preserve">Confluence + PlantUML</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L-03</w:t>
            </w:r>
          </w:p>
        </w:tc>
        <w:tc>
          <w:tcPr>
            <w:tcW w:type="dxa" w:w="6000"/>
            <w:tcMar>
              <w:top w:type="dxa" w:w="80"/>
              <w:left w:type="dxa" w:w="120"/>
              <w:bottom w:type="dxa" w:w="80"/>
              <w:right w:type="dxa" w:w="120"/>
            </w:tcMar>
          </w:tcPr>
          <w:p>
            <w:pPr>
              <w:jc w:val="left"/>
            </w:pPr>
            <w:r>
              <w:rPr>
                <w:b w:val="false"/>
                <w:bCs w:val="false"/>
                <w:color w:val="000000"/>
                <w:sz w:val="20"/>
                <w:szCs w:val="20"/>
              </w:rPr>
              <w:t xml:space="preserve">Référentiel géographique Loader_Base_FinZuu</w:t>
            </w:r>
          </w:p>
        </w:tc>
        <w:tc>
          <w:tcPr>
            <w:tcW w:type="dxa" w:w="2400"/>
            <w:tcMar>
              <w:top w:type="dxa" w:w="80"/>
              <w:left w:type="dxa" w:w="120"/>
              <w:bottom w:type="dxa" w:w="80"/>
              <w:right w:type="dxa" w:w="120"/>
            </w:tcMar>
          </w:tcPr>
          <w:p>
            <w:pPr>
              <w:jc w:val="left"/>
            </w:pPr>
            <w:r>
              <w:rPr>
                <w:b w:val="false"/>
                <w:bCs w:val="false"/>
                <w:color w:val="000000"/>
                <w:sz w:val="20"/>
                <w:szCs w:val="20"/>
              </w:rPr>
              <w:t xml:space="preserve">Excel v1.1</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L-04</w:t>
            </w:r>
          </w:p>
        </w:tc>
        <w:tc>
          <w:tcPr>
            <w:tcW w:type="dxa" w:w="6000"/>
            <w:tcMar>
              <w:top w:type="dxa" w:w="80"/>
              <w:left w:type="dxa" w:w="120"/>
              <w:bottom w:type="dxa" w:w="80"/>
              <w:right w:type="dxa" w:w="120"/>
            </w:tcMar>
          </w:tcPr>
          <w:p>
            <w:pPr>
              <w:jc w:val="left"/>
            </w:pPr>
            <w:r>
              <w:rPr>
                <w:b w:val="false"/>
                <w:bCs w:val="false"/>
                <w:color w:val="000000"/>
                <w:sz w:val="20"/>
                <w:szCs w:val="20"/>
              </w:rPr>
              <w:t xml:space="preserve">Module Géographie (chargement + validation)</w:t>
            </w:r>
          </w:p>
        </w:tc>
        <w:tc>
          <w:tcPr>
            <w:tcW w:type="dxa" w:w="2400"/>
            <w:tcMar>
              <w:top w:type="dxa" w:w="80"/>
              <w:left w:type="dxa" w:w="120"/>
              <w:bottom w:type="dxa" w:w="80"/>
              <w:right w:type="dxa" w:w="120"/>
            </w:tcMar>
          </w:tcPr>
          <w:p>
            <w:pPr>
              <w:jc w:val="left"/>
            </w:pPr>
            <w:r>
              <w:rPr>
                <w:b w:val="false"/>
                <w:bCs w:val="false"/>
                <w:color w:val="000000"/>
                <w:sz w:val="20"/>
                <w:szCs w:val="20"/>
              </w:rPr>
              <w:t xml:space="preserve">Code source</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L-05</w:t>
            </w:r>
          </w:p>
        </w:tc>
        <w:tc>
          <w:tcPr>
            <w:tcW w:type="dxa" w:w="6000"/>
            <w:tcMar>
              <w:top w:type="dxa" w:w="80"/>
              <w:left w:type="dxa" w:w="120"/>
              <w:bottom w:type="dxa" w:w="80"/>
              <w:right w:type="dxa" w:w="120"/>
            </w:tcMar>
          </w:tcPr>
          <w:p>
            <w:pPr>
              <w:jc w:val="left"/>
            </w:pPr>
            <w:r>
              <w:rPr>
                <w:b w:val="false"/>
                <w:bCs w:val="false"/>
                <w:color w:val="000000"/>
                <w:sz w:val="20"/>
                <w:szCs w:val="20"/>
              </w:rPr>
              <w:t xml:space="preserve">Module Organisation (Company, Lender, Branche, Agence, Kiosque, Agent)</w:t>
            </w:r>
          </w:p>
        </w:tc>
        <w:tc>
          <w:tcPr>
            <w:tcW w:type="dxa" w:w="2400"/>
            <w:tcMar>
              <w:top w:type="dxa" w:w="80"/>
              <w:left w:type="dxa" w:w="120"/>
              <w:bottom w:type="dxa" w:w="80"/>
              <w:right w:type="dxa" w:w="120"/>
            </w:tcMar>
          </w:tcPr>
          <w:p>
            <w:pPr>
              <w:jc w:val="left"/>
            </w:pPr>
            <w:r>
              <w:rPr>
                <w:b w:val="false"/>
                <w:bCs w:val="false"/>
                <w:color w:val="000000"/>
                <w:sz w:val="20"/>
                <w:szCs w:val="20"/>
              </w:rPr>
              <w:t xml:space="preserve">Code source</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L-06</w:t>
            </w:r>
          </w:p>
        </w:tc>
        <w:tc>
          <w:tcPr>
            <w:tcW w:type="dxa" w:w="6000"/>
            <w:tcMar>
              <w:top w:type="dxa" w:w="80"/>
              <w:left w:type="dxa" w:w="120"/>
              <w:bottom w:type="dxa" w:w="80"/>
              <w:right w:type="dxa" w:w="120"/>
            </w:tcMar>
          </w:tcPr>
          <w:p>
            <w:pPr>
              <w:jc w:val="left"/>
            </w:pPr>
            <w:r>
              <w:rPr>
                <w:b w:val="false"/>
                <w:bCs w:val="false"/>
                <w:color w:val="000000"/>
                <w:sz w:val="20"/>
                <w:szCs w:val="20"/>
              </w:rPr>
              <w:t xml:space="preserve">Module Identité et Client (intégration Faker)</w:t>
            </w:r>
          </w:p>
        </w:tc>
        <w:tc>
          <w:tcPr>
            <w:tcW w:type="dxa" w:w="2400"/>
            <w:tcMar>
              <w:top w:type="dxa" w:w="80"/>
              <w:left w:type="dxa" w:w="120"/>
              <w:bottom w:type="dxa" w:w="80"/>
              <w:right w:type="dxa" w:w="120"/>
            </w:tcMar>
          </w:tcPr>
          <w:p>
            <w:pPr>
              <w:jc w:val="left"/>
            </w:pPr>
            <w:r>
              <w:rPr>
                <w:b w:val="false"/>
                <w:bCs w:val="false"/>
                <w:color w:val="000000"/>
                <w:sz w:val="20"/>
                <w:szCs w:val="20"/>
              </w:rPr>
              <w:t xml:space="preserve">Code source</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L-07</w:t>
            </w:r>
          </w:p>
        </w:tc>
        <w:tc>
          <w:tcPr>
            <w:tcW w:type="dxa" w:w="6000"/>
            <w:tcMar>
              <w:top w:type="dxa" w:w="80"/>
              <w:left w:type="dxa" w:w="120"/>
              <w:bottom w:type="dxa" w:w="80"/>
              <w:right w:type="dxa" w:w="120"/>
            </w:tcMar>
          </w:tcPr>
          <w:p>
            <w:pPr>
              <w:jc w:val="left"/>
            </w:pPr>
            <w:r>
              <w:rPr>
                <w:b w:val="false"/>
                <w:bCs w:val="false"/>
                <w:color w:val="000000"/>
                <w:sz w:val="20"/>
                <w:szCs w:val="20"/>
              </w:rPr>
              <w:t xml:space="preserve">Module Prêt (intégration loan-service)</w:t>
            </w:r>
          </w:p>
        </w:tc>
        <w:tc>
          <w:tcPr>
            <w:tcW w:type="dxa" w:w="2400"/>
            <w:tcMar>
              <w:top w:type="dxa" w:w="80"/>
              <w:left w:type="dxa" w:w="120"/>
              <w:bottom w:type="dxa" w:w="80"/>
              <w:right w:type="dxa" w:w="120"/>
            </w:tcMar>
          </w:tcPr>
          <w:p>
            <w:pPr>
              <w:jc w:val="left"/>
            </w:pPr>
            <w:r>
              <w:rPr>
                <w:b w:val="false"/>
                <w:bCs w:val="false"/>
                <w:color w:val="000000"/>
                <w:sz w:val="20"/>
                <w:szCs w:val="20"/>
              </w:rPr>
              <w:t xml:space="preserve">Code source</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L-08</w:t>
            </w:r>
          </w:p>
        </w:tc>
        <w:tc>
          <w:tcPr>
            <w:tcW w:type="dxa" w:w="6000"/>
            <w:tcMar>
              <w:top w:type="dxa" w:w="80"/>
              <w:left w:type="dxa" w:w="120"/>
              <w:bottom w:type="dxa" w:w="80"/>
              <w:right w:type="dxa" w:w="120"/>
            </w:tcMar>
          </w:tcPr>
          <w:p>
            <w:pPr>
              <w:jc w:val="left"/>
            </w:pPr>
            <w:r>
              <w:rPr>
                <w:b w:val="false"/>
                <w:bCs w:val="false"/>
                <w:color w:val="000000"/>
                <w:sz w:val="20"/>
                <w:szCs w:val="20"/>
              </w:rPr>
              <w:t xml:space="preserve">Interface graphique de pilotage</w:t>
            </w:r>
          </w:p>
        </w:tc>
        <w:tc>
          <w:tcPr>
            <w:tcW w:type="dxa" w:w="2400"/>
            <w:tcMar>
              <w:top w:type="dxa" w:w="80"/>
              <w:left w:type="dxa" w:w="120"/>
              <w:bottom w:type="dxa" w:w="80"/>
              <w:right w:type="dxa" w:w="120"/>
            </w:tcMar>
          </w:tcPr>
          <w:p>
            <w:pPr>
              <w:jc w:val="left"/>
            </w:pPr>
            <w:r>
              <w:rPr>
                <w:b w:val="false"/>
                <w:bCs w:val="false"/>
                <w:color w:val="000000"/>
                <w:sz w:val="20"/>
                <w:szCs w:val="20"/>
              </w:rPr>
              <w:t xml:space="preserve">Application web déployée</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L-09</w:t>
            </w:r>
          </w:p>
        </w:tc>
        <w:tc>
          <w:tcPr>
            <w:tcW w:type="dxa" w:w="6000"/>
            <w:tcMar>
              <w:top w:type="dxa" w:w="80"/>
              <w:left w:type="dxa" w:w="120"/>
              <w:bottom w:type="dxa" w:w="80"/>
              <w:right w:type="dxa" w:w="120"/>
            </w:tcMar>
          </w:tcPr>
          <w:p>
            <w:pPr>
              <w:jc w:val="left"/>
            </w:pPr>
            <w:r>
              <w:rPr>
                <w:b w:val="false"/>
                <w:bCs w:val="false"/>
                <w:color w:val="000000"/>
                <w:sz w:val="20"/>
                <w:szCs w:val="20"/>
              </w:rPr>
              <w:t xml:space="preserve">Documentation utilisateur et technique</w:t>
            </w:r>
          </w:p>
        </w:tc>
        <w:tc>
          <w:tcPr>
            <w:tcW w:type="dxa" w:w="2400"/>
            <w:tcMar>
              <w:top w:type="dxa" w:w="80"/>
              <w:left w:type="dxa" w:w="120"/>
              <w:bottom w:type="dxa" w:w="80"/>
              <w:right w:type="dxa" w:w="120"/>
            </w:tcMar>
          </w:tcPr>
          <w:p>
            <w:pPr>
              <w:jc w:val="left"/>
            </w:pPr>
            <w:r>
              <w:rPr>
                <w:b w:val="false"/>
                <w:bCs w:val="false"/>
                <w:color w:val="000000"/>
                <w:sz w:val="20"/>
                <w:szCs w:val="20"/>
              </w:rPr>
              <w:t xml:space="preserve">Confluence</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L-10</w:t>
            </w:r>
          </w:p>
        </w:tc>
        <w:tc>
          <w:tcPr>
            <w:tcW w:type="dxa" w:w="6000"/>
            <w:tcMar>
              <w:top w:type="dxa" w:w="80"/>
              <w:left w:type="dxa" w:w="120"/>
              <w:bottom w:type="dxa" w:w="80"/>
              <w:right w:type="dxa" w:w="120"/>
            </w:tcMar>
          </w:tcPr>
          <w:p>
            <w:pPr>
              <w:jc w:val="left"/>
            </w:pPr>
            <w:r>
              <w:rPr>
                <w:b w:val="false"/>
                <w:bCs w:val="false"/>
                <w:color w:val="000000"/>
                <w:sz w:val="20"/>
                <w:szCs w:val="20"/>
              </w:rPr>
              <w:t xml:space="preserve">Journal de tests de bout en bout sur le scénario Côte d'Ivoire</w:t>
            </w:r>
          </w:p>
        </w:tc>
        <w:tc>
          <w:tcPr>
            <w:tcW w:type="dxa" w:w="2400"/>
            <w:tcMar>
              <w:top w:type="dxa" w:w="80"/>
              <w:left w:type="dxa" w:w="120"/>
              <w:bottom w:type="dxa" w:w="80"/>
              <w:right w:type="dxa" w:w="120"/>
            </w:tcMar>
          </w:tcPr>
          <w:p>
            <w:pPr>
              <w:jc w:val="left"/>
            </w:pPr>
            <w:r>
              <w:rPr>
                <w:b w:val="false"/>
                <w:bCs w:val="false"/>
                <w:color w:val="000000"/>
                <w:sz w:val="20"/>
                <w:szCs w:val="20"/>
              </w:rPr>
              <w:t xml:space="preserve">Rapport Confluence + Allure</w:t>
            </w:r>
          </w:p>
        </w:tc>
      </w:tr>
      <w:tr>
        <w:tc>
          <w:tcPr>
            <w:tcW w:type="dxa" w:w="800"/>
            <w:shd w:fill="E8F5E9" w:val="clear"/>
            <w:tcMar>
              <w:top w:type="dxa" w:w="80"/>
              <w:left w:type="dxa" w:w="120"/>
              <w:bottom w:type="dxa" w:w="80"/>
              <w:right w:type="dxa" w:w="120"/>
            </w:tcMar>
          </w:tcPr>
          <w:p>
            <w:pPr>
              <w:jc w:val="left"/>
            </w:pPr>
            <w:r>
              <w:rPr>
                <w:b/>
                <w:bCs/>
                <w:color w:val="000000"/>
                <w:sz w:val="20"/>
                <w:szCs w:val="20"/>
              </w:rPr>
              <w:t xml:space="preserve">L-11</w:t>
            </w:r>
          </w:p>
        </w:tc>
        <w:tc>
          <w:tcPr>
            <w:tcW w:type="dxa" w:w="6000"/>
            <w:shd w:fill="E8F5E9" w:val="clear"/>
            <w:tcMar>
              <w:top w:type="dxa" w:w="80"/>
              <w:left w:type="dxa" w:w="120"/>
              <w:bottom w:type="dxa" w:w="80"/>
              <w:right w:type="dxa" w:w="120"/>
            </w:tcMar>
          </w:tcPr>
          <w:p>
            <w:pPr>
              <w:jc w:val="left"/>
            </w:pPr>
            <w:r>
              <w:rPr>
                <w:b/>
                <w:bCs/>
                <w:color w:val="000000"/>
                <w:sz w:val="20"/>
                <w:szCs w:val="20"/>
              </w:rPr>
              <w:t xml:space="preserve">Module Simulation comportementale (attribution profil, séquences de remboursement, reporting PAR/DPD) — AJOUT V1.2</w:t>
            </w:r>
          </w:p>
        </w:tc>
        <w:tc>
          <w:tcPr>
            <w:tcW w:type="dxa" w:w="2400"/>
            <w:shd w:fill="E8F5E9" w:val="clear"/>
            <w:tcMar>
              <w:top w:type="dxa" w:w="80"/>
              <w:left w:type="dxa" w:w="120"/>
              <w:bottom w:type="dxa" w:w="80"/>
              <w:right w:type="dxa" w:w="120"/>
            </w:tcMar>
          </w:tcPr>
          <w:p>
            <w:pPr>
              <w:jc w:val="left"/>
            </w:pPr>
            <w:r>
              <w:rPr>
                <w:b/>
                <w:bCs/>
                <w:color w:val="000000"/>
                <w:sz w:val="20"/>
                <w:szCs w:val="20"/>
              </w:rPr>
              <w:t xml:space="preserve">Code source + documentation</w:t>
            </w:r>
          </w:p>
        </w:tc>
      </w:tr>
      <w:tr>
        <w:tc>
          <w:tcPr>
            <w:tcW w:type="dxa" w:w="800"/>
            <w:shd w:fill="E8F5E9" w:val="clear"/>
            <w:tcMar>
              <w:top w:type="dxa" w:w="80"/>
              <w:left w:type="dxa" w:w="120"/>
              <w:bottom w:type="dxa" w:w="80"/>
              <w:right w:type="dxa" w:w="120"/>
            </w:tcMar>
          </w:tcPr>
          <w:p>
            <w:pPr>
              <w:jc w:val="left"/>
            </w:pPr>
            <w:r>
              <w:rPr>
                <w:b/>
                <w:bCs/>
                <w:color w:val="000000"/>
                <w:sz w:val="20"/>
                <w:szCs w:val="20"/>
              </w:rPr>
              <w:t xml:space="preserve">L-12</w:t>
            </w:r>
          </w:p>
        </w:tc>
        <w:tc>
          <w:tcPr>
            <w:tcW w:type="dxa" w:w="6000"/>
            <w:shd w:fill="E8F5E9" w:val="clear"/>
            <w:tcMar>
              <w:top w:type="dxa" w:w="80"/>
              <w:left w:type="dxa" w:w="120"/>
              <w:bottom w:type="dxa" w:w="80"/>
              <w:right w:type="dxa" w:w="120"/>
            </w:tcMar>
          </w:tcPr>
          <w:p>
            <w:pPr>
              <w:jc w:val="left"/>
            </w:pPr>
            <w:r>
              <w:rPr>
                <w:b/>
                <w:bCs/>
                <w:color w:val="000000"/>
                <w:sz w:val="20"/>
                <w:szCs w:val="20"/>
              </w:rPr>
              <w:t xml:space="preserve">Rapport de calibration statistique des profils comportementaux — AJOUT V1.2</w:t>
            </w:r>
          </w:p>
        </w:tc>
        <w:tc>
          <w:tcPr>
            <w:tcW w:type="dxa" w:w="2400"/>
            <w:shd w:fill="E8F5E9" w:val="clear"/>
            <w:tcMar>
              <w:top w:type="dxa" w:w="80"/>
              <w:left w:type="dxa" w:w="120"/>
              <w:bottom w:type="dxa" w:w="80"/>
              <w:right w:type="dxa" w:w="120"/>
            </w:tcMar>
          </w:tcPr>
          <w:p>
            <w:pPr>
              <w:jc w:val="left"/>
            </w:pPr>
            <w:r>
              <w:rPr>
                <w:b/>
                <w:bCs/>
                <w:color w:val="000000"/>
                <w:sz w:val="20"/>
                <w:szCs w:val="20"/>
              </w:rPr>
              <w:t xml:space="preserve">Rapport Confluence</w:t>
            </w:r>
          </w:p>
        </w:tc>
      </w:tr>
    </w:tbl>
    <w:p>
      <w:pPr>
        <w:pStyle w:val="Heading2"/>
        <w:spacing w:after="180" w:before="360"/>
      </w:pPr>
      <w:r>
        <w:rPr>
          <w:b/>
          <w:bCs/>
          <w:color w:val="6B2E9E"/>
          <w:sz w:val="26"/>
          <w:szCs w:val="26"/>
        </w:rPr>
        <w:t xml:space="preserve">11.2 Jalons du projet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200"/>
      </w:tblGrid>
      <w:tr>
        <w:trPr>
          <w:tblHeader/>
        </w:trPr>
        <w:tc>
          <w:tcPr>
            <w:tcW w:type="dxa" w:w="1000"/>
            <w:shd w:fill="6B2E9E" w:val="clear"/>
            <w:tcMar>
              <w:top w:type="dxa" w:w="100"/>
              <w:left w:type="dxa" w:w="120"/>
              <w:bottom w:type="dxa" w:w="100"/>
              <w:right w:type="dxa" w:w="120"/>
            </w:tcMar>
          </w:tcPr>
          <w:p>
            <w:pPr>
              <w:jc w:val="center"/>
            </w:pPr>
            <w:r>
              <w:rPr>
                <w:b/>
                <w:bCs/>
                <w:color w:val="FFFFFF"/>
                <w:sz w:val="20"/>
                <w:szCs w:val="20"/>
              </w:rPr>
              <w:t xml:space="preserve">Jalon</w:t>
            </w:r>
          </w:p>
        </w:tc>
        <w:tc>
          <w:tcPr>
            <w:tcW w:type="dxa" w:w="6000"/>
            <w:shd w:fill="6B2E9E" w:val="clear"/>
            <w:tcMar>
              <w:top w:type="dxa" w:w="100"/>
              <w:left w:type="dxa" w:w="120"/>
              <w:bottom w:type="dxa" w:w="100"/>
              <w:right w:type="dxa" w:w="120"/>
            </w:tcMar>
          </w:tcPr>
          <w:p>
            <w:pPr>
              <w:jc w:val="center"/>
            </w:pPr>
            <w:r>
              <w:rPr>
                <w:b/>
                <w:bCs/>
                <w:color w:val="FFFFFF"/>
                <w:sz w:val="20"/>
                <w:szCs w:val="20"/>
              </w:rPr>
              <w:t xml:space="preserve">Description</w:t>
            </w:r>
          </w:p>
        </w:tc>
        <w:tc>
          <w:tcPr>
            <w:tcW w:type="dxa" w:w="2200"/>
            <w:shd w:fill="6B2E9E" w:val="clear"/>
            <w:tcMar>
              <w:top w:type="dxa" w:w="100"/>
              <w:left w:type="dxa" w:w="120"/>
              <w:bottom w:type="dxa" w:w="100"/>
              <w:right w:type="dxa" w:w="120"/>
            </w:tcMar>
          </w:tcPr>
          <w:p>
            <w:pPr>
              <w:jc w:val="center"/>
            </w:pPr>
            <w:r>
              <w:rPr>
                <w:b/>
                <w:bCs/>
                <w:color w:val="FFFFFF"/>
                <w:sz w:val="20"/>
                <w:szCs w:val="20"/>
              </w:rPr>
              <w:t xml:space="preserve">Date cible</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J-01</w:t>
            </w:r>
          </w:p>
        </w:tc>
        <w:tc>
          <w:tcPr>
            <w:tcW w:type="dxa" w:w="6000"/>
            <w:tcMar>
              <w:top w:type="dxa" w:w="80"/>
              <w:left w:type="dxa" w:w="120"/>
              <w:bottom w:type="dxa" w:w="80"/>
              <w:right w:type="dxa" w:w="120"/>
            </w:tcMar>
          </w:tcPr>
          <w:p>
            <w:pPr>
              <w:jc w:val="left"/>
            </w:pPr>
            <w:r>
              <w:rPr>
                <w:b w:val="false"/>
                <w:bCs w:val="false"/>
                <w:color w:val="000000"/>
                <w:sz w:val="20"/>
                <w:szCs w:val="20"/>
              </w:rPr>
              <w:t xml:space="preserve">Validation du cahier des charges par la Direction Technique</w:t>
            </w:r>
          </w:p>
        </w:tc>
        <w:tc>
          <w:tcPr>
            <w:tcW w:type="dxa" w:w="2200"/>
            <w:tcMar>
              <w:top w:type="dxa" w:w="80"/>
              <w:left w:type="dxa" w:w="120"/>
              <w:bottom w:type="dxa" w:w="80"/>
              <w:right w:type="dxa" w:w="120"/>
            </w:tcMar>
          </w:tcPr>
          <w:p>
            <w:pPr>
              <w:jc w:val="left"/>
            </w:pPr>
            <w:r>
              <w:rPr>
                <w:b w:val="false"/>
                <w:bCs w:val="false"/>
                <w:color w:val="000000"/>
                <w:sz w:val="20"/>
                <w:szCs w:val="20"/>
              </w:rPr>
              <w:t xml:space="preserve">17 juillet 2026</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J-02</w:t>
            </w:r>
          </w:p>
        </w:tc>
        <w:tc>
          <w:tcPr>
            <w:tcW w:type="dxa" w:w="6000"/>
            <w:tcMar>
              <w:top w:type="dxa" w:w="80"/>
              <w:left w:type="dxa" w:w="120"/>
              <w:bottom w:type="dxa" w:w="80"/>
              <w:right w:type="dxa" w:w="120"/>
            </w:tcMar>
          </w:tcPr>
          <w:p>
            <w:pPr>
              <w:jc w:val="left"/>
            </w:pPr>
            <w:r>
              <w:rPr>
                <w:b w:val="false"/>
                <w:bCs w:val="false"/>
                <w:color w:val="000000"/>
                <w:sz w:val="20"/>
                <w:szCs w:val="20"/>
              </w:rPr>
              <w:t xml:space="preserve">Livraison des Modules Géographie et Organisation</w:t>
            </w:r>
          </w:p>
        </w:tc>
        <w:tc>
          <w:tcPr>
            <w:tcW w:type="dxa" w:w="2200"/>
            <w:tcMar>
              <w:top w:type="dxa" w:w="80"/>
              <w:left w:type="dxa" w:w="120"/>
              <w:bottom w:type="dxa" w:w="80"/>
              <w:right w:type="dxa" w:w="120"/>
            </w:tcMar>
          </w:tcPr>
          <w:p>
            <w:pPr>
              <w:jc w:val="left"/>
            </w:pPr>
            <w:r>
              <w:rPr>
                <w:b w:val="false"/>
                <w:bCs w:val="false"/>
                <w:color w:val="000000"/>
                <w:sz w:val="20"/>
                <w:szCs w:val="20"/>
              </w:rPr>
              <w:t xml:space="preserve">22 juillet 2026</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J-03</w:t>
            </w:r>
          </w:p>
        </w:tc>
        <w:tc>
          <w:tcPr>
            <w:tcW w:type="dxa" w:w="6000"/>
            <w:tcMar>
              <w:top w:type="dxa" w:w="80"/>
              <w:left w:type="dxa" w:w="120"/>
              <w:bottom w:type="dxa" w:w="80"/>
              <w:right w:type="dxa" w:w="120"/>
            </w:tcMar>
          </w:tcPr>
          <w:p>
            <w:pPr>
              <w:jc w:val="left"/>
            </w:pPr>
            <w:r>
              <w:rPr>
                <w:b w:val="false"/>
                <w:bCs w:val="false"/>
                <w:color w:val="000000"/>
                <w:sz w:val="20"/>
                <w:szCs w:val="20"/>
              </w:rPr>
              <w:t xml:space="preserve">Intégration Faker fonctionnelle pour les Modules Identité et Client</w:t>
            </w:r>
          </w:p>
        </w:tc>
        <w:tc>
          <w:tcPr>
            <w:tcW w:type="dxa" w:w="2200"/>
            <w:tcMar>
              <w:top w:type="dxa" w:w="80"/>
              <w:left w:type="dxa" w:w="120"/>
              <w:bottom w:type="dxa" w:w="80"/>
              <w:right w:type="dxa" w:w="120"/>
            </w:tcMar>
          </w:tcPr>
          <w:p>
            <w:pPr>
              <w:jc w:val="left"/>
            </w:pPr>
            <w:r>
              <w:rPr>
                <w:b w:val="false"/>
                <w:bCs w:val="false"/>
                <w:color w:val="000000"/>
                <w:sz w:val="20"/>
                <w:szCs w:val="20"/>
              </w:rPr>
              <w:t xml:space="preserve">25 juillet 2026</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J-04</w:t>
            </w:r>
          </w:p>
        </w:tc>
        <w:tc>
          <w:tcPr>
            <w:tcW w:type="dxa" w:w="6000"/>
            <w:tcMar>
              <w:top w:type="dxa" w:w="80"/>
              <w:left w:type="dxa" w:w="120"/>
              <w:bottom w:type="dxa" w:w="80"/>
              <w:right w:type="dxa" w:w="120"/>
            </w:tcMar>
          </w:tcPr>
          <w:p>
            <w:pPr>
              <w:jc w:val="left"/>
            </w:pPr>
            <w:r>
              <w:rPr>
                <w:b w:val="false"/>
                <w:bCs w:val="false"/>
                <w:color w:val="000000"/>
                <w:sz w:val="20"/>
                <w:szCs w:val="20"/>
              </w:rPr>
              <w:t xml:space="preserve">Interface graphique de pilotage disponible en version alpha</w:t>
            </w:r>
          </w:p>
        </w:tc>
        <w:tc>
          <w:tcPr>
            <w:tcW w:type="dxa" w:w="2200"/>
            <w:tcMar>
              <w:top w:type="dxa" w:w="80"/>
              <w:left w:type="dxa" w:w="120"/>
              <w:bottom w:type="dxa" w:w="80"/>
              <w:right w:type="dxa" w:w="120"/>
            </w:tcMar>
          </w:tcPr>
          <w:p>
            <w:pPr>
              <w:jc w:val="left"/>
            </w:pPr>
            <w:r>
              <w:rPr>
                <w:b w:val="false"/>
                <w:bCs w:val="false"/>
                <w:color w:val="000000"/>
                <w:sz w:val="20"/>
                <w:szCs w:val="20"/>
              </w:rPr>
              <w:t xml:space="preserve">28 juillet 2026</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J-05</w:t>
            </w:r>
          </w:p>
        </w:tc>
        <w:tc>
          <w:tcPr>
            <w:tcW w:type="dxa" w:w="6000"/>
            <w:tcMar>
              <w:top w:type="dxa" w:w="80"/>
              <w:left w:type="dxa" w:w="120"/>
              <w:bottom w:type="dxa" w:w="80"/>
              <w:right w:type="dxa" w:w="120"/>
            </w:tcMar>
          </w:tcPr>
          <w:p>
            <w:pPr>
              <w:jc w:val="left"/>
            </w:pPr>
            <w:r>
              <w:rPr>
                <w:b w:val="false"/>
                <w:bCs w:val="false"/>
                <w:color w:val="000000"/>
                <w:sz w:val="20"/>
                <w:szCs w:val="20"/>
              </w:rPr>
              <w:t xml:space="preserve">Livraison globale du Loader v1.0 pour environnement TEST</w:t>
            </w:r>
          </w:p>
        </w:tc>
        <w:tc>
          <w:tcPr>
            <w:tcW w:type="dxa" w:w="2200"/>
            <w:tcMar>
              <w:top w:type="dxa" w:w="80"/>
              <w:left w:type="dxa" w:w="120"/>
              <w:bottom w:type="dxa" w:w="80"/>
              <w:right w:type="dxa" w:w="120"/>
            </w:tcMar>
          </w:tcPr>
          <w:p>
            <w:pPr>
              <w:jc w:val="left"/>
            </w:pPr>
            <w:r>
              <w:rPr>
                <w:b w:val="false"/>
                <w:bCs w:val="false"/>
                <w:color w:val="000000"/>
                <w:sz w:val="20"/>
                <w:szCs w:val="20"/>
              </w:rPr>
              <w:t xml:space="preserve">31 juillet 2026</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J-06</w:t>
            </w:r>
          </w:p>
        </w:tc>
        <w:tc>
          <w:tcPr>
            <w:tcW w:type="dxa" w:w="6000"/>
            <w:tcMar>
              <w:top w:type="dxa" w:w="80"/>
              <w:left w:type="dxa" w:w="120"/>
              <w:bottom w:type="dxa" w:w="80"/>
              <w:right w:type="dxa" w:w="120"/>
            </w:tcMar>
          </w:tcPr>
          <w:p>
            <w:pPr>
              <w:jc w:val="left"/>
            </w:pPr>
            <w:r>
              <w:rPr>
                <w:b w:val="false"/>
                <w:bCs w:val="false"/>
                <w:color w:val="000000"/>
                <w:sz w:val="20"/>
                <w:szCs w:val="20"/>
              </w:rPr>
              <w:t xml:space="preserve">Validation de recette et déploiement sur environnement DEMO</w:t>
            </w:r>
          </w:p>
        </w:tc>
        <w:tc>
          <w:tcPr>
            <w:tcW w:type="dxa" w:w="2200"/>
            <w:tcMar>
              <w:top w:type="dxa" w:w="80"/>
              <w:left w:type="dxa" w:w="120"/>
              <w:bottom w:type="dxa" w:w="80"/>
              <w:right w:type="dxa" w:w="120"/>
            </w:tcMar>
          </w:tcPr>
          <w:p>
            <w:pPr>
              <w:jc w:val="left"/>
            </w:pPr>
            <w:r>
              <w:rPr>
                <w:b w:val="false"/>
                <w:bCs w:val="false"/>
                <w:color w:val="000000"/>
                <w:sz w:val="20"/>
                <w:szCs w:val="20"/>
              </w:rPr>
              <w:t xml:space="preserve">Début août 2026</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J-07</w:t>
            </w:r>
          </w:p>
        </w:tc>
        <w:tc>
          <w:tcPr>
            <w:tcW w:type="dxa" w:w="6000"/>
            <w:tcMar>
              <w:top w:type="dxa" w:w="80"/>
              <w:left w:type="dxa" w:w="120"/>
              <w:bottom w:type="dxa" w:w="80"/>
              <w:right w:type="dxa" w:w="120"/>
            </w:tcMar>
          </w:tcPr>
          <w:p>
            <w:pPr>
              <w:jc w:val="left"/>
            </w:pPr>
            <w:r>
              <w:rPr>
                <w:b w:val="false"/>
                <w:bCs w:val="false"/>
                <w:color w:val="000000"/>
                <w:sz w:val="20"/>
                <w:szCs w:val="20"/>
              </w:rPr>
              <w:t xml:space="preserve">Intégration du module loan-service et activation de la partie prêt</w:t>
            </w:r>
          </w:p>
        </w:tc>
        <w:tc>
          <w:tcPr>
            <w:tcW w:type="dxa" w:w="2200"/>
            <w:tcMar>
              <w:top w:type="dxa" w:w="80"/>
              <w:left w:type="dxa" w:w="120"/>
              <w:bottom w:type="dxa" w:w="80"/>
              <w:right w:type="dxa" w:w="120"/>
            </w:tcMar>
          </w:tcPr>
          <w:p>
            <w:pPr>
              <w:jc w:val="left"/>
            </w:pPr>
            <w:r>
              <w:rPr>
                <w:b w:val="false"/>
                <w:bCs w:val="false"/>
                <w:color w:val="000000"/>
                <w:sz w:val="20"/>
                <w:szCs w:val="20"/>
              </w:rPr>
              <w:t xml:space="preserve">À définir avec Duhamel</w:t>
            </w:r>
          </w:p>
        </w:tc>
      </w:tr>
      <w:tr>
        <w:tc>
          <w:tcPr>
            <w:tcW w:type="dxa" w:w="1000"/>
            <w:shd w:fill="E8F5E9" w:val="clear"/>
            <w:tcMar>
              <w:top w:type="dxa" w:w="80"/>
              <w:left w:type="dxa" w:w="120"/>
              <w:bottom w:type="dxa" w:w="80"/>
              <w:right w:type="dxa" w:w="120"/>
            </w:tcMar>
          </w:tcPr>
          <w:p>
            <w:pPr>
              <w:jc w:val="left"/>
            </w:pPr>
            <w:r>
              <w:rPr>
                <w:b/>
                <w:bCs/>
                <w:color w:val="000000"/>
                <w:sz w:val="20"/>
                <w:szCs w:val="20"/>
              </w:rPr>
              <w:t xml:space="preserve">J-08</w:t>
            </w:r>
          </w:p>
        </w:tc>
        <w:tc>
          <w:tcPr>
            <w:tcW w:type="dxa" w:w="6000"/>
            <w:shd w:fill="E8F5E9" w:val="clear"/>
            <w:tcMar>
              <w:top w:type="dxa" w:w="80"/>
              <w:left w:type="dxa" w:w="120"/>
              <w:bottom w:type="dxa" w:w="80"/>
              <w:right w:type="dxa" w:w="120"/>
            </w:tcMar>
          </w:tcPr>
          <w:p>
            <w:pPr>
              <w:jc w:val="left"/>
            </w:pPr>
            <w:r>
              <w:rPr>
                <w:b/>
                <w:bCs/>
                <w:color w:val="000000"/>
                <w:sz w:val="20"/>
                <w:szCs w:val="20"/>
              </w:rPr>
              <w:t xml:space="preserve">Livraison du Module Simulation comportementale et validation des indicateurs PAR/DPD — AJOUT V1.2</w:t>
            </w:r>
          </w:p>
        </w:tc>
        <w:tc>
          <w:tcPr>
            <w:tcW w:type="dxa" w:w="2200"/>
            <w:shd w:fill="E8F5E9" w:val="clear"/>
            <w:tcMar>
              <w:top w:type="dxa" w:w="80"/>
              <w:left w:type="dxa" w:w="120"/>
              <w:bottom w:type="dxa" w:w="80"/>
              <w:right w:type="dxa" w:w="120"/>
            </w:tcMar>
          </w:tcPr>
          <w:p>
            <w:pPr>
              <w:jc w:val="left"/>
            </w:pPr>
            <w:r>
              <w:rPr>
                <w:b/>
                <w:bCs/>
                <w:color w:val="000000"/>
                <w:sz w:val="20"/>
                <w:szCs w:val="20"/>
              </w:rPr>
              <w:t xml:space="preserve">Début août 2026</w:t>
            </w:r>
          </w:p>
        </w:tc>
      </w:tr>
    </w:tbl>
    <w:p>
      <w:r>
        <w:br w:type="page"/>
      </w:r>
    </w:p>
    <w:p>
      <w:pPr>
        <w:pStyle w:val="Heading1"/>
        <w:spacing w:after="240" w:before="480"/>
      </w:pPr>
      <w:r>
        <w:rPr>
          <w:b/>
          <w:bCs/>
          <w:color w:val="6B2E9E"/>
          <w:sz w:val="32"/>
          <w:szCs w:val="32"/>
        </w:rPr>
        <w:t xml:space="preserve">12. Critères de recette</w:t>
      </w:r>
    </w:p>
    <w:p>
      <w:pPr>
        <w:spacing w:after="120"/>
        <w:jc w:val="both"/>
      </w:pPr>
      <w:r>
        <w:rPr>
          <w:b w:val="false"/>
          <w:bCs w:val="false"/>
          <w:i w:val="false"/>
          <w:iCs w:val="false"/>
          <w:sz w:val="22"/>
          <w:szCs w:val="22"/>
        </w:rPr>
        <w:t xml:space="preserve">Le Loader sera considéré comme recette lorsque les critères suivants seront simultanément satisfaits sur l'environnement TEST :</w:t>
      </w:r>
    </w:p>
    <w:p>
      <w:pPr>
        <w:pStyle w:val="ListParagraph"/>
        <w:numPr>
          <w:ilvl w:val="0"/>
          <w:numId w:val="1"/>
        </w:numPr>
        <w:spacing w:after="80"/>
      </w:pPr>
      <w:r>
        <w:rPr>
          <w:b/>
          <w:bCs/>
          <w:sz w:val="22"/>
          <w:szCs w:val="22"/>
        </w:rPr>
        <w:t xml:space="preserve">CR-01 — Géographie complète : </w:t>
      </w:r>
      <w:r>
        <w:rPr>
          <w:sz w:val="22"/>
          <w:szCs w:val="22"/>
        </w:rPr>
        <w:t xml:space="preserve">l'outil génère pour les quatre pays cibles une hiérarchie géographique complète et vérifiable par échantillonnage contre le référentiel officiel.</w:t>
      </w:r>
    </w:p>
    <w:p>
      <w:pPr>
        <w:pStyle w:val="ListParagraph"/>
        <w:numPr>
          <w:ilvl w:val="0"/>
          <w:numId w:val="1"/>
        </w:numPr>
        <w:spacing w:after="80"/>
      </w:pPr>
      <w:r>
        <w:rPr>
          <w:b/>
          <w:bCs/>
          <w:sz w:val="22"/>
          <w:szCs w:val="22"/>
        </w:rPr>
        <w:t xml:space="preserve">CR-02 — Cohérence référentielle : </w:t>
      </w:r>
      <w:r>
        <w:rPr>
          <w:sz w:val="22"/>
          <w:szCs w:val="22"/>
        </w:rPr>
        <w:t xml:space="preserve">aucune incohérence géo-organisationnelle n'est détectée après une génération complète (chaque Kiosque a un District valide, chaque Agence une Ville valide, etc.).</w:t>
      </w:r>
    </w:p>
    <w:p>
      <w:pPr>
        <w:pStyle w:val="ListParagraph"/>
        <w:numPr>
          <w:ilvl w:val="0"/>
          <w:numId w:val="1"/>
        </w:numPr>
        <w:spacing w:after="80"/>
      </w:pPr>
      <w:r>
        <w:rPr>
          <w:b/>
          <w:bCs/>
          <w:sz w:val="22"/>
          <w:szCs w:val="22"/>
        </w:rPr>
        <w:t xml:space="preserve">CR-03 — Idempotence : </w:t>
      </w:r>
      <w:r>
        <w:rPr>
          <w:sz w:val="22"/>
          <w:szCs w:val="22"/>
        </w:rPr>
        <w:t xml:space="preserve">une exécution relancée avec les mêmes paramètres ne produit aucun doublon (vérification par comptage avant/après).</w:t>
      </w:r>
    </w:p>
    <w:p>
      <w:pPr>
        <w:pStyle w:val="ListParagraph"/>
        <w:numPr>
          <w:ilvl w:val="0"/>
          <w:numId w:val="1"/>
        </w:numPr>
        <w:spacing w:after="80"/>
      </w:pPr>
      <w:r>
        <w:rPr>
          <w:b/>
          <w:bCs/>
          <w:sz w:val="22"/>
          <w:szCs w:val="22"/>
        </w:rPr>
        <w:t xml:space="preserve">CR-04 — Volumétrie cible atteinte : </w:t>
      </w:r>
      <w:r>
        <w:rPr>
          <w:sz w:val="22"/>
          <w:szCs w:val="22"/>
        </w:rPr>
        <w:t xml:space="preserve">2000 clients générés en moins de 30 minutes, avec les proportions démographiques et sectorielles spécifiées.</w:t>
      </w:r>
    </w:p>
    <w:p>
      <w:pPr>
        <w:pStyle w:val="ListParagraph"/>
        <w:numPr>
          <w:ilvl w:val="0"/>
          <w:numId w:val="1"/>
        </w:numPr>
        <w:spacing w:after="80"/>
      </w:pPr>
      <w:r>
        <w:rPr>
          <w:b/>
          <w:bCs/>
          <w:sz w:val="22"/>
          <w:szCs w:val="22"/>
        </w:rPr>
        <w:t xml:space="preserve">CR-05 — Interface fonctionnelle : </w:t>
      </w:r>
      <w:r>
        <w:rPr>
          <w:sz w:val="22"/>
          <w:szCs w:val="22"/>
        </w:rPr>
        <w:t xml:space="preserve">un membre non technique de l'équipe peut configurer, lancer et suivre une exécution sans assistance.</w:t>
      </w:r>
    </w:p>
    <w:p>
      <w:pPr>
        <w:pStyle w:val="ListParagraph"/>
        <w:numPr>
          <w:ilvl w:val="0"/>
          <w:numId w:val="1"/>
        </w:numPr>
        <w:spacing w:after="80"/>
      </w:pPr>
      <w:r>
        <w:rPr>
          <w:b/>
          <w:bCs/>
          <w:sz w:val="22"/>
          <w:szCs w:val="22"/>
        </w:rPr>
        <w:t xml:space="preserve">CR-06 — Journal exploitable : </w:t>
      </w:r>
      <w:r>
        <w:rPr>
          <w:sz w:val="22"/>
          <w:szCs w:val="22"/>
        </w:rPr>
        <w:t xml:space="preserve">le journal d'exécution permet de retrouver, pour chaque entité créée, son origine et ses éventuelles erreurs associées.</w:t>
      </w:r>
    </w:p>
    <w:p>
      <w:pPr>
        <w:pStyle w:val="ListParagraph"/>
        <w:numPr>
          <w:ilvl w:val="0"/>
          <w:numId w:val="1"/>
        </w:numPr>
        <w:spacing w:after="80"/>
      </w:pPr>
      <w:r>
        <w:rPr>
          <w:b/>
          <w:bCs/>
          <w:sz w:val="22"/>
          <w:szCs w:val="22"/>
        </w:rPr>
        <w:t xml:space="preserve">CR-07 — Réversibilité : </w:t>
      </w:r>
      <w:r>
        <w:rPr>
          <w:sz w:val="22"/>
          <w:szCs w:val="22"/>
        </w:rPr>
        <w:t xml:space="preserve">les données générées par une exécution peuvent être intégralement supprimées sans effet collatéral sur les exécutions parallèles.</w:t>
      </w:r>
    </w:p>
    <w:p>
      <w:pPr>
        <w:pStyle w:val="ListParagraph"/>
        <w:numPr>
          <w:ilvl w:val="0"/>
          <w:numId w:val="1"/>
        </w:numPr>
        <w:spacing w:after="80"/>
      </w:pPr>
      <w:r>
        <w:rPr>
          <w:b/>
          <w:bCs/>
          <w:sz w:val="22"/>
          <w:szCs w:val="22"/>
        </w:rPr>
        <w:t xml:space="preserve">CR-08 — Conformité réglementaire : </w:t>
      </w:r>
      <w:r>
        <w:rPr>
          <w:sz w:val="22"/>
          <w:szCs w:val="22"/>
        </w:rPr>
        <w:t xml:space="preserve">aucun prêt généré ne dépasse le plafond d'usure BEAC/COBAC ; tous les MSISDN respectent les regex officiels des régulateurs.</w:t>
      </w:r>
    </w:p>
    <w:p>
      <w:pPr>
        <w:spacing w:after="120"/>
        <w:jc w:val="both"/>
      </w:pPr>
      <w:r>
        <w:rPr>
          <w:b w:val="false"/>
          <w:bCs w:val="false"/>
          <w:i w:val="false"/>
          <w:iCs w:val="false"/>
          <w:sz w:val="22"/>
          <w:szCs w:val="22"/>
        </w:rPr>
        <w:t xml:space="preserve"/>
      </w:r>
    </w:p>
    <w:p>
      <w:pPr>
        <w:pBdr>
          <w:top w:val="single" w:color="A5D6A7" w:sz="6" w:space="4"/>
          <w:bottom w:val="single" w:color="A5D6A7" w:sz="6" w:space="4"/>
          <w:left w:val="single" w:color="4CAF50" w:sz="24" w:space="8"/>
          <w:right w:val="single" w:color="A5D6A7" w:sz="6" w:space="4"/>
        </w:pBdr>
        <w:shd w:fill="E8F5E9" w:val="clear"/>
        <w:spacing w:after="120" w:before="120"/>
      </w:pPr>
      <w:r>
        <w:rPr>
          <w:b/>
          <w:bCs/>
          <w:color w:val="4CAF50"/>
          <w:sz w:val="22"/>
          <w:szCs w:val="22"/>
        </w:rPr>
        <w:t xml:space="preserve">AJOUT V1.2 — </w:t>
      </w:r>
      <w:r>
        <w:rPr>
          <w:i/>
          <w:iCs/>
          <w:sz w:val="22"/>
          <w:szCs w:val="22"/>
        </w:rPr>
        <w:t xml:space="preserve">Les critères de recette suivants sont ajoutés en version 1.2 pour valider la crédibilité de la méthodologie de simulation comportementale.</w:t>
      </w:r>
    </w:p>
    <w:p>
      <w:pPr>
        <w:spacing w:after="120"/>
        <w:jc w:val="both"/>
      </w:pPr>
      <w:r>
        <w:rPr>
          <w:b w:val="false"/>
          <w:bCs w:val="false"/>
          <w:i w:val="false"/>
          <w:iCs w:val="false"/>
          <w:sz w:val="22"/>
          <w:szCs w:val="22"/>
        </w:rPr>
        <w:t xml:space="preserve"/>
      </w:r>
    </w:p>
    <w:p>
      <w:pPr>
        <w:pStyle w:val="ListParagraph"/>
        <w:numPr>
          <w:ilvl w:val="0"/>
          <w:numId w:val="1"/>
        </w:numPr>
        <w:shd w:fill="E8F5E9" w:val="clear"/>
        <w:spacing w:after="80"/>
      </w:pPr>
      <w:r>
        <w:rPr>
          <w:b/>
          <w:bCs/>
          <w:sz w:val="22"/>
          <w:szCs w:val="22"/>
        </w:rPr>
        <w:t xml:space="preserve">CR-09 — Distribution comportementale : </w:t>
      </w:r>
      <w:r>
        <w:rPr>
          <w:sz w:val="22"/>
          <w:szCs w:val="22"/>
        </w:rPr>
        <w:t xml:space="preserve">sur un échantillon de 1000 clients générés, la répartition des profils comportementaux respecte les poids configurés à plus ou moins 3 pour cent. Pour la distribution par défaut : bon payeur entre 47 et 53 pour cent, retard puis paiement entre 22 et 28 pour cent, défaut partiel entre 10 et 16 pour cent, défaut total entre 9 et 15 pour cent.</w:t>
      </w:r>
    </w:p>
    <w:p>
      <w:pPr>
        <w:pStyle w:val="ListParagraph"/>
        <w:numPr>
          <w:ilvl w:val="0"/>
          <w:numId w:val="1"/>
        </w:numPr>
        <w:shd w:fill="E8F5E9" w:val="clear"/>
        <w:spacing w:after="80"/>
      </w:pPr>
      <w:r>
        <w:rPr>
          <w:b/>
          <w:bCs/>
          <w:sz w:val="22"/>
          <w:szCs w:val="22"/>
        </w:rPr>
        <w:t xml:space="preserve">CR-10 — Cohérence des séquences : </w:t>
      </w:r>
      <w:r>
        <w:rPr>
          <w:sz w:val="22"/>
          <w:szCs w:val="22"/>
        </w:rPr>
        <w:t xml:space="preserve">sur 100 prêts générés, chaque séquence de remboursement est fidèle au profil comportemental attribué au client. Un client bon payeur produit trois versements progressifs avant échéance ; un client en défaut total ne produit aucun remboursement mais quatre jalons de retard.</w:t>
      </w:r>
    </w:p>
    <w:p>
      <w:pPr>
        <w:pStyle w:val="ListParagraph"/>
        <w:numPr>
          <w:ilvl w:val="0"/>
          <w:numId w:val="1"/>
        </w:numPr>
        <w:shd w:fill="E8F5E9" w:val="clear"/>
        <w:spacing w:after="80"/>
      </w:pPr>
      <w:r>
        <w:rPr>
          <w:b/>
          <w:bCs/>
          <w:sz w:val="22"/>
          <w:szCs w:val="22"/>
        </w:rPr>
        <w:t xml:space="preserve">CR-12 — Cohérence de l'alimentation des comptes : </w:t>
      </w:r>
      <w:r>
        <w:rPr>
          <w:sz w:val="22"/>
          <w:szCs w:val="22"/>
        </w:rPr>
        <w:t xml:space="preserve">sur un échantillon de 200 clients ayant contracté au moins un prêt, le solde final du compte de chaque client est égal à son solde initial, augmenté des décaissements de prêts et diminué des remboursements effectués. Aucune incohérence n'est tolérée.</w:t>
      </w:r>
    </w:p>
    <w:p>
      <w:pPr>
        <w:spacing w:after="120"/>
        <w:jc w:val="both"/>
      </w:pPr>
      <w:r>
        <w:rPr>
          <w:b w:val="false"/>
          <w:bCs w:val="false"/>
          <w:i w:val="false"/>
          <w:iCs w:val="false"/>
          <w:sz w:val="22"/>
          <w:szCs w:val="22"/>
        </w:rPr>
        <w:t xml:space="preserve"/>
      </w:r>
    </w:p>
    <w:p>
      <w:pPr>
        <w:spacing w:after="120"/>
        <w:jc w:val="both"/>
      </w:pPr>
      <w:r>
        <w:rPr>
          <w:b w:val="false"/>
          <w:bCs w:val="false"/>
          <w:i w:val="false"/>
          <w:iCs w:val="false"/>
          <w:sz w:val="22"/>
          <w:szCs w:val="22"/>
        </w:rPr>
        <w:t xml:space="preserve">La validation formelle est effectuée par JJ Bwanga (COO) et Kuate Abdel Yaniv (QA Lead) sur démonstration en environnement TEST, avec production d'un rapport de recette archivé dans l'espace Confluence FinZuu.</w:t>
      </w:r>
    </w:p>
    <w:p>
      <w:r>
        <w:br w:type="page"/>
      </w:r>
    </w:p>
    <w:p>
      <w:pPr>
        <w:pStyle w:val="Heading1"/>
        <w:spacing w:after="240" w:before="480"/>
      </w:pPr>
      <w:r>
        <w:rPr>
          <w:b/>
          <w:bCs/>
          <w:color w:val="6B2E9E"/>
          <w:sz w:val="32"/>
          <w:szCs w:val="32"/>
        </w:rPr>
        <w:t xml:space="preserve">13. Annexes</w:t>
      </w:r>
    </w:p>
    <w:p>
      <w:pPr>
        <w:pStyle w:val="Heading2"/>
        <w:spacing w:after="180" w:before="360"/>
      </w:pPr>
      <w:r>
        <w:rPr>
          <w:b/>
          <w:bCs/>
          <w:color w:val="6B2E9E"/>
          <w:sz w:val="26"/>
          <w:szCs w:val="26"/>
        </w:rPr>
        <w:t xml:space="preserve">Annexe A — Référentiel géographique Loader_Base_FinZuu</w:t>
      </w:r>
    </w:p>
    <w:p>
      <w:pPr>
        <w:spacing w:after="120"/>
        <w:jc w:val="both"/>
      </w:pPr>
      <w:r>
        <w:rPr>
          <w:b w:val="false"/>
          <w:bCs w:val="false"/>
          <w:i w:val="false"/>
          <w:iCs w:val="false"/>
          <w:sz w:val="22"/>
          <w:szCs w:val="22"/>
        </w:rPr>
        <w:t xml:space="preserve">Le référentiel géographique est matérialisé par le fichier Loader_Base_FinZuu_v1.1.xlsx, comportant huit feuilles relationnelles : README, Countries, Regions, Cities, Districts, Telcos, Currencies, Config_Loader. Ce fichier fait partie intégrante du présent cahier des charges et est référencé dans EF-01.</w:t>
      </w:r>
    </w:p>
    <w:p>
      <w:pPr>
        <w:pStyle w:val="Heading2"/>
        <w:spacing w:after="180" w:before="360"/>
      </w:pPr>
      <w:r>
        <w:rPr>
          <w:b/>
          <w:bCs/>
          <w:color w:val="6B2E9E"/>
          <w:sz w:val="26"/>
          <w:szCs w:val="26"/>
        </w:rPr>
        <w:t xml:space="preserve">Annexe B — Cartographie de l'API Faker fintech4esg</w:t>
      </w:r>
    </w:p>
    <w:p>
      <w:pPr>
        <w:spacing w:after="120"/>
        <w:jc w:val="both"/>
      </w:pPr>
      <w:r>
        <w:rPr>
          <w:b w:val="false"/>
          <w:bCs w:val="false"/>
          <w:i w:val="false"/>
          <w:iCs w:val="false"/>
          <w:sz w:val="22"/>
          <w:szCs w:val="22"/>
        </w:rPr>
        <w:t xml:space="preserve">L'API Faker expose 15 endpoints répartis en 5 familles fonctionnelles : clients simples, clients scoring, historique et vue enrichie, scoring form, cache management. La documentation empirique complète est publiée sur l'espace Confluence Tests FinZuu et sera maintenue tout au long du projet.</w:t>
      </w:r>
    </w:p>
    <w:p>
      <w:pPr>
        <w:spacing w:after="120"/>
        <w:jc w:val="both"/>
      </w:pPr>
      <w:r>
        <w:rPr>
          <w:b w:val="false"/>
          <w:bCs w:val="false"/>
          <w:i w:val="false"/>
          <w:iCs w:val="false"/>
          <w:sz w:val="22"/>
          <w:szCs w:val="22"/>
        </w:rPr>
        <w:t xml:space="preserve">Les six types de compagnies observés empiriquement dans Faker sont : Entreprise Individuelle, SA, SARL, SAS, Fondation, Association. Les statuts de prêts observés sont FINISHED et ONGOING. Les produits de crédit observés dans Faker sont Nano et Macro. La divergence de nomenclature avec les documents internes FinZuu est tranchée en version 1.2 par la publication du catalogue officiel (voir Annexe E).</w:t>
      </w:r>
    </w:p>
    <w:p>
      <w:pPr>
        <w:pStyle w:val="Heading2"/>
        <w:spacing w:after="180" w:before="360"/>
      </w:pPr>
      <w:r>
        <w:rPr>
          <w:b/>
          <w:bCs/>
          <w:color w:val="6B2E9E"/>
          <w:sz w:val="26"/>
          <w:szCs w:val="26"/>
        </w:rPr>
        <w:t xml:space="preserve">Annexe C — Sources documentaires</w:t>
      </w:r>
    </w:p>
    <w:p>
      <w:pPr>
        <w:pStyle w:val="ListParagraph"/>
        <w:numPr>
          <w:ilvl w:val="0"/>
          <w:numId w:val="1"/>
        </w:numPr>
        <w:spacing w:after="80"/>
      </w:pPr>
      <w:r>
        <w:rPr>
          <w:sz w:val="22"/>
          <w:szCs w:val="22"/>
        </w:rPr>
        <w:t xml:space="preserve">Message WhatsApp de JJ Bwanga du 16 juillet 2026 (mandat de conception).</w:t>
      </w:r>
    </w:p>
    <w:p>
      <w:pPr>
        <w:pStyle w:val="ListParagraph"/>
        <w:numPr>
          <w:ilvl w:val="0"/>
          <w:numId w:val="1"/>
        </w:numPr>
        <w:spacing w:after="80"/>
      </w:pPr>
      <w:r>
        <w:rPr>
          <w:sz w:val="22"/>
          <w:szCs w:val="22"/>
        </w:rPr>
        <w:t xml:space="preserve">Fichier Loader_Base_FinZuu_v1.1.xlsx (retour Direction Technique du 17 juillet 2026).</w:t>
      </w:r>
    </w:p>
    <w:p>
      <w:pPr>
        <w:pStyle w:val="ListParagraph"/>
        <w:numPr>
          <w:ilvl w:val="0"/>
          <w:numId w:val="1"/>
        </w:numPr>
        <w:spacing w:after="80"/>
      </w:pPr>
      <w:r>
        <w:rPr>
          <w:sz w:val="22"/>
          <w:szCs w:val="22"/>
        </w:rPr>
        <w:t xml:space="preserve">Documentation empirique Faker publiée sur l'espace Confluence Tests FinZuu.</w:t>
      </w:r>
    </w:p>
    <w:p>
      <w:pPr>
        <w:pStyle w:val="ListParagraph"/>
        <w:numPr>
          <w:ilvl w:val="0"/>
          <w:numId w:val="1"/>
        </w:numPr>
        <w:spacing w:after="80"/>
      </w:pPr>
      <w:r>
        <w:rPr>
          <w:sz w:val="22"/>
          <w:szCs w:val="22"/>
        </w:rPr>
        <w:t xml:space="preserve">Documentation du module loan-service fournie par Duhamel (dt@finzuu.com) le 20 juillet 2026 — AJOUT V1.2.</w:t>
      </w:r>
    </w:p>
    <w:p>
      <w:r>
        <w:br w:type="page"/>
      </w:r>
    </w:p>
    <w:p>
      <w:pPr>
        <w:pStyle w:val="Heading2"/>
        <w:spacing w:after="180" w:before="360"/>
      </w:pPr>
      <w:r>
        <w:rPr>
          <w:b/>
          <w:bCs/>
          <w:color w:val="6B2E9E"/>
          <w:sz w:val="26"/>
          <w:szCs w:val="26"/>
        </w:rPr>
        <w:t xml:space="preserve">Annexe D — Méthodologie de simulation comportementale (AJOUT V1.2)</w:t>
      </w:r>
    </w:p>
    <w:p>
      <w:pPr>
        <w:spacing w:after="120"/>
        <w:jc w:val="both"/>
      </w:pPr>
      <w:r>
        <w:rPr>
          <w:b w:val="false"/>
          <w:bCs w:val="false"/>
          <w:i w:val="false"/>
          <w:iCs w:val="false"/>
          <w:sz w:val="22"/>
          <w:szCs w:val="22"/>
        </w:rPr>
        <w:t xml:space="preserve">Cette annexe formalise la méthodologie de simulation comportementale intégrée en version 1.2, issue du travail du référent loan-simulation. Elle documente les quatre profils comportementaux, les règles d'ajustement contextuel, la compression temporelle et le tracking Portfolio At Risk.</w:t>
      </w:r>
    </w:p>
    <w:p>
      <w:pPr>
        <w:pStyle w:val="Heading3"/>
        <w:spacing w:after="120" w:before="240"/>
      </w:pPr>
      <w:r>
        <w:rPr>
          <w:b/>
          <w:bCs/>
          <w:color w:val="4CAF50"/>
          <w:sz w:val="22"/>
          <w:szCs w:val="22"/>
        </w:rPr>
        <w:t xml:space="preserve">D.1 Les quatre profils comportementaux</w:t>
      </w:r>
    </w:p>
    <w:p>
      <w:pPr>
        <w:spacing w:after="120"/>
        <w:jc w:val="both"/>
      </w:pPr>
      <w:r>
        <w:rPr>
          <w:b w:val="false"/>
          <w:bCs w:val="false"/>
          <w:i w:val="false"/>
          <w:iCs w:val="false"/>
          <w:sz w:val="22"/>
          <w:szCs w:val="22"/>
        </w:rPr>
        <w:t xml:space="preserve">Chaque client généré se voit attribuer un profil parmi quatre valeurs, chacune correspondant à une trajectoire de remboursement observée empiriquement en microfinance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6B2E9E" w:val="clear"/>
            <w:tcMar>
              <w:top w:type="dxa" w:w="100"/>
              <w:left w:type="dxa" w:w="120"/>
              <w:bottom w:type="dxa" w:w="100"/>
              <w:right w:type="dxa" w:w="120"/>
            </w:tcMar>
          </w:tcPr>
          <w:p>
            <w:pPr>
              <w:jc w:val="center"/>
            </w:pPr>
            <w:r>
              <w:rPr>
                <w:b/>
                <w:bCs/>
                <w:color w:val="FFFFFF"/>
                <w:sz w:val="20"/>
                <w:szCs w:val="20"/>
              </w:rPr>
              <w:t xml:space="preserve">Profil</w:t>
            </w:r>
          </w:p>
        </w:tc>
        <w:tc>
          <w:tcPr>
            <w:tcW w:type="dxa" w:w="2000"/>
            <w:shd w:fill="6B2E9E" w:val="clear"/>
            <w:tcMar>
              <w:top w:type="dxa" w:w="100"/>
              <w:left w:type="dxa" w:w="120"/>
              <w:bottom w:type="dxa" w:w="100"/>
              <w:right w:type="dxa" w:w="120"/>
            </w:tcMar>
          </w:tcPr>
          <w:p>
            <w:pPr>
              <w:jc w:val="center"/>
            </w:pPr>
            <w:r>
              <w:rPr>
                <w:b/>
                <w:bCs/>
                <w:color w:val="FFFFFF"/>
                <w:sz w:val="20"/>
                <w:szCs w:val="20"/>
              </w:rPr>
              <w:t xml:space="preserve">Poids par défaut</w:t>
            </w:r>
          </w:p>
        </w:tc>
        <w:tc>
          <w:tcPr>
            <w:tcW w:type="dxa" w:w="4600"/>
            <w:shd w:fill="6B2E9E" w:val="clear"/>
            <w:tcMar>
              <w:top w:type="dxa" w:w="100"/>
              <w:left w:type="dxa" w:w="120"/>
              <w:bottom w:type="dxa" w:w="100"/>
              <w:right w:type="dxa" w:w="120"/>
            </w:tcMar>
          </w:tcPr>
          <w:p>
            <w:pPr>
              <w:jc w:val="center"/>
            </w:pPr>
            <w:r>
              <w:rPr>
                <w:b/>
                <w:bCs/>
                <w:color w:val="FFFFFF"/>
                <w:sz w:val="20"/>
                <w:szCs w:val="20"/>
              </w:rPr>
              <w:t xml:space="preserve">Description métier</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Bon payeur</w:t>
            </w:r>
          </w:p>
        </w:tc>
        <w:tc>
          <w:tcPr>
            <w:tcW w:type="dxa" w:w="2000"/>
            <w:tcMar>
              <w:top w:type="dxa" w:w="80"/>
              <w:left w:type="dxa" w:w="120"/>
              <w:bottom w:type="dxa" w:w="80"/>
              <w:right w:type="dxa" w:w="120"/>
            </w:tcMar>
          </w:tcPr>
          <w:p>
            <w:pPr>
              <w:jc w:val="left"/>
            </w:pPr>
            <w:r>
              <w:rPr>
                <w:b w:val="false"/>
                <w:bCs w:val="false"/>
                <w:color w:val="000000"/>
                <w:sz w:val="20"/>
                <w:szCs w:val="20"/>
              </w:rPr>
              <w:t xml:space="preserve">50 %</w:t>
            </w:r>
          </w:p>
        </w:tc>
        <w:tc>
          <w:tcPr>
            <w:tcW w:type="dxa" w:w="4600"/>
            <w:tcMar>
              <w:top w:type="dxa" w:w="80"/>
              <w:left w:type="dxa" w:w="120"/>
              <w:bottom w:type="dxa" w:w="80"/>
              <w:right w:type="dxa" w:w="120"/>
            </w:tcMar>
          </w:tcPr>
          <w:p>
            <w:pPr>
              <w:jc w:val="left"/>
            </w:pPr>
            <w:r>
              <w:rPr>
                <w:b w:val="false"/>
                <w:bCs w:val="false"/>
                <w:color w:val="000000"/>
                <w:sz w:val="20"/>
                <w:szCs w:val="20"/>
              </w:rPr>
              <w:t xml:space="preserve">Le client rembourse la totalité du prêt avant l'échéance, en trois versements progressifs.</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Retard puis paiement</w:t>
            </w:r>
          </w:p>
        </w:tc>
        <w:tc>
          <w:tcPr>
            <w:tcW w:type="dxa" w:w="2000"/>
            <w:tcMar>
              <w:top w:type="dxa" w:w="80"/>
              <w:left w:type="dxa" w:w="120"/>
              <w:bottom w:type="dxa" w:w="80"/>
              <w:right w:type="dxa" w:w="120"/>
            </w:tcMar>
          </w:tcPr>
          <w:p>
            <w:pPr>
              <w:jc w:val="left"/>
            </w:pPr>
            <w:r>
              <w:rPr>
                <w:b w:val="false"/>
                <w:bCs w:val="false"/>
                <w:color w:val="000000"/>
                <w:sz w:val="20"/>
                <w:szCs w:val="20"/>
              </w:rPr>
              <w:t xml:space="preserve">25 %</w:t>
            </w:r>
          </w:p>
        </w:tc>
        <w:tc>
          <w:tcPr>
            <w:tcW w:type="dxa" w:w="4600"/>
            <w:tcMar>
              <w:top w:type="dxa" w:w="80"/>
              <w:left w:type="dxa" w:w="120"/>
              <w:bottom w:type="dxa" w:w="80"/>
              <w:right w:type="dxa" w:w="120"/>
            </w:tcMar>
          </w:tcPr>
          <w:p>
            <w:pPr>
              <w:jc w:val="left"/>
            </w:pPr>
            <w:r>
              <w:rPr>
                <w:b w:val="false"/>
                <w:bCs w:val="false"/>
                <w:color w:val="000000"/>
                <w:sz w:val="20"/>
                <w:szCs w:val="20"/>
              </w:rPr>
              <w:t xml:space="preserve">Le client effectue un premier remboursement partiel, puis complète le solde une dizaine de jours après l'échéance. Le prêt est finalement soldé, mais avec un retard formel.</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Défaut partiel</w:t>
            </w:r>
          </w:p>
        </w:tc>
        <w:tc>
          <w:tcPr>
            <w:tcW w:type="dxa" w:w="2000"/>
            <w:tcMar>
              <w:top w:type="dxa" w:w="80"/>
              <w:left w:type="dxa" w:w="120"/>
              <w:bottom w:type="dxa" w:w="80"/>
              <w:right w:type="dxa" w:w="120"/>
            </w:tcMar>
          </w:tcPr>
          <w:p>
            <w:pPr>
              <w:jc w:val="left"/>
            </w:pPr>
            <w:r>
              <w:rPr>
                <w:b w:val="false"/>
                <w:bCs w:val="false"/>
                <w:color w:val="000000"/>
                <w:sz w:val="20"/>
                <w:szCs w:val="20"/>
              </w:rPr>
              <w:t xml:space="preserve">13 %</w:t>
            </w:r>
          </w:p>
        </w:tc>
        <w:tc>
          <w:tcPr>
            <w:tcW w:type="dxa" w:w="4600"/>
            <w:tcMar>
              <w:top w:type="dxa" w:w="80"/>
              <w:left w:type="dxa" w:w="120"/>
              <w:bottom w:type="dxa" w:w="80"/>
              <w:right w:type="dxa" w:w="120"/>
            </w:tcMar>
          </w:tcPr>
          <w:p>
            <w:pPr>
              <w:jc w:val="left"/>
            </w:pPr>
            <w:r>
              <w:rPr>
                <w:b w:val="false"/>
                <w:bCs w:val="false"/>
                <w:color w:val="000000"/>
                <w:sz w:val="20"/>
                <w:szCs w:val="20"/>
              </w:rPr>
              <w:t xml:space="preserve">Le client effectue un remboursement partiel initial, puis n'honore aucun autre paiement. Le prêt reste en défaut partiel avec un DPD croissant.</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Défaut total</w:t>
            </w:r>
          </w:p>
        </w:tc>
        <w:tc>
          <w:tcPr>
            <w:tcW w:type="dxa" w:w="2000"/>
            <w:tcMar>
              <w:top w:type="dxa" w:w="80"/>
              <w:left w:type="dxa" w:w="120"/>
              <w:bottom w:type="dxa" w:w="80"/>
              <w:right w:type="dxa" w:w="120"/>
            </w:tcMar>
          </w:tcPr>
          <w:p>
            <w:pPr>
              <w:jc w:val="left"/>
            </w:pPr>
            <w:r>
              <w:rPr>
                <w:b w:val="false"/>
                <w:bCs w:val="false"/>
                <w:color w:val="000000"/>
                <w:sz w:val="20"/>
                <w:szCs w:val="20"/>
              </w:rPr>
              <w:t xml:space="preserve">12 %</w:t>
            </w:r>
          </w:p>
        </w:tc>
        <w:tc>
          <w:tcPr>
            <w:tcW w:type="dxa" w:w="4600"/>
            <w:tcMar>
              <w:top w:type="dxa" w:w="80"/>
              <w:left w:type="dxa" w:w="120"/>
              <w:bottom w:type="dxa" w:w="80"/>
              <w:right w:type="dxa" w:w="120"/>
            </w:tcMar>
          </w:tcPr>
          <w:p>
            <w:pPr>
              <w:jc w:val="left"/>
            </w:pPr>
            <w:r>
              <w:rPr>
                <w:b w:val="false"/>
                <w:bCs w:val="false"/>
                <w:color w:val="000000"/>
                <w:sz w:val="20"/>
                <w:szCs w:val="20"/>
              </w:rPr>
              <w:t xml:space="preserve">Le client n'effectue aucun remboursement. Le prêt évolue en défaut total, avec des jalons DPD émis à 15, 30, 60 et 90 jours.</w:t>
            </w:r>
          </w:p>
        </w:tc>
      </w:tr>
    </w:tbl>
    <w:p>
      <w:pPr>
        <w:pStyle w:val="Heading3"/>
        <w:spacing w:after="120" w:before="240"/>
      </w:pPr>
      <w:r>
        <w:rPr>
          <w:b/>
          <w:bCs/>
          <w:color w:val="4CAF50"/>
          <w:sz w:val="22"/>
          <w:szCs w:val="22"/>
        </w:rPr>
        <w:t xml:space="preserve">D.2 Ajustement contextuel</w:t>
      </w:r>
    </w:p>
    <w:p>
      <w:pPr>
        <w:spacing w:after="120"/>
        <w:jc w:val="both"/>
      </w:pPr>
      <w:r>
        <w:rPr>
          <w:b w:val="false"/>
          <w:bCs w:val="false"/>
          <w:i w:val="false"/>
          <w:iCs w:val="false"/>
          <w:sz w:val="22"/>
          <w:szCs w:val="22"/>
        </w:rPr>
        <w:t xml:space="preserve">L'attribution du profil est ajustée selon neuf variables du client, permettant de refléter les corrélations empiriques observées dans la microfinance en Afrique subsaharienne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shd w:fill="6B2E9E" w:val="clear"/>
            <w:tcMar>
              <w:top w:type="dxa" w:w="100"/>
              <w:left w:type="dxa" w:w="120"/>
              <w:bottom w:type="dxa" w:w="100"/>
              <w:right w:type="dxa" w:w="120"/>
            </w:tcMar>
          </w:tcPr>
          <w:p>
            <w:pPr>
              <w:jc w:val="center"/>
            </w:pPr>
            <w:r>
              <w:rPr>
                <w:b/>
                <w:bCs/>
                <w:color w:val="FFFFFF"/>
                <w:sz w:val="20"/>
                <w:szCs w:val="20"/>
              </w:rPr>
              <w:t xml:space="preserve">Variable</w:t>
            </w:r>
          </w:p>
        </w:tc>
        <w:tc>
          <w:tcPr>
            <w:tcW w:type="dxa" w:w="5600"/>
            <w:shd w:fill="6B2E9E" w:val="clear"/>
            <w:tcMar>
              <w:top w:type="dxa" w:w="100"/>
              <w:left w:type="dxa" w:w="120"/>
              <w:bottom w:type="dxa" w:w="100"/>
              <w:right w:type="dxa" w:w="120"/>
            </w:tcMar>
          </w:tcPr>
          <w:p>
            <w:pPr>
              <w:jc w:val="center"/>
            </w:pPr>
            <w:r>
              <w:rPr>
                <w:b/>
                <w:bCs/>
                <w:color w:val="FFFFFF"/>
                <w:sz w:val="20"/>
                <w:szCs w:val="20"/>
              </w:rPr>
              <w:t xml:space="preserve">Effet sur les profils</w:t>
            </w:r>
          </w:p>
        </w:tc>
      </w:tr>
      <w:tr>
        <w:tc>
          <w:tcPr>
            <w:tcW w:type="dxa" w:w="3600"/>
            <w:tcMar>
              <w:top w:type="dxa" w:w="80"/>
              <w:left w:type="dxa" w:w="120"/>
              <w:bottom w:type="dxa" w:w="80"/>
              <w:right w:type="dxa" w:w="120"/>
            </w:tcMar>
          </w:tcPr>
          <w:p>
            <w:pPr>
              <w:jc w:val="left"/>
            </w:pPr>
            <w:r>
              <w:rPr>
                <w:b w:val="false"/>
                <w:bCs w:val="false"/>
                <w:color w:val="000000"/>
                <w:sz w:val="20"/>
                <w:szCs w:val="20"/>
              </w:rPr>
              <w:t xml:space="preserve">Genre féminin</w:t>
            </w:r>
          </w:p>
        </w:tc>
        <w:tc>
          <w:tcPr>
            <w:tcW w:type="dxa" w:w="5600"/>
            <w:tcMar>
              <w:top w:type="dxa" w:w="80"/>
              <w:left w:type="dxa" w:w="120"/>
              <w:bottom w:type="dxa" w:w="80"/>
              <w:right w:type="dxa" w:w="120"/>
            </w:tcMar>
          </w:tcPr>
          <w:p>
            <w:pPr>
              <w:jc w:val="left"/>
            </w:pPr>
            <w:r>
              <w:rPr>
                <w:b w:val="false"/>
                <w:bCs w:val="false"/>
                <w:color w:val="000000"/>
                <w:sz w:val="20"/>
                <w:szCs w:val="20"/>
              </w:rPr>
              <w:t xml:space="preserve">Renforce le profil bon payeur, réduit le défaut total</w:t>
            </w:r>
          </w:p>
        </w:tc>
      </w:tr>
      <w:tr>
        <w:tc>
          <w:tcPr>
            <w:tcW w:type="dxa" w:w="3600"/>
            <w:tcMar>
              <w:top w:type="dxa" w:w="80"/>
              <w:left w:type="dxa" w:w="120"/>
              <w:bottom w:type="dxa" w:w="80"/>
              <w:right w:type="dxa" w:w="120"/>
            </w:tcMar>
          </w:tcPr>
          <w:p>
            <w:pPr>
              <w:jc w:val="left"/>
            </w:pPr>
            <w:r>
              <w:rPr>
                <w:b w:val="false"/>
                <w:bCs w:val="false"/>
                <w:color w:val="000000"/>
                <w:sz w:val="20"/>
                <w:szCs w:val="20"/>
              </w:rPr>
              <w:t xml:space="preserve">Genre masculin</w:t>
            </w:r>
          </w:p>
        </w:tc>
        <w:tc>
          <w:tcPr>
            <w:tcW w:type="dxa" w:w="5600"/>
            <w:tcMar>
              <w:top w:type="dxa" w:w="80"/>
              <w:left w:type="dxa" w:w="120"/>
              <w:bottom w:type="dxa" w:w="80"/>
              <w:right w:type="dxa" w:w="120"/>
            </w:tcMar>
          </w:tcPr>
          <w:p>
            <w:pPr>
              <w:jc w:val="left"/>
            </w:pPr>
            <w:r>
              <w:rPr>
                <w:b w:val="false"/>
                <w:bCs w:val="false"/>
                <w:color w:val="000000"/>
                <w:sz w:val="20"/>
                <w:szCs w:val="20"/>
              </w:rPr>
              <w:t xml:space="preserve">Effet neutre à légèrement défavorable</w:t>
            </w:r>
          </w:p>
        </w:tc>
      </w:tr>
      <w:tr>
        <w:tc>
          <w:tcPr>
            <w:tcW w:type="dxa" w:w="3600"/>
            <w:tcMar>
              <w:top w:type="dxa" w:w="80"/>
              <w:left w:type="dxa" w:w="120"/>
              <w:bottom w:type="dxa" w:w="80"/>
              <w:right w:type="dxa" w:w="120"/>
            </w:tcMar>
          </w:tcPr>
          <w:p>
            <w:pPr>
              <w:jc w:val="left"/>
            </w:pPr>
            <w:r>
              <w:rPr>
                <w:b w:val="false"/>
                <w:bCs w:val="false"/>
                <w:color w:val="000000"/>
                <w:sz w:val="20"/>
                <w:szCs w:val="20"/>
              </w:rPr>
              <w:t xml:space="preserve">Âge inférieur à 22 ans</w:t>
            </w:r>
          </w:p>
        </w:tc>
        <w:tc>
          <w:tcPr>
            <w:tcW w:type="dxa" w:w="5600"/>
            <w:tcMar>
              <w:top w:type="dxa" w:w="80"/>
              <w:left w:type="dxa" w:w="120"/>
              <w:bottom w:type="dxa" w:w="80"/>
              <w:right w:type="dxa" w:w="120"/>
            </w:tcMar>
          </w:tcPr>
          <w:p>
            <w:pPr>
              <w:jc w:val="left"/>
            </w:pPr>
            <w:r>
              <w:rPr>
                <w:b w:val="false"/>
                <w:bCs w:val="false"/>
                <w:color w:val="000000"/>
                <w:sz w:val="20"/>
                <w:szCs w:val="20"/>
              </w:rPr>
              <w:t xml:space="preserve">Renforce le défaut total</w:t>
            </w:r>
          </w:p>
        </w:tc>
      </w:tr>
      <w:tr>
        <w:tc>
          <w:tcPr>
            <w:tcW w:type="dxa" w:w="3600"/>
            <w:tcMar>
              <w:top w:type="dxa" w:w="80"/>
              <w:left w:type="dxa" w:w="120"/>
              <w:bottom w:type="dxa" w:w="80"/>
              <w:right w:type="dxa" w:w="120"/>
            </w:tcMar>
          </w:tcPr>
          <w:p>
            <w:pPr>
              <w:jc w:val="left"/>
            </w:pPr>
            <w:r>
              <w:rPr>
                <w:b w:val="false"/>
                <w:bCs w:val="false"/>
                <w:color w:val="000000"/>
                <w:sz w:val="20"/>
                <w:szCs w:val="20"/>
              </w:rPr>
              <w:t xml:space="preserve">Âge entre 35 et 65 ans</w:t>
            </w:r>
          </w:p>
        </w:tc>
        <w:tc>
          <w:tcPr>
            <w:tcW w:type="dxa" w:w="5600"/>
            <w:tcMar>
              <w:top w:type="dxa" w:w="80"/>
              <w:left w:type="dxa" w:w="120"/>
              <w:bottom w:type="dxa" w:w="80"/>
              <w:right w:type="dxa" w:w="120"/>
            </w:tcMar>
          </w:tcPr>
          <w:p>
            <w:pPr>
              <w:jc w:val="left"/>
            </w:pPr>
            <w:r>
              <w:rPr>
                <w:b w:val="false"/>
                <w:bCs w:val="false"/>
                <w:color w:val="000000"/>
                <w:sz w:val="20"/>
                <w:szCs w:val="20"/>
              </w:rPr>
              <w:t xml:space="preserve">Renforce le profil bon payeur</w:t>
            </w:r>
          </w:p>
        </w:tc>
      </w:tr>
      <w:tr>
        <w:tc>
          <w:tcPr>
            <w:tcW w:type="dxa" w:w="3600"/>
            <w:tcMar>
              <w:top w:type="dxa" w:w="80"/>
              <w:left w:type="dxa" w:w="120"/>
              <w:bottom w:type="dxa" w:w="80"/>
              <w:right w:type="dxa" w:w="120"/>
            </w:tcMar>
          </w:tcPr>
          <w:p>
            <w:pPr>
              <w:jc w:val="left"/>
            </w:pPr>
            <w:r>
              <w:rPr>
                <w:b w:val="false"/>
                <w:bCs w:val="false"/>
                <w:color w:val="000000"/>
                <w:sz w:val="20"/>
                <w:szCs w:val="20"/>
              </w:rPr>
              <w:t xml:space="preserve">Segment de risque Very High</w:t>
            </w:r>
          </w:p>
        </w:tc>
        <w:tc>
          <w:tcPr>
            <w:tcW w:type="dxa" w:w="5600"/>
            <w:tcMar>
              <w:top w:type="dxa" w:w="80"/>
              <w:left w:type="dxa" w:w="120"/>
              <w:bottom w:type="dxa" w:w="80"/>
              <w:right w:type="dxa" w:w="120"/>
            </w:tcMar>
          </w:tcPr>
          <w:p>
            <w:pPr>
              <w:jc w:val="left"/>
            </w:pPr>
            <w:r>
              <w:rPr>
                <w:b w:val="false"/>
                <w:bCs w:val="false"/>
                <w:color w:val="000000"/>
                <w:sz w:val="20"/>
                <w:szCs w:val="20"/>
              </w:rPr>
              <w:t xml:space="preserve">Renforce le profil bon payeur</w:t>
            </w:r>
          </w:p>
        </w:tc>
      </w:tr>
      <w:tr>
        <w:tc>
          <w:tcPr>
            <w:tcW w:type="dxa" w:w="3600"/>
            <w:tcMar>
              <w:top w:type="dxa" w:w="80"/>
              <w:left w:type="dxa" w:w="120"/>
              <w:bottom w:type="dxa" w:w="80"/>
              <w:right w:type="dxa" w:w="120"/>
            </w:tcMar>
          </w:tcPr>
          <w:p>
            <w:pPr>
              <w:jc w:val="left"/>
            </w:pPr>
            <w:r>
              <w:rPr>
                <w:b w:val="false"/>
                <w:bCs w:val="false"/>
                <w:color w:val="000000"/>
                <w:sz w:val="20"/>
                <w:szCs w:val="20"/>
              </w:rPr>
              <w:t xml:space="preserve">Segment de risque Very Low</w:t>
            </w:r>
          </w:p>
        </w:tc>
        <w:tc>
          <w:tcPr>
            <w:tcW w:type="dxa" w:w="5600"/>
            <w:tcMar>
              <w:top w:type="dxa" w:w="80"/>
              <w:left w:type="dxa" w:w="120"/>
              <w:bottom w:type="dxa" w:w="80"/>
              <w:right w:type="dxa" w:w="120"/>
            </w:tcMar>
          </w:tcPr>
          <w:p>
            <w:pPr>
              <w:jc w:val="left"/>
            </w:pPr>
            <w:r>
              <w:rPr>
                <w:b w:val="false"/>
                <w:bCs w:val="false"/>
                <w:color w:val="000000"/>
                <w:sz w:val="20"/>
                <w:szCs w:val="20"/>
              </w:rPr>
              <w:t xml:space="preserve">Renforce le défaut total</w:t>
            </w:r>
          </w:p>
        </w:tc>
      </w:tr>
      <w:tr>
        <w:tc>
          <w:tcPr>
            <w:tcW w:type="dxa" w:w="3600"/>
            <w:tcMar>
              <w:top w:type="dxa" w:w="80"/>
              <w:left w:type="dxa" w:w="120"/>
              <w:bottom w:type="dxa" w:w="80"/>
              <w:right w:type="dxa" w:w="120"/>
            </w:tcMar>
          </w:tcPr>
          <w:p>
            <w:pPr>
              <w:jc w:val="left"/>
            </w:pPr>
            <w:r>
              <w:rPr>
                <w:b w:val="false"/>
                <w:bCs w:val="false"/>
                <w:color w:val="000000"/>
                <w:sz w:val="20"/>
                <w:szCs w:val="20"/>
              </w:rPr>
              <w:t xml:space="preserve">Historique de remboursement supérieur à 85 %</w:t>
            </w:r>
          </w:p>
        </w:tc>
        <w:tc>
          <w:tcPr>
            <w:tcW w:type="dxa" w:w="5600"/>
            <w:tcMar>
              <w:top w:type="dxa" w:w="80"/>
              <w:left w:type="dxa" w:w="120"/>
              <w:bottom w:type="dxa" w:w="80"/>
              <w:right w:type="dxa" w:w="120"/>
            </w:tcMar>
          </w:tcPr>
          <w:p>
            <w:pPr>
              <w:jc w:val="left"/>
            </w:pPr>
            <w:r>
              <w:rPr>
                <w:b w:val="false"/>
                <w:bCs w:val="false"/>
                <w:color w:val="000000"/>
                <w:sz w:val="20"/>
                <w:szCs w:val="20"/>
              </w:rPr>
              <w:t xml:space="preserve">Renforce fortement le profil bon payeur</w:t>
            </w:r>
          </w:p>
        </w:tc>
      </w:tr>
      <w:tr>
        <w:tc>
          <w:tcPr>
            <w:tcW w:type="dxa" w:w="3600"/>
            <w:tcMar>
              <w:top w:type="dxa" w:w="80"/>
              <w:left w:type="dxa" w:w="120"/>
              <w:bottom w:type="dxa" w:w="80"/>
              <w:right w:type="dxa" w:w="120"/>
            </w:tcMar>
          </w:tcPr>
          <w:p>
            <w:pPr>
              <w:jc w:val="left"/>
            </w:pPr>
            <w:r>
              <w:rPr>
                <w:b w:val="false"/>
                <w:bCs w:val="false"/>
                <w:color w:val="000000"/>
                <w:sz w:val="20"/>
                <w:szCs w:val="20"/>
              </w:rPr>
              <w:t xml:space="preserve">Historique de retard maximum supérieur à 30 jours</w:t>
            </w:r>
          </w:p>
        </w:tc>
        <w:tc>
          <w:tcPr>
            <w:tcW w:type="dxa" w:w="5600"/>
            <w:tcMar>
              <w:top w:type="dxa" w:w="80"/>
              <w:left w:type="dxa" w:w="120"/>
              <w:bottom w:type="dxa" w:w="80"/>
              <w:right w:type="dxa" w:w="120"/>
            </w:tcMar>
          </w:tcPr>
          <w:p>
            <w:pPr>
              <w:jc w:val="left"/>
            </w:pPr>
            <w:r>
              <w:rPr>
                <w:b w:val="false"/>
                <w:bCs w:val="false"/>
                <w:color w:val="000000"/>
                <w:sz w:val="20"/>
                <w:szCs w:val="20"/>
              </w:rPr>
              <w:t xml:space="preserve">Renforce le défaut total</w:t>
            </w:r>
          </w:p>
        </w:tc>
      </w:tr>
      <w:tr>
        <w:tc>
          <w:tcPr>
            <w:tcW w:type="dxa" w:w="3600"/>
            <w:tcMar>
              <w:top w:type="dxa" w:w="80"/>
              <w:left w:type="dxa" w:w="120"/>
              <w:bottom w:type="dxa" w:w="80"/>
              <w:right w:type="dxa" w:w="120"/>
            </w:tcMar>
          </w:tcPr>
          <w:p>
            <w:pPr>
              <w:jc w:val="left"/>
            </w:pPr>
            <w:r>
              <w:rPr>
                <w:b w:val="false"/>
                <w:bCs w:val="false"/>
                <w:color w:val="000000"/>
                <w:sz w:val="20"/>
                <w:szCs w:val="20"/>
              </w:rPr>
              <w:t xml:space="preserve">Solde Mobile Money supérieur à 150 000 FCFA</w:t>
            </w:r>
          </w:p>
        </w:tc>
        <w:tc>
          <w:tcPr>
            <w:tcW w:type="dxa" w:w="5600"/>
            <w:tcMar>
              <w:top w:type="dxa" w:w="80"/>
              <w:left w:type="dxa" w:w="120"/>
              <w:bottom w:type="dxa" w:w="80"/>
              <w:right w:type="dxa" w:w="120"/>
            </w:tcMar>
          </w:tcPr>
          <w:p>
            <w:pPr>
              <w:jc w:val="left"/>
            </w:pPr>
            <w:r>
              <w:rPr>
                <w:b w:val="false"/>
                <w:bCs w:val="false"/>
                <w:color w:val="000000"/>
                <w:sz w:val="20"/>
                <w:szCs w:val="20"/>
              </w:rPr>
              <w:t xml:space="preserve">Renforce le profil bon payeur</w:t>
            </w:r>
          </w:p>
        </w:tc>
      </w:tr>
    </w:tbl>
    <w:p>
      <w:pPr>
        <w:pStyle w:val="Heading3"/>
        <w:spacing w:after="120" w:before="240"/>
      </w:pPr>
      <w:r>
        <w:rPr>
          <w:b/>
          <w:bCs/>
          <w:color w:val="4CAF50"/>
          <w:sz w:val="22"/>
          <w:szCs w:val="22"/>
        </w:rPr>
        <w:t xml:space="preserve">D.3 Compression temporelle</w:t>
      </w:r>
    </w:p>
    <w:p>
      <w:pPr>
        <w:spacing w:after="120"/>
        <w:jc w:val="both"/>
      </w:pPr>
      <w:r>
        <w:rPr>
          <w:b w:val="false"/>
          <w:bCs w:val="false"/>
          <w:i w:val="false"/>
          <w:iCs w:val="false"/>
          <w:sz w:val="22"/>
          <w:szCs w:val="22"/>
        </w:rPr>
        <w:t xml:space="preserve">La simulation supporte trois modes de compression du temps, permettant d'adapter la génération aux besoins :</w:t>
      </w:r>
    </w:p>
    <w:p>
      <w:pPr>
        <w:pStyle w:val="ListParagraph"/>
        <w:numPr>
          <w:ilvl w:val="0"/>
          <w:numId w:val="1"/>
        </w:numPr>
        <w:spacing w:after="80"/>
      </w:pPr>
      <w:r>
        <w:rPr>
          <w:b/>
          <w:bCs/>
          <w:sz w:val="22"/>
          <w:szCs w:val="22"/>
        </w:rPr>
        <w:t xml:space="preserve">Instantané : </w:t>
      </w:r>
      <w:r>
        <w:rPr>
          <w:sz w:val="22"/>
          <w:szCs w:val="22"/>
        </w:rPr>
        <w:t xml:space="preserve">l'ensemble des événements est matérialisé immédiatement. Mode par défaut pour le peuplement en masse.</w:t>
      </w:r>
    </w:p>
    <w:p>
      <w:pPr>
        <w:pStyle w:val="ListParagraph"/>
        <w:numPr>
          <w:ilvl w:val="0"/>
          <w:numId w:val="1"/>
        </w:numPr>
        <w:spacing w:after="80"/>
      </w:pPr>
      <w:r>
        <w:rPr>
          <w:b/>
          <w:bCs/>
          <w:sz w:val="22"/>
          <w:szCs w:val="22"/>
        </w:rPr>
        <w:t xml:space="preserve">Accéléré : </w:t>
      </w:r>
      <w:r>
        <w:rPr>
          <w:sz w:val="22"/>
          <w:szCs w:val="22"/>
        </w:rPr>
        <w:t xml:space="preserve">un jour métier est représenté par une durée réelle comprise entre 0,2 et 60 secondes. Adapté à la démonstration commerciale d'un cycle complet.</w:t>
      </w:r>
    </w:p>
    <w:p>
      <w:pPr>
        <w:pStyle w:val="ListParagraph"/>
        <w:numPr>
          <w:ilvl w:val="0"/>
          <w:numId w:val="1"/>
        </w:numPr>
        <w:spacing w:after="80"/>
      </w:pPr>
      <w:r>
        <w:rPr>
          <w:b/>
          <w:bCs/>
          <w:sz w:val="22"/>
          <w:szCs w:val="22"/>
        </w:rPr>
        <w:t xml:space="preserve">Réaliste : </w:t>
      </w:r>
      <w:r>
        <w:rPr>
          <w:sz w:val="22"/>
          <w:szCs w:val="22"/>
        </w:rPr>
        <w:t xml:space="preserve">un jour métier est représenté par environ 226 secondes de temps réel. Simulation lente pour observation en conditions proches du réel.</w:t>
      </w:r>
    </w:p>
    <w:p>
      <w:pPr>
        <w:spacing w:after="120"/>
        <w:jc w:val="both"/>
      </w:pPr>
      <w:r>
        <w:rPr>
          <w:b w:val="false"/>
          <w:bCs w:val="false"/>
          <w:i w:val="false"/>
          <w:iCs w:val="false"/>
          <w:sz w:val="22"/>
          <w:szCs w:val="22"/>
        </w:rPr>
        <w:t xml:space="preserve">Ces indicateurs sont exposés en montants et en taux (pourcentages du portefeuille), et sont complétés par le taux de recouvrement (collection rate) et le montant total décaissé (disbursed amount).</w:t>
      </w:r>
    </w:p>
    <w:p>
      <w:r>
        <w:br w:type="page"/>
      </w:r>
    </w:p>
    <w:p>
      <w:pPr>
        <w:pStyle w:val="Heading2"/>
        <w:spacing w:after="180" w:before="360"/>
      </w:pPr>
      <w:r>
        <w:rPr>
          <w:b/>
          <w:bCs/>
          <w:color w:val="6B2E9E"/>
          <w:sz w:val="26"/>
          <w:szCs w:val="26"/>
        </w:rPr>
        <w:t xml:space="preserve">Annexe E — Catalogue produits crédit officiel (AJOUT V1.2)</w:t>
      </w:r>
    </w:p>
    <w:p>
      <w:pPr>
        <w:spacing w:after="120"/>
        <w:jc w:val="both"/>
      </w:pPr>
      <w:r>
        <w:rPr>
          <w:b w:val="false"/>
          <w:bCs w:val="false"/>
          <w:i w:val="false"/>
          <w:iCs w:val="false"/>
          <w:sz w:val="22"/>
          <w:szCs w:val="22"/>
        </w:rPr>
        <w:t xml:space="preserve">Le catalogue produits crédit officiel, validé par la Direction Technique le 20 juillet 2026, définit les quatre produits crédit FinZuu avec leur segmentation par risque. Il tranche définitivement la divergence de nomenclature signalée en contrainte CO-02.</w:t>
      </w:r>
    </w:p>
    <w:p>
      <w:pPr>
        <w:pStyle w:val="Heading3"/>
        <w:spacing w:after="120" w:before="240"/>
      </w:pPr>
      <w:r>
        <w:rPr>
          <w:b/>
          <w:bCs/>
          <w:color w:val="4CAF50"/>
          <w:sz w:val="22"/>
          <w:szCs w:val="22"/>
        </w:rPr>
        <w:t xml:space="preserve">Produit Nano</w:t>
      </w:r>
    </w:p>
    <w:p>
      <w:pPr>
        <w:spacing w:after="120"/>
        <w:jc w:val="both"/>
      </w:pPr>
      <w:r>
        <w:rPr>
          <w:b w:val="false"/>
          <w:bCs w:val="false"/>
          <w:i w:val="false"/>
          <w:iCs w:val="false"/>
          <w:sz w:val="22"/>
          <w:szCs w:val="22"/>
        </w:rPr>
        <w:t xml:space="preserve">Produit destiné exclusivement à la clientèle Individual, sur une durée de 15 jours. Taux d'intérêt entre 7 et 25 pour cent annuel.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6B2E9E" w:val="clear"/>
            <w:tcMar>
              <w:top w:type="dxa" w:w="100"/>
              <w:left w:type="dxa" w:w="120"/>
              <w:bottom w:type="dxa" w:w="100"/>
              <w:right w:type="dxa" w:w="120"/>
            </w:tcMar>
          </w:tcPr>
          <w:p>
            <w:pPr>
              <w:jc w:val="center"/>
            </w:pPr>
            <w:r>
              <w:rPr>
                <w:b/>
                <w:bCs/>
                <w:color w:val="FFFFFF"/>
                <w:sz w:val="20"/>
                <w:szCs w:val="20"/>
              </w:rPr>
              <w:t xml:space="preserve">Segment de risque</w:t>
            </w:r>
          </w:p>
        </w:tc>
        <w:tc>
          <w:tcPr>
            <w:tcW w:type="dxa" w:w="6000"/>
            <w:shd w:fill="6B2E9E" w:val="clear"/>
            <w:tcMar>
              <w:top w:type="dxa" w:w="100"/>
              <w:left w:type="dxa" w:w="120"/>
              <w:bottom w:type="dxa" w:w="100"/>
              <w:right w:type="dxa" w:w="120"/>
            </w:tcMar>
          </w:tcPr>
          <w:p>
            <w:pPr>
              <w:jc w:val="center"/>
            </w:pPr>
            <w:r>
              <w:rPr>
                <w:b/>
                <w:bCs/>
                <w:color w:val="FFFFFF"/>
                <w:sz w:val="20"/>
                <w:szCs w:val="20"/>
              </w:rPr>
              <w:t xml:space="preserve">Fourchette de montant (FCFA)</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Very High</w:t>
            </w:r>
          </w:p>
        </w:tc>
        <w:tc>
          <w:tcPr>
            <w:tcW w:type="dxa" w:w="6000"/>
            <w:tcMar>
              <w:top w:type="dxa" w:w="80"/>
              <w:left w:type="dxa" w:w="120"/>
              <w:bottom w:type="dxa" w:w="80"/>
              <w:right w:type="dxa" w:w="120"/>
            </w:tcMar>
          </w:tcPr>
          <w:p>
            <w:pPr>
              <w:jc w:val="left"/>
            </w:pPr>
            <w:r>
              <w:rPr>
                <w:b w:val="false"/>
                <w:bCs w:val="false"/>
                <w:color w:val="000000"/>
                <w:sz w:val="20"/>
                <w:szCs w:val="20"/>
              </w:rPr>
              <w:t xml:space="preserve">100 000 à 200 000</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High</w:t>
            </w:r>
          </w:p>
        </w:tc>
        <w:tc>
          <w:tcPr>
            <w:tcW w:type="dxa" w:w="6000"/>
            <w:tcMar>
              <w:top w:type="dxa" w:w="80"/>
              <w:left w:type="dxa" w:w="120"/>
              <w:bottom w:type="dxa" w:w="80"/>
              <w:right w:type="dxa" w:w="120"/>
            </w:tcMar>
          </w:tcPr>
          <w:p>
            <w:pPr>
              <w:jc w:val="left"/>
            </w:pPr>
            <w:r>
              <w:rPr>
                <w:b w:val="false"/>
                <w:bCs w:val="false"/>
                <w:color w:val="000000"/>
                <w:sz w:val="20"/>
                <w:szCs w:val="20"/>
              </w:rPr>
              <w:t xml:space="preserve">60 000 à 100 000</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Medium</w:t>
            </w:r>
          </w:p>
        </w:tc>
        <w:tc>
          <w:tcPr>
            <w:tcW w:type="dxa" w:w="6000"/>
            <w:tcMar>
              <w:top w:type="dxa" w:w="80"/>
              <w:left w:type="dxa" w:w="120"/>
              <w:bottom w:type="dxa" w:w="80"/>
              <w:right w:type="dxa" w:w="120"/>
            </w:tcMar>
          </w:tcPr>
          <w:p>
            <w:pPr>
              <w:jc w:val="left"/>
            </w:pPr>
            <w:r>
              <w:rPr>
                <w:b w:val="false"/>
                <w:bCs w:val="false"/>
                <w:color w:val="000000"/>
                <w:sz w:val="20"/>
                <w:szCs w:val="20"/>
              </w:rPr>
              <w:t xml:space="preserve">30 000 à 60 000</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Low</w:t>
            </w:r>
          </w:p>
        </w:tc>
        <w:tc>
          <w:tcPr>
            <w:tcW w:type="dxa" w:w="6000"/>
            <w:tcMar>
              <w:top w:type="dxa" w:w="80"/>
              <w:left w:type="dxa" w:w="120"/>
              <w:bottom w:type="dxa" w:w="80"/>
              <w:right w:type="dxa" w:w="120"/>
            </w:tcMar>
          </w:tcPr>
          <w:p>
            <w:pPr>
              <w:jc w:val="left"/>
            </w:pPr>
            <w:r>
              <w:rPr>
                <w:b w:val="false"/>
                <w:bCs w:val="false"/>
                <w:color w:val="000000"/>
                <w:sz w:val="20"/>
                <w:szCs w:val="20"/>
              </w:rPr>
              <w:t xml:space="preserve">15 000 à 30 000</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Very Low</w:t>
            </w:r>
          </w:p>
        </w:tc>
        <w:tc>
          <w:tcPr>
            <w:tcW w:type="dxa" w:w="6000"/>
            <w:tcMar>
              <w:top w:type="dxa" w:w="80"/>
              <w:left w:type="dxa" w:w="120"/>
              <w:bottom w:type="dxa" w:w="80"/>
              <w:right w:type="dxa" w:w="120"/>
            </w:tcMar>
          </w:tcPr>
          <w:p>
            <w:pPr>
              <w:jc w:val="left"/>
            </w:pPr>
            <w:r>
              <w:rPr>
                <w:b w:val="false"/>
                <w:bCs w:val="false"/>
                <w:color w:val="000000"/>
                <w:sz w:val="20"/>
                <w:szCs w:val="20"/>
              </w:rPr>
              <w:t xml:space="preserve">5 000 à 15 000</w:t>
            </w:r>
          </w:p>
        </w:tc>
      </w:tr>
    </w:tbl>
    <w:p>
      <w:pPr>
        <w:pStyle w:val="Heading3"/>
        <w:spacing w:after="120" w:before="240"/>
      </w:pPr>
      <w:r>
        <w:rPr>
          <w:b/>
          <w:bCs/>
          <w:color w:val="4CAF50"/>
          <w:sz w:val="22"/>
          <w:szCs w:val="22"/>
        </w:rPr>
        <w:t xml:space="preserve">Produit Macro</w:t>
      </w:r>
    </w:p>
    <w:p>
      <w:pPr>
        <w:spacing w:after="120"/>
        <w:jc w:val="both"/>
      </w:pPr>
      <w:r>
        <w:rPr>
          <w:b w:val="false"/>
          <w:bCs w:val="false"/>
          <w:i w:val="false"/>
          <w:iCs w:val="false"/>
          <w:sz w:val="22"/>
          <w:szCs w:val="22"/>
        </w:rPr>
        <w:t xml:space="preserve">Produit destiné exclusivement à la clientèle Business (Corporate), sur une durée de 15 jours. Taux d'intérêt entre 7 et 25 pour cent annuel.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6B2E9E" w:val="clear"/>
            <w:tcMar>
              <w:top w:type="dxa" w:w="100"/>
              <w:left w:type="dxa" w:w="120"/>
              <w:bottom w:type="dxa" w:w="100"/>
              <w:right w:type="dxa" w:w="120"/>
            </w:tcMar>
          </w:tcPr>
          <w:p>
            <w:pPr>
              <w:jc w:val="center"/>
            </w:pPr>
            <w:r>
              <w:rPr>
                <w:b/>
                <w:bCs/>
                <w:color w:val="FFFFFF"/>
                <w:sz w:val="20"/>
                <w:szCs w:val="20"/>
              </w:rPr>
              <w:t xml:space="preserve">Segment de risque</w:t>
            </w:r>
          </w:p>
        </w:tc>
        <w:tc>
          <w:tcPr>
            <w:tcW w:type="dxa" w:w="6000"/>
            <w:shd w:fill="6B2E9E" w:val="clear"/>
            <w:tcMar>
              <w:top w:type="dxa" w:w="100"/>
              <w:left w:type="dxa" w:w="120"/>
              <w:bottom w:type="dxa" w:w="100"/>
              <w:right w:type="dxa" w:w="120"/>
            </w:tcMar>
          </w:tcPr>
          <w:p>
            <w:pPr>
              <w:jc w:val="center"/>
            </w:pPr>
            <w:r>
              <w:rPr>
                <w:b/>
                <w:bCs/>
                <w:color w:val="FFFFFF"/>
                <w:sz w:val="20"/>
                <w:szCs w:val="20"/>
              </w:rPr>
              <w:t xml:space="preserve">Fourchette de montant (FCFA)</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Very High</w:t>
            </w:r>
          </w:p>
        </w:tc>
        <w:tc>
          <w:tcPr>
            <w:tcW w:type="dxa" w:w="6000"/>
            <w:tcMar>
              <w:top w:type="dxa" w:w="80"/>
              <w:left w:type="dxa" w:w="120"/>
              <w:bottom w:type="dxa" w:w="80"/>
              <w:right w:type="dxa" w:w="120"/>
            </w:tcMar>
          </w:tcPr>
          <w:p>
            <w:pPr>
              <w:jc w:val="left"/>
            </w:pPr>
            <w:r>
              <w:rPr>
                <w:b w:val="false"/>
                <w:bCs w:val="false"/>
                <w:color w:val="000000"/>
                <w:sz w:val="20"/>
                <w:szCs w:val="20"/>
              </w:rPr>
              <w:t xml:space="preserve">300 000 à 600 000</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High</w:t>
            </w:r>
          </w:p>
        </w:tc>
        <w:tc>
          <w:tcPr>
            <w:tcW w:type="dxa" w:w="6000"/>
            <w:tcMar>
              <w:top w:type="dxa" w:w="80"/>
              <w:left w:type="dxa" w:w="120"/>
              <w:bottom w:type="dxa" w:w="80"/>
              <w:right w:type="dxa" w:w="120"/>
            </w:tcMar>
          </w:tcPr>
          <w:p>
            <w:pPr>
              <w:jc w:val="left"/>
            </w:pPr>
            <w:r>
              <w:rPr>
                <w:b w:val="false"/>
                <w:bCs w:val="false"/>
                <w:color w:val="000000"/>
                <w:sz w:val="20"/>
                <w:szCs w:val="20"/>
              </w:rPr>
              <w:t xml:space="preserve">150 000 à 300 000</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Medium</w:t>
            </w:r>
          </w:p>
        </w:tc>
        <w:tc>
          <w:tcPr>
            <w:tcW w:type="dxa" w:w="6000"/>
            <w:tcMar>
              <w:top w:type="dxa" w:w="80"/>
              <w:left w:type="dxa" w:w="120"/>
              <w:bottom w:type="dxa" w:w="80"/>
              <w:right w:type="dxa" w:w="120"/>
            </w:tcMar>
          </w:tcPr>
          <w:p>
            <w:pPr>
              <w:jc w:val="left"/>
            </w:pPr>
            <w:r>
              <w:rPr>
                <w:b w:val="false"/>
                <w:bCs w:val="false"/>
                <w:color w:val="000000"/>
                <w:sz w:val="20"/>
                <w:szCs w:val="20"/>
              </w:rPr>
              <w:t xml:space="preserve">100 000 à 200 000</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Low</w:t>
            </w:r>
          </w:p>
        </w:tc>
        <w:tc>
          <w:tcPr>
            <w:tcW w:type="dxa" w:w="6000"/>
            <w:tcMar>
              <w:top w:type="dxa" w:w="80"/>
              <w:left w:type="dxa" w:w="120"/>
              <w:bottom w:type="dxa" w:w="80"/>
              <w:right w:type="dxa" w:w="120"/>
            </w:tcMar>
          </w:tcPr>
          <w:p>
            <w:pPr>
              <w:jc w:val="left"/>
            </w:pPr>
            <w:r>
              <w:rPr>
                <w:b w:val="false"/>
                <w:bCs w:val="false"/>
                <w:color w:val="000000"/>
                <w:sz w:val="20"/>
                <w:szCs w:val="20"/>
              </w:rPr>
              <w:t xml:space="preserve">75 000 à 100 000</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Very Low</w:t>
            </w:r>
          </w:p>
        </w:tc>
        <w:tc>
          <w:tcPr>
            <w:tcW w:type="dxa" w:w="6000"/>
            <w:tcMar>
              <w:top w:type="dxa" w:w="80"/>
              <w:left w:type="dxa" w:w="120"/>
              <w:bottom w:type="dxa" w:w="80"/>
              <w:right w:type="dxa" w:w="120"/>
            </w:tcMar>
          </w:tcPr>
          <w:p>
            <w:pPr>
              <w:jc w:val="left"/>
            </w:pPr>
            <w:r>
              <w:rPr>
                <w:b w:val="false"/>
                <w:bCs w:val="false"/>
                <w:color w:val="000000"/>
                <w:sz w:val="20"/>
                <w:szCs w:val="20"/>
              </w:rPr>
              <w:t xml:space="preserve">25 000 à 75 000</w:t>
            </w:r>
          </w:p>
        </w:tc>
      </w:tr>
    </w:tbl>
    <w:p>
      <w:pPr>
        <w:pStyle w:val="Heading3"/>
        <w:spacing w:after="120" w:before="240"/>
      </w:pPr>
      <w:r>
        <w:rPr>
          <w:b/>
          <w:bCs/>
          <w:color w:val="4CAF50"/>
          <w:sz w:val="22"/>
          <w:szCs w:val="22"/>
        </w:rPr>
        <w:t xml:space="preserve">Produit BNPL (Buy Now Pay Later)</w:t>
      </w:r>
    </w:p>
    <w:p>
      <w:pPr>
        <w:spacing w:after="120"/>
        <w:jc w:val="both"/>
      </w:pPr>
      <w:r>
        <w:rPr>
          <w:b w:val="false"/>
          <w:bCs w:val="false"/>
          <w:i w:val="false"/>
          <w:iCs w:val="false"/>
          <w:sz w:val="22"/>
          <w:szCs w:val="22"/>
        </w:rPr>
        <w:t xml:space="preserve">Produit ouvert à la clientèle Individual et Business, sur une durée de 30 jours. Taux d'intérêt entre 7 et 25 pour cent annuel.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6B2E9E" w:val="clear"/>
            <w:tcMar>
              <w:top w:type="dxa" w:w="100"/>
              <w:left w:type="dxa" w:w="120"/>
              <w:bottom w:type="dxa" w:w="100"/>
              <w:right w:type="dxa" w:w="120"/>
            </w:tcMar>
          </w:tcPr>
          <w:p>
            <w:pPr>
              <w:jc w:val="center"/>
            </w:pPr>
            <w:r>
              <w:rPr>
                <w:b/>
                <w:bCs/>
                <w:color w:val="FFFFFF"/>
                <w:sz w:val="20"/>
                <w:szCs w:val="20"/>
              </w:rPr>
              <w:t xml:space="preserve">Segment de risque</w:t>
            </w:r>
          </w:p>
        </w:tc>
        <w:tc>
          <w:tcPr>
            <w:tcW w:type="dxa" w:w="6000"/>
            <w:shd w:fill="6B2E9E" w:val="clear"/>
            <w:tcMar>
              <w:top w:type="dxa" w:w="100"/>
              <w:left w:type="dxa" w:w="120"/>
              <w:bottom w:type="dxa" w:w="100"/>
              <w:right w:type="dxa" w:w="120"/>
            </w:tcMar>
          </w:tcPr>
          <w:p>
            <w:pPr>
              <w:jc w:val="center"/>
            </w:pPr>
            <w:r>
              <w:rPr>
                <w:b/>
                <w:bCs/>
                <w:color w:val="FFFFFF"/>
                <w:sz w:val="20"/>
                <w:szCs w:val="20"/>
              </w:rPr>
              <w:t xml:space="preserve">Fourchette de montant (FCFA)</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Very High</w:t>
            </w:r>
          </w:p>
        </w:tc>
        <w:tc>
          <w:tcPr>
            <w:tcW w:type="dxa" w:w="6000"/>
            <w:tcMar>
              <w:top w:type="dxa" w:w="80"/>
              <w:left w:type="dxa" w:w="120"/>
              <w:bottom w:type="dxa" w:w="80"/>
              <w:right w:type="dxa" w:w="120"/>
            </w:tcMar>
          </w:tcPr>
          <w:p>
            <w:pPr>
              <w:jc w:val="left"/>
            </w:pPr>
            <w:r>
              <w:rPr>
                <w:b w:val="false"/>
                <w:bCs w:val="false"/>
                <w:color w:val="000000"/>
                <w:sz w:val="20"/>
                <w:szCs w:val="20"/>
              </w:rPr>
              <w:t xml:space="preserve">200 000 à 500 000</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High</w:t>
            </w:r>
          </w:p>
        </w:tc>
        <w:tc>
          <w:tcPr>
            <w:tcW w:type="dxa" w:w="6000"/>
            <w:tcMar>
              <w:top w:type="dxa" w:w="80"/>
              <w:left w:type="dxa" w:w="120"/>
              <w:bottom w:type="dxa" w:w="80"/>
              <w:right w:type="dxa" w:w="120"/>
            </w:tcMar>
          </w:tcPr>
          <w:p>
            <w:pPr>
              <w:jc w:val="left"/>
            </w:pPr>
            <w:r>
              <w:rPr>
                <w:b w:val="false"/>
                <w:bCs w:val="false"/>
                <w:color w:val="000000"/>
                <w:sz w:val="20"/>
                <w:szCs w:val="20"/>
              </w:rPr>
              <w:t xml:space="preserve">100 000 à 200 000</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Medium</w:t>
            </w:r>
          </w:p>
        </w:tc>
        <w:tc>
          <w:tcPr>
            <w:tcW w:type="dxa" w:w="6000"/>
            <w:tcMar>
              <w:top w:type="dxa" w:w="80"/>
              <w:left w:type="dxa" w:w="120"/>
              <w:bottom w:type="dxa" w:w="80"/>
              <w:right w:type="dxa" w:w="120"/>
            </w:tcMar>
          </w:tcPr>
          <w:p>
            <w:pPr>
              <w:jc w:val="left"/>
            </w:pPr>
            <w:r>
              <w:rPr>
                <w:b w:val="false"/>
                <w:bCs w:val="false"/>
                <w:color w:val="000000"/>
                <w:sz w:val="20"/>
                <w:szCs w:val="20"/>
              </w:rPr>
              <w:t xml:space="preserve">50 000 à 100 000</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Low</w:t>
            </w:r>
          </w:p>
        </w:tc>
        <w:tc>
          <w:tcPr>
            <w:tcW w:type="dxa" w:w="6000"/>
            <w:tcMar>
              <w:top w:type="dxa" w:w="80"/>
              <w:left w:type="dxa" w:w="120"/>
              <w:bottom w:type="dxa" w:w="80"/>
              <w:right w:type="dxa" w:w="120"/>
            </w:tcMar>
          </w:tcPr>
          <w:p>
            <w:pPr>
              <w:jc w:val="left"/>
            </w:pPr>
            <w:r>
              <w:rPr>
                <w:b w:val="false"/>
                <w:bCs w:val="false"/>
                <w:color w:val="000000"/>
                <w:sz w:val="20"/>
                <w:szCs w:val="20"/>
              </w:rPr>
              <w:t xml:space="preserve">25 000 à 50 000</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Very Low</w:t>
            </w:r>
          </w:p>
        </w:tc>
        <w:tc>
          <w:tcPr>
            <w:tcW w:type="dxa" w:w="6000"/>
            <w:tcMar>
              <w:top w:type="dxa" w:w="80"/>
              <w:left w:type="dxa" w:w="120"/>
              <w:bottom w:type="dxa" w:w="80"/>
              <w:right w:type="dxa" w:w="120"/>
            </w:tcMar>
          </w:tcPr>
          <w:p>
            <w:pPr>
              <w:jc w:val="left"/>
            </w:pPr>
            <w:r>
              <w:rPr>
                <w:b w:val="false"/>
                <w:bCs w:val="false"/>
                <w:color w:val="000000"/>
                <w:sz w:val="20"/>
                <w:szCs w:val="20"/>
              </w:rPr>
              <w:t xml:space="preserve">5 000 à 25 000</w:t>
            </w:r>
          </w:p>
        </w:tc>
      </w:tr>
    </w:tbl>
    <w:p>
      <w:pPr>
        <w:pStyle w:val="Heading3"/>
        <w:spacing w:after="120" w:before="240"/>
      </w:pPr>
      <w:r>
        <w:rPr>
          <w:b/>
          <w:bCs/>
          <w:color w:val="4CAF50"/>
          <w:sz w:val="22"/>
          <w:szCs w:val="22"/>
        </w:rPr>
        <w:t xml:space="preserve">Produit ReadyToGo</w:t>
      </w:r>
    </w:p>
    <w:p>
      <w:pPr>
        <w:spacing w:after="120"/>
        <w:jc w:val="both"/>
      </w:pPr>
      <w:r>
        <w:rPr>
          <w:b w:val="false"/>
          <w:bCs w:val="false"/>
          <w:i w:val="false"/>
          <w:iCs w:val="false"/>
          <w:sz w:val="22"/>
          <w:szCs w:val="22"/>
        </w:rPr>
        <w:t xml:space="preserve">Produit ouvert à la clientèle Individual et Business, sur une durée de 15 jours. Taux d'intérêt entre 7 et 25 pour cent annuel.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6B2E9E" w:val="clear"/>
            <w:tcMar>
              <w:top w:type="dxa" w:w="100"/>
              <w:left w:type="dxa" w:w="120"/>
              <w:bottom w:type="dxa" w:w="100"/>
              <w:right w:type="dxa" w:w="120"/>
            </w:tcMar>
          </w:tcPr>
          <w:p>
            <w:pPr>
              <w:jc w:val="center"/>
            </w:pPr>
            <w:r>
              <w:rPr>
                <w:b/>
                <w:bCs/>
                <w:color w:val="FFFFFF"/>
                <w:sz w:val="20"/>
                <w:szCs w:val="20"/>
              </w:rPr>
              <w:t xml:space="preserve">Segment de risque</w:t>
            </w:r>
          </w:p>
        </w:tc>
        <w:tc>
          <w:tcPr>
            <w:tcW w:type="dxa" w:w="6000"/>
            <w:shd w:fill="6B2E9E" w:val="clear"/>
            <w:tcMar>
              <w:top w:type="dxa" w:w="100"/>
              <w:left w:type="dxa" w:w="120"/>
              <w:bottom w:type="dxa" w:w="100"/>
              <w:right w:type="dxa" w:w="120"/>
            </w:tcMar>
          </w:tcPr>
          <w:p>
            <w:pPr>
              <w:jc w:val="center"/>
            </w:pPr>
            <w:r>
              <w:rPr>
                <w:b/>
                <w:bCs/>
                <w:color w:val="FFFFFF"/>
                <w:sz w:val="20"/>
                <w:szCs w:val="20"/>
              </w:rPr>
              <w:t xml:space="preserve">Fourchette de montant (FCFA)</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Very High</w:t>
            </w:r>
          </w:p>
        </w:tc>
        <w:tc>
          <w:tcPr>
            <w:tcW w:type="dxa" w:w="6000"/>
            <w:tcMar>
              <w:top w:type="dxa" w:w="80"/>
              <w:left w:type="dxa" w:w="120"/>
              <w:bottom w:type="dxa" w:w="80"/>
              <w:right w:type="dxa" w:w="120"/>
            </w:tcMar>
          </w:tcPr>
          <w:p>
            <w:pPr>
              <w:jc w:val="left"/>
            </w:pPr>
            <w:r>
              <w:rPr>
                <w:b w:val="false"/>
                <w:bCs w:val="false"/>
                <w:color w:val="000000"/>
                <w:sz w:val="20"/>
                <w:szCs w:val="20"/>
              </w:rPr>
              <w:t xml:space="preserve">100 000 à 1 000 000</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High</w:t>
            </w:r>
          </w:p>
        </w:tc>
        <w:tc>
          <w:tcPr>
            <w:tcW w:type="dxa" w:w="6000"/>
            <w:tcMar>
              <w:top w:type="dxa" w:w="80"/>
              <w:left w:type="dxa" w:w="120"/>
              <w:bottom w:type="dxa" w:w="80"/>
              <w:right w:type="dxa" w:w="120"/>
            </w:tcMar>
          </w:tcPr>
          <w:p>
            <w:pPr>
              <w:jc w:val="left"/>
            </w:pPr>
            <w:r>
              <w:rPr>
                <w:b w:val="false"/>
                <w:bCs w:val="false"/>
                <w:color w:val="000000"/>
                <w:sz w:val="20"/>
                <w:szCs w:val="20"/>
              </w:rPr>
              <w:t xml:space="preserve">100 000 à 400 000</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Medium</w:t>
            </w:r>
          </w:p>
        </w:tc>
        <w:tc>
          <w:tcPr>
            <w:tcW w:type="dxa" w:w="6000"/>
            <w:tcMar>
              <w:top w:type="dxa" w:w="80"/>
              <w:left w:type="dxa" w:w="120"/>
              <w:bottom w:type="dxa" w:w="80"/>
              <w:right w:type="dxa" w:w="120"/>
            </w:tcMar>
          </w:tcPr>
          <w:p>
            <w:pPr>
              <w:jc w:val="left"/>
            </w:pPr>
            <w:r>
              <w:rPr>
                <w:b w:val="false"/>
                <w:bCs w:val="false"/>
                <w:color w:val="000000"/>
                <w:sz w:val="20"/>
                <w:szCs w:val="20"/>
              </w:rPr>
              <w:t xml:space="preserve">50 000 à 200 000</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Low</w:t>
            </w:r>
          </w:p>
        </w:tc>
        <w:tc>
          <w:tcPr>
            <w:tcW w:type="dxa" w:w="6000"/>
            <w:tcMar>
              <w:top w:type="dxa" w:w="80"/>
              <w:left w:type="dxa" w:w="120"/>
              <w:bottom w:type="dxa" w:w="80"/>
              <w:right w:type="dxa" w:w="120"/>
            </w:tcMar>
          </w:tcPr>
          <w:p>
            <w:pPr>
              <w:jc w:val="left"/>
            </w:pPr>
            <w:r>
              <w:rPr>
                <w:b w:val="false"/>
                <w:bCs w:val="false"/>
                <w:color w:val="000000"/>
                <w:sz w:val="20"/>
                <w:szCs w:val="20"/>
              </w:rPr>
              <w:t xml:space="preserve">35 000 à 49 000</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Very Low</w:t>
            </w:r>
          </w:p>
        </w:tc>
        <w:tc>
          <w:tcPr>
            <w:tcW w:type="dxa" w:w="6000"/>
            <w:tcMar>
              <w:top w:type="dxa" w:w="80"/>
              <w:left w:type="dxa" w:w="120"/>
              <w:bottom w:type="dxa" w:w="80"/>
              <w:right w:type="dxa" w:w="120"/>
            </w:tcMar>
          </w:tcPr>
          <w:p>
            <w:pPr>
              <w:jc w:val="left"/>
            </w:pPr>
            <w:r>
              <w:rPr>
                <w:b w:val="false"/>
                <w:bCs w:val="false"/>
                <w:color w:val="000000"/>
                <w:sz w:val="20"/>
                <w:szCs w:val="20"/>
              </w:rPr>
              <w:t xml:space="preserve">20 000 à 30 000</w:t>
            </w:r>
          </w:p>
        </w:tc>
      </w:tr>
    </w:tbl>
    <w:p>
      <w:pPr>
        <w:spacing w:after="120"/>
        <w:jc w:val="both"/>
      </w:pPr>
      <w:r>
        <w:rPr>
          <w:b w:val="false"/>
          <w:bCs w:val="false"/>
          <w:i w:val="false"/>
          <w:iCs w:val="false"/>
          <w:sz w:val="22"/>
          <w:szCs w:val="22"/>
        </w:rPr>
        <w:t xml:space="preserve"/>
      </w:r>
    </w:p>
    <w:p>
      <w:pPr>
        <w:spacing w:after="120"/>
        <w:jc w:val="both"/>
      </w:pPr>
      <w:r>
        <w:rPr>
          <w:b w:val="false"/>
          <w:bCs w:val="false"/>
          <w:i/>
          <w:iCs/>
          <w:sz w:val="22"/>
          <w:szCs w:val="22"/>
        </w:rPr>
        <w:t xml:space="preserve">Note métier : la logique de segmentation associe les segments Very High (risque élevé) à des montants plus importants. Cette pratique, courante en microfinance et conforme aux standards CGAP, permet de compenser les pertes attendues sur ces populations par une marge d'intérêt plus élevée.</w:t>
      </w:r>
    </w:p>
    <w:p>
      <w:pPr>
        <w:spacing w:after="120"/>
        <w:jc w:val="both"/>
      </w:pPr>
      <w:r>
        <w:rPr>
          <w:b w:val="false"/>
          <w:bCs w:val="false"/>
          <w:i w:val="false"/>
          <w:iCs w:val="false"/>
          <w:sz w:val="22"/>
          <w:szCs w:val="22"/>
        </w:rPr>
        <w:t xml:space="preserve"/>
      </w:r>
    </w:p>
    <w:p>
      <w:pPr>
        <w:spacing w:after="120"/>
        <w:jc w:val="both"/>
      </w:pPr>
      <w:r>
        <w:rPr>
          <w:b w:val="false"/>
          <w:bCs w:val="false"/>
          <w:i w:val="false"/>
          <w:iCs w:val="false"/>
          <w:sz w:val="22"/>
          <w:szCs w:val="22"/>
        </w:rPr>
        <w:t xml:space="preserve"/>
      </w:r>
    </w:p>
    <w:p>
      <w:pPr>
        <w:pBdr>
          <w:top w:val="single" w:color="4CAF50" w:sz="12"/>
        </w:pBdr>
        <w:spacing w:before="400"/>
        <w:jc w:val="center"/>
      </w:pPr>
      <w:r>
        <w:rPr>
          <w:b/>
          <w:bCs/>
          <w:i/>
          <w:iCs/>
          <w:color w:val="6B2E9E"/>
          <w:sz w:val="22"/>
          <w:szCs w:val="22"/>
        </w:rPr>
        <w:t xml:space="preserve">Fin du Cahier des Charges Loader FinZuu v1.2</w:t>
      </w:r>
    </w:p>
    <w:p>
      <w:pPr>
        <w:spacing w:before="100"/>
        <w:jc w:val="center"/>
      </w:pPr>
      <w:r>
        <w:rPr>
          <w:i/>
          <w:iCs/>
          <w:color w:val="666666"/>
          <w:sz w:val="18"/>
          <w:szCs w:val="18"/>
        </w:rPr>
        <w:t xml:space="preserve">FZ-CDC-LOADER-2026-001-v1.2 · 22 juillet 2026 · Kuate Abdel Yaniv</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 FZ-CDC-LOADER-2026-001-v1.2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FinZuu SAS — Cahier des Charges Loader v1.2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Loader FinZuu v1.2</dc:title>
  <dc:creator>Kuate Abdel Yaniv</dc:creator>
  <dc:description>Cahier des Charges du projet Loader — Intégration méthodologie Duhamel</dc:description>
  <cp:lastModifiedBy>Un-named</cp:lastModifiedBy>
  <cp:revision>1</cp:revision>
  <dcterms:created xsi:type="dcterms:W3CDTF">2026-07-22T12:44:02.088Z</dcterms:created>
  <dcterms:modified xsi:type="dcterms:W3CDTF">2026-07-22T12:44:02.105Z</dcterms:modified>
</cp:coreProperties>
</file>

<file path=docProps/custom.xml><?xml version="1.0" encoding="utf-8"?>
<Properties xmlns="http://schemas.openxmlformats.org/officeDocument/2006/custom-properties" xmlns:vt="http://schemas.openxmlformats.org/officeDocument/2006/docPropsVTypes"/>
</file>