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6B2E9E"/>
          <w:sz w:val="40"/>
          <w:szCs w:val="40"/>
        </w:rPr>
        <w:t xml:space="preserve">Stack Technique — Service Loader FinZuu</w:t>
      </w:r>
    </w:p>
    <w:p>
      <w:pPr>
        <w:spacing w:after="400"/>
        <w:jc w:val="center"/>
      </w:pPr>
      <w:r>
        <w:rPr>
          <w:rFonts w:ascii="Calibri" w:cs="Calibri" w:eastAsia="Calibri" w:hAnsi="Calibri"/>
          <w:i/>
          <w:iCs/>
          <w:color w:val="555555"/>
          <w:sz w:val="22"/>
          <w:szCs w:val="22"/>
        </w:rPr>
        <w:t xml:space="preserve">Référence : FZ-STACK-LOADER-2026-001</w:t>
      </w:r>
    </w:p>
    <w:p>
      <w:pPr>
        <w:spacing w:after="80" w:before="0" w:line="320"/>
        <w:jc w:val="both"/>
      </w:pPr>
      <w:r>
        <w:rPr>
          <w:rFonts w:ascii="Calibri" w:cs="Calibri" w:eastAsia="Calibri" w:hAnsi="Calibri"/>
          <w:b w:val="false"/>
          <w:bCs w:val="false"/>
          <w:i w:val="false"/>
          <w:iCs w:val="false"/>
          <w:color w:val="000000"/>
          <w:sz w:val="22"/>
          <w:szCs w:val="22"/>
        </w:rPr>
        <w:t xml:space="preserve">Auteur : Kuate Abdel Yaniv — Tech Lead / DevSecOps — ak@finzuu.com</w:t>
      </w:r>
    </w:p>
    <w:p>
      <w:pPr>
        <w:spacing w:after="80" w:before="0" w:line="320"/>
        <w:jc w:val="both"/>
      </w:pPr>
      <w:r>
        <w:rPr>
          <w:rFonts w:ascii="Calibri" w:cs="Calibri" w:eastAsia="Calibri" w:hAnsi="Calibri"/>
          <w:b w:val="false"/>
          <w:bCs w:val="false"/>
          <w:i w:val="false"/>
          <w:iCs w:val="false"/>
          <w:color w:val="000000"/>
          <w:sz w:val="22"/>
          <w:szCs w:val="22"/>
        </w:rPr>
        <w:t xml:space="preserve">Contributeur : Zidane — responsable du frontend Loader et co-QA</w:t>
      </w:r>
    </w:p>
    <w:p>
      <w:pPr>
        <w:spacing w:after="80" w:before="0" w:line="320"/>
        <w:jc w:val="both"/>
      </w:pPr>
      <w:r>
        <w:rPr>
          <w:rFonts w:ascii="Calibri" w:cs="Calibri" w:eastAsia="Calibri" w:hAnsi="Calibri"/>
          <w:b w:val="false"/>
          <w:bCs w:val="false"/>
          <w:i w:val="false"/>
          <w:iCs w:val="false"/>
          <w:color w:val="000000"/>
          <w:sz w:val="22"/>
          <w:szCs w:val="22"/>
        </w:rPr>
        <w:t xml:space="preserve">Sponsors : JJ Bwanga (COO) — Raphaël Moutot (Chef de Projet)</w:t>
      </w:r>
    </w:p>
    <w:p>
      <w:pPr>
        <w:spacing w:after="80" w:before="0" w:line="320"/>
        <w:jc w:val="both"/>
      </w:pPr>
      <w:r>
        <w:rPr>
          <w:rFonts w:ascii="Calibri" w:cs="Calibri" w:eastAsia="Calibri" w:hAnsi="Calibri"/>
          <w:b w:val="false"/>
          <w:bCs w:val="false"/>
          <w:i w:val="false"/>
          <w:iCs w:val="false"/>
          <w:color w:val="000000"/>
          <w:sz w:val="22"/>
          <w:szCs w:val="22"/>
        </w:rPr>
        <w:t xml:space="preserve">Version : v1.0</w:t>
      </w:r>
    </w:p>
    <w:p>
      <w:pPr>
        <w:spacing w:after="80" w:before="0" w:line="320"/>
        <w:jc w:val="both"/>
      </w:pPr>
      <w:r>
        <w:rPr>
          <w:rFonts w:ascii="Calibri" w:cs="Calibri" w:eastAsia="Calibri" w:hAnsi="Calibri"/>
          <w:b w:val="false"/>
          <w:bCs w:val="false"/>
          <w:i w:val="false"/>
          <w:iCs w:val="false"/>
          <w:color w:val="000000"/>
          <w:sz w:val="22"/>
          <w:szCs w:val="22"/>
        </w:rPr>
        <w:t xml:space="preserve">Date : 2026-07-24</w:t>
      </w:r>
    </w:p>
    <w:p>
      <w:pPr>
        <w:spacing w:after="300" w:before="0" w:line="320"/>
        <w:jc w:val="both"/>
      </w:pPr>
      <w:r>
        <w:rPr>
          <w:rFonts w:ascii="Calibri" w:cs="Calibri" w:eastAsia="Calibri" w:hAnsi="Calibri"/>
          <w:b w:val="false"/>
          <w:bCs w:val="false"/>
          <w:i w:val="false"/>
          <w:iCs w:val="false"/>
          <w:color w:val="000000"/>
          <w:sz w:val="22"/>
          <w:szCs w:val="22"/>
        </w:rPr>
        <w:t xml:space="preserve">Statut : Design — à valider par la Direction Technique</w:t>
      </w:r>
    </w:p>
    <w:p>
      <w:pPr>
        <w:pStyle w:val="Heading2"/>
        <w:spacing w:after="160" w:before="280"/>
      </w:pPr>
      <w:r>
        <w:rPr>
          <w:rFonts w:ascii="Calibri" w:cs="Calibri" w:eastAsia="Calibri" w:hAnsi="Calibri"/>
          <w:b/>
          <w:bCs/>
          <w:color w:val="6B2E9E"/>
          <w:sz w:val="26"/>
          <w:szCs w:val="26"/>
        </w:rPr>
        <w:t xml:space="preserve">0. Historique des versions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1600"/>
        <w:gridCol w:w="2400"/>
        <w:gridCol w:w="3800"/>
      </w:tblGrid>
      <w:tr>
        <w:tc>
          <w:tcPr>
            <w:tcW w:type="dxa" w:w="1200"/>
            <w:shd w:fill="6B2E9E" w:color="auto"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Version</w:t>
            </w:r>
          </w:p>
        </w:tc>
        <w:tc>
          <w:tcPr>
            <w:tcW w:type="dxa" w:w="1600"/>
            <w:shd w:fill="6B2E9E" w:color="auto"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Date</w:t>
            </w:r>
          </w:p>
        </w:tc>
        <w:tc>
          <w:tcPr>
            <w:tcW w:type="dxa" w:w="2400"/>
            <w:shd w:fill="6B2E9E" w:color="auto"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Auteur</w:t>
            </w:r>
          </w:p>
        </w:tc>
        <w:tc>
          <w:tcPr>
            <w:tcW w:type="dxa" w:w="3800"/>
            <w:shd w:fill="6B2E9E" w:color="auto"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Modifications</w:t>
            </w:r>
          </w:p>
        </w:tc>
      </w:tr>
      <w:tr>
        <w:tc>
          <w:tcPr>
            <w:tcW w:type="dxa" w:w="12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v1.0</w:t>
            </w:r>
          </w:p>
        </w:tc>
        <w:tc>
          <w:tcPr>
            <w:tcW w:type="dxa" w:w="16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2026-07-24</w:t>
            </w:r>
          </w:p>
        </w:tc>
        <w:tc>
          <w:tcPr>
            <w:tcW w:type="dxa" w:w="24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Kuate Abdel Yaniv</w:t>
            </w:r>
          </w:p>
        </w:tc>
        <w:tc>
          <w:tcPr>
            <w:tcW w:type="dxa" w:w="38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Version initiale — définition de la stack technique du Loader FinZuu</w:t>
            </w:r>
          </w:p>
        </w:tc>
      </w:tr>
    </w:tbl>
    <w:p>
      <w:pPr>
        <w:spacing w:after="200" w:before="0" w:line="320"/>
        <w:jc w:val="both"/>
      </w:pPr>
      <w:r>
        <w:rPr>
          <w:rFonts w:ascii="Calibri" w:cs="Calibri" w:eastAsia="Calibri" w:hAnsi="Calibri"/>
          <w:b w:val="false"/>
          <w:bCs w:val="false"/>
          <w:i w:val="false"/>
          <w:iCs w:val="false"/>
          <w:color w:val="000000"/>
          <w:sz w:val="22"/>
          <w:szCs w:val="22"/>
        </w:rPr>
        <w:t xml:space="preserve"/>
      </w:r>
    </w:p>
    <w:p>
      <w:pPr>
        <w:pStyle w:val="Heading1"/>
        <w:spacing w:after="200" w:before="360"/>
      </w:pPr>
      <w:r>
        <w:rPr>
          <w:rFonts w:ascii="Calibri" w:cs="Calibri" w:eastAsia="Calibri" w:hAnsi="Calibri"/>
          <w:b/>
          <w:bCs/>
          <w:color w:val="6B2E9E"/>
          <w:sz w:val="32"/>
          <w:szCs w:val="32"/>
        </w:rPr>
        <w:t xml:space="preserve">1. Objet du document</w:t>
      </w:r>
    </w:p>
    <w:p>
      <w:pPr>
        <w:spacing w:after="120" w:before="0" w:line="320"/>
        <w:jc w:val="both"/>
      </w:pPr>
      <w:r>
        <w:rPr>
          <w:rFonts w:ascii="Calibri" w:cs="Calibri" w:eastAsia="Calibri" w:hAnsi="Calibri"/>
          <w:b w:val="false"/>
          <w:bCs w:val="false"/>
          <w:i w:val="false"/>
          <w:iCs w:val="false"/>
          <w:color w:val="000000"/>
          <w:sz w:val="22"/>
          <w:szCs w:val="22"/>
        </w:rPr>
        <w:t xml:space="preserve">Ce document définit la stack technique du service Loader FinZuu. Il énumère les langages de programmation, les frameworks applicatifs et les bibliothèques structurantes retenus pour l'implémentation du backend, du frontend et de la couche de persistance du Loader. Il constitue la référence contractuelle sur ce qui sera codé et livré par l'équipe de développement du Loader.</w:t>
      </w:r>
    </w:p>
    <w:p>
      <w:pPr>
        <w:spacing w:after="120" w:before="0" w:line="320"/>
        <w:jc w:val="both"/>
      </w:pPr>
      <w:r>
        <w:rPr>
          <w:rFonts w:ascii="Calibri" w:cs="Calibri" w:eastAsia="Calibri" w:hAnsi="Calibri"/>
          <w:b w:val="false"/>
          <w:bCs w:val="false"/>
          <w:i w:val="false"/>
          <w:iCs w:val="false"/>
          <w:color w:val="000000"/>
          <w:sz w:val="22"/>
          <w:szCs w:val="22"/>
        </w:rPr>
        <w:t xml:space="preserve">Il ne traite ni de l'infrastructure d'hébergement, ni de la chaîne d'intégration et de déploiement continu, ni de la conception fonctionnelle du service. Ces éléments font l'objet de documents dédiés dont la liste est donnée en section 7.</w:t>
      </w:r>
    </w:p>
    <w:p>
      <w:pPr>
        <w:pStyle w:val="Heading1"/>
        <w:spacing w:after="200" w:before="360"/>
      </w:pPr>
      <w:r>
        <w:rPr>
          <w:rFonts w:ascii="Calibri" w:cs="Calibri" w:eastAsia="Calibri" w:hAnsi="Calibri"/>
          <w:b/>
          <w:bCs/>
          <w:color w:val="6B2E9E"/>
          <w:sz w:val="32"/>
          <w:szCs w:val="32"/>
        </w:rPr>
        <w:t xml:space="preserve">2. Rappel du rôle empirique du Loader</w:t>
      </w:r>
    </w:p>
    <w:p>
      <w:pPr>
        <w:spacing w:after="120" w:before="0" w:line="320"/>
        <w:jc w:val="both"/>
      </w:pPr>
      <w:r>
        <w:rPr>
          <w:rFonts w:ascii="Calibri" w:cs="Calibri" w:eastAsia="Calibri" w:hAnsi="Calibri"/>
          <w:b w:val="false"/>
          <w:bCs w:val="false"/>
          <w:i w:val="false"/>
          <w:iCs w:val="false"/>
          <w:color w:val="000000"/>
          <w:sz w:val="22"/>
          <w:szCs w:val="22"/>
        </w:rPr>
        <w:t xml:space="preserve">Le Loader est un service autonome dont la fonction est de générer, orchestrer et injecter un jeu de données de test complet, cohérent et représentatif dans les environnements TEST et DEMO de la plateforme FinZuu, conformément au Cahier des charges Loader FinZuu v1.2 final (FZ-CDC-LOADER-2026-001).</w:t>
      </w:r>
    </w:p>
    <w:p>
      <w:pPr>
        <w:spacing w:after="120" w:before="0" w:line="320"/>
        <w:jc w:val="both"/>
      </w:pPr>
      <w:r>
        <w:rPr>
          <w:rFonts w:ascii="Calibri" w:cs="Calibri" w:eastAsia="Calibri" w:hAnsi="Calibri"/>
          <w:b w:val="false"/>
          <w:bCs w:val="false"/>
          <w:i w:val="false"/>
          <w:iCs w:val="false"/>
          <w:color w:val="000000"/>
          <w:sz w:val="22"/>
          <w:szCs w:val="22"/>
        </w:rPr>
        <w:t xml:space="preserve">Empiriquement, le Loader se comporte comme un orchestrateur HTTP. Il consomme d'une part l'API Faker fintech4esg pour obtenir les payloads clients et l'historique de crédit, d'autre part les API REST des neuf services de production confirmés le 14 juillet 2026 pour y injecter les entités générées. Il n'implémente aucune logique métier propre à la plateforme FinZuu ; il en pilote la création de données.</w:t>
      </w:r>
    </w:p>
    <w:p>
      <w:pPr>
        <w:spacing w:after="120" w:before="0" w:line="320"/>
        <w:jc w:val="both"/>
      </w:pPr>
      <w:r>
        <w:rPr>
          <w:rFonts w:ascii="Calibri" w:cs="Calibri" w:eastAsia="Calibri" w:hAnsi="Calibri"/>
          <w:b w:val="false"/>
          <w:bCs w:val="false"/>
          <w:i w:val="false"/>
          <w:iCs w:val="false"/>
          <w:color w:val="000000"/>
          <w:sz w:val="22"/>
          <w:szCs w:val="22"/>
        </w:rPr>
        <w:t xml:space="preserve">Cette double consommation, Faker en amont puis services FinZuu en aval, définit la nature technique du Loader et détermine directement les choix de la présente stack : un langage adapté à l'orchestration HTTP asynchrone, un client HTTP moderne compatible HTTP/2 pour dialoguer avec APISIX, une base de données capable de tenir l'état de simulation sur la fenêtre historique de 180 jours, et un frontend permettant à un opérateur d'assister au déroulement du chargement.</w:t>
      </w:r>
    </w:p>
    <w:p>
      <w:pPr>
        <w:pStyle w:val="Heading1"/>
        <w:spacing w:after="200" w:before="360"/>
      </w:pPr>
      <w:r>
        <w:rPr>
          <w:rFonts w:ascii="Calibri" w:cs="Calibri" w:eastAsia="Calibri" w:hAnsi="Calibri"/>
          <w:b/>
          <w:bCs/>
          <w:color w:val="6B2E9E"/>
          <w:sz w:val="32"/>
          <w:szCs w:val="32"/>
        </w:rPr>
        <w:t xml:space="preserve">3. Contraintes empiriques du serveur cible</w:t>
      </w:r>
    </w:p>
    <w:p>
      <w:pPr>
        <w:spacing w:after="120" w:before="0" w:line="320"/>
        <w:jc w:val="both"/>
      </w:pPr>
      <w:r>
        <w:rPr>
          <w:rFonts w:ascii="Calibri" w:cs="Calibri" w:eastAsia="Calibri" w:hAnsi="Calibri"/>
          <w:b w:val="false"/>
          <w:bCs w:val="false"/>
          <w:i w:val="false"/>
          <w:iCs w:val="false"/>
          <w:color w:val="000000"/>
          <w:sz w:val="22"/>
          <w:szCs w:val="22"/>
        </w:rPr>
        <w:t xml:space="preserve">La stack retenue prend en compte les caractéristiques empiriques du serveur d'hébergement du Loader, configuré durant la session du 19 juillet 2026 après indisponibilité SSH du serveur netcup initial (152.53.53.139), en cours de correction par le fournisseur.</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000"/>
      </w:tblGrid>
      <w:tr>
        <w:tc>
          <w:tcPr>
            <w:tcW w:type="dxa" w:w="3000"/>
            <w:shd w:fill="6B2E9E" w:color="auto"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Attribut</w:t>
            </w:r>
          </w:p>
        </w:tc>
        <w:tc>
          <w:tcPr>
            <w:tcW w:type="dxa" w:w="6000"/>
            <w:shd w:fill="6B2E9E" w:color="auto"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Valeur empirique</w:t>
            </w:r>
          </w:p>
        </w:tc>
      </w:tr>
      <w:tr>
        <w:tc>
          <w:tcPr>
            <w:tcW w:type="dxa" w:w="30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Adresse IPv4</w:t>
            </w:r>
          </w:p>
        </w:tc>
        <w:tc>
          <w:tcPr>
            <w:tcW w:type="dxa" w:w="60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152.53.118.110</w:t>
            </w:r>
          </w:p>
        </w:tc>
      </w:tr>
      <w:tr>
        <w:tc>
          <w:tcPr>
            <w:tcW w:type="dxa" w:w="3000"/>
            <w:shd w:fill="F2F2F2" w:color="auto" w:val="clear"/>
            <w:tcMar>
              <w:top w:type="dxa" w:w="100"/>
              <w:left w:type="dxa" w:w="120"/>
              <w:bottom w:type="dxa" w:w="100"/>
              <w:right w:type="dxa" w:w="120"/>
            </w:tcMar>
          </w:tcPr>
          <w:p>
            <w:pPr>
              <w:jc w:val="left"/>
            </w:pPr>
            <w:r>
              <w:rPr>
                <w:rFonts w:ascii="Calibri" w:cs="Calibri" w:eastAsia="Calibri" w:hAnsi="Calibri"/>
                <w:b/>
                <w:bCs/>
                <w:color w:val="000000"/>
                <w:sz w:val="21"/>
                <w:szCs w:val="21"/>
              </w:rPr>
              <w:t xml:space="preserve">Système d'exploitation</w:t>
            </w:r>
          </w:p>
        </w:tc>
        <w:tc>
          <w:tcPr>
            <w:tcW w:type="dxa" w:w="60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Ubuntu 24.04.4 LTS</w:t>
            </w:r>
          </w:p>
        </w:tc>
      </w:tr>
      <w:tr>
        <w:tc>
          <w:tcPr>
            <w:tcW w:type="dxa" w:w="30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Architecture processeur</w:t>
            </w:r>
          </w:p>
        </w:tc>
        <w:tc>
          <w:tcPr>
            <w:tcW w:type="dxa" w:w="60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ARM64</w:t>
            </w:r>
          </w:p>
        </w:tc>
      </w:tr>
      <w:tr>
        <w:tc>
          <w:tcPr>
            <w:tcW w:type="dxa" w:w="3000"/>
            <w:shd w:fill="F2F2F2" w:color="auto" w:val="clear"/>
            <w:tcMar>
              <w:top w:type="dxa" w:w="100"/>
              <w:left w:type="dxa" w:w="120"/>
              <w:bottom w:type="dxa" w:w="100"/>
              <w:right w:type="dxa" w:w="120"/>
            </w:tcMar>
          </w:tcPr>
          <w:p>
            <w:pPr>
              <w:jc w:val="left"/>
            </w:pPr>
            <w:r>
              <w:rPr>
                <w:rFonts w:ascii="Calibri" w:cs="Calibri" w:eastAsia="Calibri" w:hAnsi="Calibri"/>
                <w:b/>
                <w:bCs/>
                <w:color w:val="000000"/>
                <w:sz w:val="21"/>
                <w:szCs w:val="21"/>
              </w:rPr>
              <w:t xml:space="preserve">Ressources</w:t>
            </w:r>
          </w:p>
        </w:tc>
        <w:tc>
          <w:tcPr>
            <w:tcW w:type="dxa" w:w="60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10 vCPU</w:t>
            </w:r>
          </w:p>
        </w:tc>
      </w:tr>
      <w:tr>
        <w:tc>
          <w:tcPr>
            <w:tcW w:type="dxa" w:w="30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Domaine de rattachement</w:t>
            </w:r>
          </w:p>
        </w:tc>
        <w:tc>
          <w:tcPr>
            <w:tcW w:type="dxa" w:w="60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simul.fintech4esg.com</w:t>
            </w:r>
          </w:p>
        </w:tc>
      </w:tr>
      <w:tr>
        <w:tc>
          <w:tcPr>
            <w:tcW w:type="dxa" w:w="3000"/>
            <w:shd w:fill="F2F2F2" w:color="auto" w:val="clear"/>
            <w:tcMar>
              <w:top w:type="dxa" w:w="100"/>
              <w:left w:type="dxa" w:w="120"/>
              <w:bottom w:type="dxa" w:w="100"/>
              <w:right w:type="dxa" w:w="120"/>
            </w:tcMar>
          </w:tcPr>
          <w:p>
            <w:pPr>
              <w:jc w:val="left"/>
            </w:pPr>
            <w:r>
              <w:rPr>
                <w:rFonts w:ascii="Calibri" w:cs="Calibri" w:eastAsia="Calibri" w:hAnsi="Calibri"/>
                <w:b/>
                <w:bCs/>
                <w:color w:val="000000"/>
                <w:sz w:val="21"/>
                <w:szCs w:val="21"/>
              </w:rPr>
              <w:t xml:space="preserve">Reverse proxy en place</w:t>
            </w:r>
          </w:p>
        </w:tc>
        <w:tc>
          <w:tcPr>
            <w:tcW w:type="dxa" w:w="60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Nginx</w:t>
            </w:r>
          </w:p>
        </w:tc>
      </w:tr>
    </w:tbl>
    <w:p>
      <w:pPr>
        <w:spacing w:after="100" w:before="0" w:line="320"/>
        <w:jc w:val="both"/>
      </w:pPr>
      <w:r>
        <w:rPr>
          <w:rFonts w:ascii="Calibri" w:cs="Calibri" w:eastAsia="Calibri" w:hAnsi="Calibri"/>
          <w:b w:val="false"/>
          <w:bCs w:val="false"/>
          <w:i w:val="false"/>
          <w:iCs w:val="false"/>
          <w:color w:val="000000"/>
          <w:sz w:val="22"/>
          <w:szCs w:val="22"/>
        </w:rPr>
        <w:t xml:space="preserve"/>
      </w:r>
    </w:p>
    <w:p>
      <w:pPr>
        <w:spacing w:after="120" w:before="0" w:line="320"/>
        <w:jc w:val="both"/>
      </w:pPr>
      <w:r>
        <w:rPr>
          <w:rFonts w:ascii="Calibri" w:cs="Calibri" w:eastAsia="Calibri" w:hAnsi="Calibri"/>
          <w:b w:val="false"/>
          <w:bCs w:val="false"/>
          <w:i w:val="false"/>
          <w:iCs w:val="false"/>
          <w:color w:val="000000"/>
          <w:sz w:val="22"/>
          <w:szCs w:val="22"/>
        </w:rPr>
        <w:t xml:space="preserve">Deux conséquences directes sur la stack. Premièrement, toute image et toute bibliothèque native embarquée doit être compatible ARM64 : les images Docker éventuelles doivent être multi-architecture, et les paquets Python natifs doivent disposer d'une roue linux_aarch64. Deuxièmement, le reverse proxy déjà en place sur le serveur est Nginx : le Loader s'y intègre en respectant ce choix, sans introduire un second reverse proxy applicatif.</w:t>
      </w:r>
    </w:p>
    <w:p>
      <w:pPr>
        <w:pStyle w:val="Heading1"/>
        <w:spacing w:after="200" w:before="360"/>
      </w:pPr>
      <w:r>
        <w:rPr>
          <w:rFonts w:ascii="Calibri" w:cs="Calibri" w:eastAsia="Calibri" w:hAnsi="Calibri"/>
          <w:b/>
          <w:bCs/>
          <w:color w:val="6B2E9E"/>
          <w:sz w:val="32"/>
          <w:szCs w:val="32"/>
        </w:rPr>
        <w:t xml:space="preserve">4. Stack technique retenue</w:t>
      </w:r>
    </w:p>
    <w:p>
      <w:pPr>
        <w:spacing w:after="120" w:before="0" w:line="320"/>
        <w:jc w:val="both"/>
      </w:pPr>
      <w:r>
        <w:rPr>
          <w:rFonts w:ascii="Calibri" w:cs="Calibri" w:eastAsia="Calibri" w:hAnsi="Calibri"/>
          <w:b w:val="false"/>
          <w:bCs w:val="false"/>
          <w:i w:val="false"/>
          <w:iCs w:val="false"/>
          <w:color w:val="000000"/>
          <w:sz w:val="22"/>
          <w:szCs w:val="22"/>
        </w:rPr>
        <w:t xml:space="preserve">Le tableau ci-dessous synthétise les choix retenus. Les justifications sont développées en section 5.</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400"/>
        <w:gridCol w:w="4400"/>
      </w:tblGrid>
      <w:tr>
        <w:tc>
          <w:tcPr>
            <w:tcW w:type="dxa" w:w="2200"/>
            <w:shd w:fill="6B2E9E" w:color="auto"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Composant</w:t>
            </w:r>
          </w:p>
        </w:tc>
        <w:tc>
          <w:tcPr>
            <w:tcW w:type="dxa" w:w="2400"/>
            <w:shd w:fill="6B2E9E" w:color="auto"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Choix retenu</w:t>
            </w:r>
          </w:p>
        </w:tc>
        <w:tc>
          <w:tcPr>
            <w:tcW w:type="dxa" w:w="4400"/>
            <w:shd w:fill="6B2E9E" w:color="auto"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Rôle dans le Loader</w:t>
            </w:r>
          </w:p>
        </w:tc>
      </w:tr>
      <w:tr>
        <w:tc>
          <w:tcPr>
            <w:tcW w:type="dxa" w:w="22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Langage backend</w:t>
            </w:r>
          </w:p>
        </w:tc>
        <w:tc>
          <w:tcPr>
            <w:tcW w:type="dxa" w:w="24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Python 3.12</w:t>
            </w:r>
          </w:p>
        </w:tc>
        <w:tc>
          <w:tcPr>
            <w:tcW w:type="dxa" w:w="44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Langage principal du service Loader — orchestrateur des appels HTTP</w:t>
            </w:r>
          </w:p>
        </w:tc>
      </w:tr>
      <w:tr>
        <w:tc>
          <w:tcPr>
            <w:tcW w:type="dxa" w:w="2200"/>
            <w:shd w:fill="F2F2F2" w:color="auto" w:val="clear"/>
            <w:tcMar>
              <w:top w:type="dxa" w:w="100"/>
              <w:left w:type="dxa" w:w="120"/>
              <w:bottom w:type="dxa" w:w="100"/>
              <w:right w:type="dxa" w:w="120"/>
            </w:tcMar>
          </w:tcPr>
          <w:p>
            <w:pPr>
              <w:jc w:val="left"/>
            </w:pPr>
            <w:r>
              <w:rPr>
                <w:rFonts w:ascii="Calibri" w:cs="Calibri" w:eastAsia="Calibri" w:hAnsi="Calibri"/>
                <w:b/>
                <w:bCs/>
                <w:color w:val="000000"/>
                <w:sz w:val="21"/>
                <w:szCs w:val="21"/>
              </w:rPr>
              <w:t xml:space="preserve">Framework backend</w:t>
            </w:r>
          </w:p>
        </w:tc>
        <w:tc>
          <w:tcPr>
            <w:tcW w:type="dxa" w:w="24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FastAPI</w:t>
            </w:r>
          </w:p>
        </w:tc>
        <w:tc>
          <w:tcPr>
            <w:tcW w:type="dxa" w:w="44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Framework API du backend Loader — expose l'API interne consommée par le frontend Next.js</w:t>
            </w:r>
          </w:p>
        </w:tc>
      </w:tr>
      <w:tr>
        <w:tc>
          <w:tcPr>
            <w:tcW w:type="dxa" w:w="22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Client HTTP</w:t>
            </w:r>
          </w:p>
        </w:tc>
        <w:tc>
          <w:tcPr>
            <w:tcW w:type="dxa" w:w="24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httpx (async)</w:t>
            </w:r>
          </w:p>
        </w:tc>
        <w:tc>
          <w:tcPr>
            <w:tcW w:type="dxa" w:w="44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Consomme l'API Faker fintech4esg et les API REST des neuf services FinZuu via APISIX en HTTP/2</w:t>
            </w:r>
          </w:p>
        </w:tc>
      </w:tr>
      <w:tr>
        <w:tc>
          <w:tcPr>
            <w:tcW w:type="dxa" w:w="2200"/>
            <w:shd w:fill="F2F2F2" w:color="auto" w:val="clear"/>
            <w:tcMar>
              <w:top w:type="dxa" w:w="100"/>
              <w:left w:type="dxa" w:w="120"/>
              <w:bottom w:type="dxa" w:w="100"/>
              <w:right w:type="dxa" w:w="120"/>
            </w:tcMar>
          </w:tcPr>
          <w:p>
            <w:pPr>
              <w:jc w:val="left"/>
            </w:pPr>
            <w:r>
              <w:rPr>
                <w:rFonts w:ascii="Calibri" w:cs="Calibri" w:eastAsia="Calibri" w:hAnsi="Calibri"/>
                <w:b/>
                <w:bCs/>
                <w:color w:val="000000"/>
                <w:sz w:val="21"/>
                <w:szCs w:val="21"/>
              </w:rPr>
              <w:t xml:space="preserve">Runtime concurrence</w:t>
            </w:r>
          </w:p>
        </w:tc>
        <w:tc>
          <w:tcPr>
            <w:tcW w:type="dxa" w:w="24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asyncio</w:t>
            </w:r>
          </w:p>
        </w:tc>
        <w:tc>
          <w:tcPr>
            <w:tcW w:type="dxa" w:w="44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Orchestre les appels HTTP de manière asynchrone pour supporter la volumétrie des injections</w:t>
            </w:r>
          </w:p>
        </w:tc>
      </w:tr>
      <w:tr>
        <w:tc>
          <w:tcPr>
            <w:tcW w:type="dxa" w:w="22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Base de données</w:t>
            </w:r>
          </w:p>
        </w:tc>
        <w:tc>
          <w:tcPr>
            <w:tcW w:type="dxa" w:w="24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MongoDB</w:t>
            </w:r>
          </w:p>
        </w:tc>
        <w:tc>
          <w:tcPr>
            <w:tcW w:type="dxa" w:w="44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Persistance de l'état de simulation, des credentials générés, du référentiel géographique et du SIEM applicatif</w:t>
            </w:r>
          </w:p>
        </w:tc>
      </w:tr>
      <w:tr>
        <w:tc>
          <w:tcPr>
            <w:tcW w:type="dxa" w:w="2200"/>
            <w:shd w:fill="F2F2F2" w:color="auto" w:val="clear"/>
            <w:tcMar>
              <w:top w:type="dxa" w:w="100"/>
              <w:left w:type="dxa" w:w="120"/>
              <w:bottom w:type="dxa" w:w="100"/>
              <w:right w:type="dxa" w:w="120"/>
            </w:tcMar>
          </w:tcPr>
          <w:p>
            <w:pPr>
              <w:jc w:val="left"/>
            </w:pPr>
            <w:r>
              <w:rPr>
                <w:rFonts w:ascii="Calibri" w:cs="Calibri" w:eastAsia="Calibri" w:hAnsi="Calibri"/>
                <w:b/>
                <w:bCs/>
                <w:color w:val="000000"/>
                <w:sz w:val="21"/>
                <w:szCs w:val="21"/>
              </w:rPr>
              <w:t xml:space="preserve">Driver MongoDB</w:t>
            </w:r>
          </w:p>
        </w:tc>
        <w:tc>
          <w:tcPr>
            <w:tcW w:type="dxa" w:w="24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motor</w:t>
            </w:r>
          </w:p>
        </w:tc>
        <w:tc>
          <w:tcPr>
            <w:tcW w:type="dxa" w:w="44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Driver asynchrone MongoDB compatible asyncio</w:t>
            </w:r>
          </w:p>
        </w:tc>
      </w:tr>
      <w:tr>
        <w:tc>
          <w:tcPr>
            <w:tcW w:type="dxa" w:w="22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Validation données</w:t>
            </w:r>
          </w:p>
        </w:tc>
        <w:tc>
          <w:tcPr>
            <w:tcW w:type="dxa" w:w="24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Pydantic v2</w:t>
            </w:r>
          </w:p>
        </w:tc>
        <w:tc>
          <w:tcPr>
            <w:tcW w:type="dxa" w:w="44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Validation des payloads Faker en entrée et des payloads services FinZuu en sortie</w:t>
            </w:r>
          </w:p>
        </w:tc>
      </w:tr>
      <w:tr>
        <w:tc>
          <w:tcPr>
            <w:tcW w:type="dxa" w:w="2200"/>
            <w:shd w:fill="F2F2F2" w:color="auto" w:val="clear"/>
            <w:tcMar>
              <w:top w:type="dxa" w:w="100"/>
              <w:left w:type="dxa" w:w="120"/>
              <w:bottom w:type="dxa" w:w="100"/>
              <w:right w:type="dxa" w:w="120"/>
            </w:tcMar>
          </w:tcPr>
          <w:p>
            <w:pPr>
              <w:jc w:val="left"/>
            </w:pPr>
            <w:r>
              <w:rPr>
                <w:rFonts w:ascii="Calibri" w:cs="Calibri" w:eastAsia="Calibri" w:hAnsi="Calibri"/>
                <w:b/>
                <w:bCs/>
                <w:color w:val="000000"/>
                <w:sz w:val="21"/>
                <w:szCs w:val="21"/>
              </w:rPr>
              <w:t xml:space="preserve">Gestion JWT</w:t>
            </w:r>
          </w:p>
        </w:tc>
        <w:tc>
          <w:tcPr>
            <w:tcW w:type="dxa" w:w="24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PyJWT</w:t>
            </w:r>
          </w:p>
        </w:tc>
        <w:tc>
          <w:tcPr>
            <w:tcW w:type="dxa" w:w="44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Décodage et validation des tokens émis par user-service (auth_token, access_token, refresh_token)</w:t>
            </w:r>
          </w:p>
        </w:tc>
      </w:tr>
      <w:tr>
        <w:tc>
          <w:tcPr>
            <w:tcW w:type="dxa" w:w="22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Package manager</w:t>
            </w:r>
          </w:p>
        </w:tc>
        <w:tc>
          <w:tcPr>
            <w:tcW w:type="dxa" w:w="24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uv</w:t>
            </w:r>
          </w:p>
        </w:tc>
        <w:tc>
          <w:tcPr>
            <w:tcW w:type="dxa" w:w="44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Gestionnaire de dépendances et environnements virtuels Python</w:t>
            </w:r>
          </w:p>
        </w:tc>
      </w:tr>
      <w:tr>
        <w:tc>
          <w:tcPr>
            <w:tcW w:type="dxa" w:w="2200"/>
            <w:shd w:fill="F2F2F2" w:color="auto" w:val="clear"/>
            <w:tcMar>
              <w:top w:type="dxa" w:w="100"/>
              <w:left w:type="dxa" w:w="120"/>
              <w:bottom w:type="dxa" w:w="100"/>
              <w:right w:type="dxa" w:w="120"/>
            </w:tcMar>
          </w:tcPr>
          <w:p>
            <w:pPr>
              <w:jc w:val="left"/>
            </w:pPr>
            <w:r>
              <w:rPr>
                <w:rFonts w:ascii="Calibri" w:cs="Calibri" w:eastAsia="Calibri" w:hAnsi="Calibri"/>
                <w:b/>
                <w:bCs/>
                <w:color w:val="000000"/>
                <w:sz w:val="21"/>
                <w:szCs w:val="21"/>
              </w:rPr>
              <w:t xml:space="preserve">Tests</w:t>
            </w:r>
          </w:p>
        </w:tc>
        <w:tc>
          <w:tcPr>
            <w:tcW w:type="dxa" w:w="24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pytest + pytest-asyncio</w:t>
            </w:r>
          </w:p>
        </w:tc>
        <w:tc>
          <w:tcPr>
            <w:tcW w:type="dxa" w:w="44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Framework de tests unitaires et d'intégration du backend Loader</w:t>
            </w:r>
          </w:p>
        </w:tc>
      </w:tr>
      <w:tr>
        <w:tc>
          <w:tcPr>
            <w:tcW w:type="dxa" w:w="22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Qualité code</w:t>
            </w:r>
          </w:p>
        </w:tc>
        <w:tc>
          <w:tcPr>
            <w:tcW w:type="dxa" w:w="24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ruff + mypy</w:t>
            </w:r>
          </w:p>
        </w:tc>
        <w:tc>
          <w:tcPr>
            <w:tcW w:type="dxa" w:w="44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Linter et vérificateur de types statique — compatible ARM64</w:t>
            </w:r>
          </w:p>
        </w:tc>
      </w:tr>
      <w:tr>
        <w:tc>
          <w:tcPr>
            <w:tcW w:type="dxa" w:w="2200"/>
            <w:shd w:fill="F2F2F2" w:color="auto" w:val="clear"/>
            <w:tcMar>
              <w:top w:type="dxa" w:w="100"/>
              <w:left w:type="dxa" w:w="120"/>
              <w:bottom w:type="dxa" w:w="100"/>
              <w:right w:type="dxa" w:w="120"/>
            </w:tcMar>
          </w:tcPr>
          <w:p>
            <w:pPr>
              <w:jc w:val="left"/>
            </w:pPr>
            <w:r>
              <w:rPr>
                <w:rFonts w:ascii="Calibri" w:cs="Calibri" w:eastAsia="Calibri" w:hAnsi="Calibri"/>
                <w:b/>
                <w:bCs/>
                <w:color w:val="000000"/>
                <w:sz w:val="21"/>
                <w:szCs w:val="21"/>
              </w:rPr>
              <w:t xml:space="preserve">Langage frontend</w:t>
            </w:r>
          </w:p>
        </w:tc>
        <w:tc>
          <w:tcPr>
            <w:tcW w:type="dxa" w:w="24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TypeScript</w:t>
            </w:r>
          </w:p>
        </w:tc>
        <w:tc>
          <w:tcPr>
            <w:tcW w:type="dxa" w:w="44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Langage du frontend — typage strict pour l'interface d'orchestration</w:t>
            </w:r>
          </w:p>
        </w:tc>
      </w:tr>
      <w:tr>
        <w:tc>
          <w:tcPr>
            <w:tcW w:type="dxa" w:w="22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Framework frontend</w:t>
            </w:r>
          </w:p>
        </w:tc>
        <w:tc>
          <w:tcPr>
            <w:tcW w:type="dxa" w:w="24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Next.js</w:t>
            </w:r>
          </w:p>
        </w:tc>
        <w:tc>
          <w:tcPr>
            <w:tcW w:type="dxa" w:w="44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Framework React SSR/CSR — choix confirmé par Zidane, responsable du frontend Loader</w:t>
            </w:r>
          </w:p>
        </w:tc>
      </w:tr>
      <w:tr>
        <w:tc>
          <w:tcPr>
            <w:tcW w:type="dxa" w:w="2200"/>
            <w:shd w:fill="F2F2F2" w:color="auto" w:val="clear"/>
            <w:tcMar>
              <w:top w:type="dxa" w:w="100"/>
              <w:left w:type="dxa" w:w="120"/>
              <w:bottom w:type="dxa" w:w="100"/>
              <w:right w:type="dxa" w:w="120"/>
            </w:tcMar>
          </w:tcPr>
          <w:p>
            <w:pPr>
              <w:jc w:val="left"/>
            </w:pPr>
            <w:r>
              <w:rPr>
                <w:rFonts w:ascii="Calibri" w:cs="Calibri" w:eastAsia="Calibri" w:hAnsi="Calibri"/>
                <w:b/>
                <w:bCs/>
                <w:color w:val="000000"/>
                <w:sz w:val="21"/>
                <w:szCs w:val="21"/>
              </w:rPr>
              <w:t xml:space="preserve">Runtime frontend</w:t>
            </w:r>
          </w:p>
        </w:tc>
        <w:tc>
          <w:tcPr>
            <w:tcW w:type="dxa" w:w="24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Node.js LTS</w:t>
            </w:r>
          </w:p>
        </w:tc>
        <w:tc>
          <w:tcPr>
            <w:tcW w:type="dxa" w:w="44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Runtime d'exécution du build Next.js et du serveur SSR</w:t>
            </w:r>
          </w:p>
        </w:tc>
      </w:tr>
      <w:tr>
        <w:tc>
          <w:tcPr>
            <w:tcW w:type="dxa" w:w="22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Package manager frontend</w:t>
            </w:r>
          </w:p>
        </w:tc>
        <w:tc>
          <w:tcPr>
            <w:tcW w:type="dxa" w:w="24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npm</w:t>
            </w:r>
          </w:p>
        </w:tc>
        <w:tc>
          <w:tcPr>
            <w:tcW w:type="dxa" w:w="44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Gestionnaire de dépendances Node.js (standard Next.js)</w:t>
            </w:r>
          </w:p>
        </w:tc>
      </w:tr>
      <w:tr>
        <w:tc>
          <w:tcPr>
            <w:tcW w:type="dxa" w:w="2200"/>
            <w:shd w:fill="F2F2F2" w:color="auto" w:val="clear"/>
            <w:tcMar>
              <w:top w:type="dxa" w:w="100"/>
              <w:left w:type="dxa" w:w="120"/>
              <w:bottom w:type="dxa" w:w="100"/>
              <w:right w:type="dxa" w:w="120"/>
            </w:tcMar>
          </w:tcPr>
          <w:p>
            <w:pPr>
              <w:jc w:val="left"/>
            </w:pPr>
            <w:r>
              <w:rPr>
                <w:rFonts w:ascii="Calibri" w:cs="Calibri" w:eastAsia="Calibri" w:hAnsi="Calibri"/>
                <w:b/>
                <w:bCs/>
                <w:color w:val="000000"/>
                <w:sz w:val="21"/>
                <w:szCs w:val="21"/>
              </w:rPr>
              <w:t xml:space="preserve">Reverse proxy</w:t>
            </w:r>
          </w:p>
        </w:tc>
        <w:tc>
          <w:tcPr>
            <w:tcW w:type="dxa" w:w="24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Nginx</w:t>
            </w:r>
          </w:p>
        </w:tc>
        <w:tc>
          <w:tcPr>
            <w:tcW w:type="dxa" w:w="44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Terminaison TLS et routage frontend / backend sur le serveur 152.53.118.110</w:t>
            </w:r>
          </w:p>
        </w:tc>
      </w:tr>
    </w:tbl>
    <w:p>
      <w:pPr>
        <w:spacing w:after="200" w:before="0" w:line="320"/>
        <w:jc w:val="both"/>
      </w:pPr>
      <w:r>
        <w:rPr>
          <w:rFonts w:ascii="Calibri" w:cs="Calibri" w:eastAsia="Calibri" w:hAnsi="Calibri"/>
          <w:b w:val="false"/>
          <w:bCs w:val="false"/>
          <w:i w:val="false"/>
          <w:iCs w:val="false"/>
          <w:color w:val="000000"/>
          <w:sz w:val="22"/>
          <w:szCs w:val="22"/>
        </w:rPr>
        <w:t xml:space="preserve"/>
      </w:r>
    </w:p>
    <w:p>
      <w:pPr>
        <w:pStyle w:val="Heading1"/>
        <w:spacing w:after="200" w:before="360"/>
      </w:pPr>
      <w:r>
        <w:rPr>
          <w:rFonts w:ascii="Calibri" w:cs="Calibri" w:eastAsia="Calibri" w:hAnsi="Calibri"/>
          <w:b/>
          <w:bCs/>
          <w:color w:val="6B2E9E"/>
          <w:sz w:val="32"/>
          <w:szCs w:val="32"/>
        </w:rPr>
        <w:t xml:space="preserve">5. Justifications techniques</w:t>
      </w:r>
    </w:p>
    <w:p>
      <w:pPr>
        <w:pStyle w:val="Heading2"/>
        <w:spacing w:after="160" w:before="280"/>
      </w:pPr>
      <w:r>
        <w:rPr>
          <w:rFonts w:ascii="Calibri" w:cs="Calibri" w:eastAsia="Calibri" w:hAnsi="Calibri"/>
          <w:b/>
          <w:bCs/>
          <w:color w:val="6B2E9E"/>
          <w:sz w:val="26"/>
          <w:szCs w:val="26"/>
        </w:rPr>
        <w:t xml:space="preserve">5.1 Backend en Python 3.12 et FastAPI</w:t>
      </w:r>
    </w:p>
    <w:p>
      <w:pPr>
        <w:spacing w:after="120" w:before="0" w:line="320"/>
        <w:jc w:val="both"/>
      </w:pPr>
      <w:r>
        <w:rPr>
          <w:rFonts w:ascii="Calibri" w:cs="Calibri" w:eastAsia="Calibri" w:hAnsi="Calibri"/>
          <w:b w:val="false"/>
          <w:bCs w:val="false"/>
          <w:i w:val="false"/>
          <w:iCs w:val="false"/>
          <w:color w:val="000000"/>
          <w:sz w:val="22"/>
          <w:szCs w:val="22"/>
        </w:rPr>
        <w:t xml:space="preserve">Le choix de Python 3.12 comme langage backend est guidé par la cohérence avec l'écosystème FinZuu. Les neuf services de production consommés par le Loader sont eux-mêmes implémentés en Python avec FastAPI et Pydantic v2. Cette homogénéité offre trois bénéfices concrets : la maîtrise des schémas de payload est directe, le développeur du Loader partage le même langage que les développeurs des services amont, et la maintenance future du Loader par un membre de l'équipe TNS ou par un successeur reste possible sans changement de compétence.</w:t>
      </w:r>
    </w:p>
    <w:p>
      <w:pPr>
        <w:spacing w:after="120" w:before="0" w:line="320"/>
        <w:jc w:val="both"/>
      </w:pPr>
      <w:r>
        <w:rPr>
          <w:rFonts w:ascii="Calibri" w:cs="Calibri" w:eastAsia="Calibri" w:hAnsi="Calibri"/>
          <w:b w:val="false"/>
          <w:bCs w:val="false"/>
          <w:i w:val="false"/>
          <w:iCs w:val="false"/>
          <w:color w:val="000000"/>
          <w:sz w:val="22"/>
          <w:szCs w:val="22"/>
        </w:rPr>
        <w:t xml:space="preserve">FastAPI est retenu comme framework backend du Loader pour deux raisons. D'une part, il fournit nativement Pydantic v2 pour la validation des payloads Faker en entrée et des payloads services FinZuu en sortie, ce qui répond à la contrainte CT-04 du cahier des charges exigeant la validation des filtres avant chaque appel Faker. D'autre part, il expose une API REST claire au frontend Next.js développé par Zidane, en OpenAPI générée automatiquement, ce qui aligne le contrat entre les deux briques.</w:t>
      </w:r>
    </w:p>
    <w:p>
      <w:pPr>
        <w:spacing w:after="120" w:before="0" w:line="320"/>
        <w:jc w:val="both"/>
      </w:pPr>
      <w:r>
        <w:rPr>
          <w:rFonts w:ascii="Calibri" w:cs="Calibri" w:eastAsia="Calibri" w:hAnsi="Calibri"/>
          <w:b w:val="false"/>
          <w:bCs w:val="false"/>
          <w:i w:val="false"/>
          <w:iCs w:val="false"/>
          <w:color w:val="000000"/>
          <w:sz w:val="22"/>
          <w:szCs w:val="22"/>
        </w:rPr>
        <w:t xml:space="preserve">Python 3.12 est la version LTS la plus récente stable disponible sur Ubuntu 24.04, et son support asyncio est mature.</w:t>
      </w:r>
    </w:p>
    <w:p>
      <w:pPr>
        <w:pStyle w:val="Heading2"/>
        <w:spacing w:after="160" w:before="280"/>
      </w:pPr>
      <w:r>
        <w:rPr>
          <w:rFonts w:ascii="Calibri" w:cs="Calibri" w:eastAsia="Calibri" w:hAnsi="Calibri"/>
          <w:b/>
          <w:bCs/>
          <w:color w:val="6B2E9E"/>
          <w:sz w:val="26"/>
          <w:szCs w:val="26"/>
        </w:rPr>
        <w:t xml:space="preserve">5.2 Client HTTP asynchrone via httpx</w:t>
      </w:r>
    </w:p>
    <w:p>
      <w:pPr>
        <w:spacing w:after="120" w:before="0" w:line="320"/>
        <w:jc w:val="both"/>
      </w:pPr>
      <w:r>
        <w:rPr>
          <w:rFonts w:ascii="Calibri" w:cs="Calibri" w:eastAsia="Calibri" w:hAnsi="Calibri"/>
          <w:b w:val="false"/>
          <w:bCs w:val="false"/>
          <w:i w:val="false"/>
          <w:iCs w:val="false"/>
          <w:color w:val="000000"/>
          <w:sz w:val="22"/>
          <w:szCs w:val="22"/>
        </w:rPr>
        <w:t xml:space="preserve">La bibliothèque httpx est retenue comme client HTTP unique du Loader vers l'ensemble des cibles externes. Trois raisons empiriques la justifient. Premièrement, httpx supporte nativement HTTP/2, protocole négocié par la gateway APISIX 3.13.0 qui expose les services FinZuu ; les sondages empiriques menés sur user-service ont confirmé la négociation systématique en HTTP/2. Deuxièmement, httpx fonctionne en mode asynchrone avec asyncio, ce qui autorise l'orchestration concurrente des appels vers les neuf services sans thread supplémentaire. Troisièmement, son API est cohérente avec requests, ce qui limite la courbe d'apprentissage.</w:t>
      </w:r>
    </w:p>
    <w:p>
      <w:pPr>
        <w:pStyle w:val="Heading2"/>
        <w:spacing w:after="160" w:before="280"/>
      </w:pPr>
      <w:r>
        <w:rPr>
          <w:rFonts w:ascii="Calibri" w:cs="Calibri" w:eastAsia="Calibri" w:hAnsi="Calibri"/>
          <w:b/>
          <w:bCs/>
          <w:color w:val="6B2E9E"/>
          <w:sz w:val="26"/>
          <w:szCs w:val="26"/>
        </w:rPr>
        <w:t xml:space="preserve">5.3 Base de données MongoDB via motor</w:t>
      </w:r>
    </w:p>
    <w:p>
      <w:pPr>
        <w:spacing w:after="120" w:before="0" w:line="320"/>
        <w:jc w:val="both"/>
      </w:pPr>
      <w:r>
        <w:rPr>
          <w:rFonts w:ascii="Calibri" w:cs="Calibri" w:eastAsia="Calibri" w:hAnsi="Calibri"/>
          <w:b w:val="false"/>
          <w:bCs w:val="false"/>
          <w:i w:val="false"/>
          <w:iCs w:val="false"/>
          <w:color w:val="000000"/>
          <w:sz w:val="22"/>
          <w:szCs w:val="22"/>
        </w:rPr>
        <w:t xml:space="preserve">MongoDB est retenu comme base de persistance du Loader pour la même raison de cohérence écosystème : les neuf services FinZuu utilisent MongoDB, ce qui autorise le partage des conventions de modélisation, d'identifiants et de sérialisation avec le reste de la plateforme. Le driver motor est le driver officiel asynchrone MongoDB, compatible asyncio et donc directement intégrable avec FastAPI et httpx.</w:t>
      </w:r>
    </w:p>
    <w:p>
      <w:pPr>
        <w:spacing w:after="120" w:before="0" w:line="320"/>
        <w:jc w:val="both"/>
      </w:pPr>
      <w:r>
        <w:rPr>
          <w:rFonts w:ascii="Calibri" w:cs="Calibri" w:eastAsia="Calibri" w:hAnsi="Calibri"/>
          <w:b w:val="false"/>
          <w:bCs w:val="false"/>
          <w:i w:val="false"/>
          <w:iCs w:val="false"/>
          <w:color w:val="000000"/>
          <w:sz w:val="22"/>
          <w:szCs w:val="22"/>
        </w:rPr>
        <w:t xml:space="preserve">Le Loader utilise MongoDB pour trois usages distincts : la persistance de l'état de simulation (avancement, checkpoints, run_id), le registre des credentials générés pour les utilisateurs applicatifs créés dans user-service, et la journalisation du SIEM applicatif interne exigée par la Direction Technique.</w:t>
      </w:r>
    </w:p>
    <w:p>
      <w:pPr>
        <w:pStyle w:val="Heading2"/>
        <w:spacing w:after="160" w:before="280"/>
      </w:pPr>
      <w:r>
        <w:rPr>
          <w:rFonts w:ascii="Calibri" w:cs="Calibri" w:eastAsia="Calibri" w:hAnsi="Calibri"/>
          <w:b/>
          <w:bCs/>
          <w:color w:val="6B2E9E"/>
          <w:sz w:val="26"/>
          <w:szCs w:val="26"/>
        </w:rPr>
        <w:t xml:space="preserve">5.4 Frontend en Next.js — choix Zidane</w:t>
      </w:r>
    </w:p>
    <w:p>
      <w:pPr>
        <w:spacing w:after="120" w:before="0" w:line="320"/>
        <w:jc w:val="both"/>
      </w:pPr>
      <w:r>
        <w:rPr>
          <w:rFonts w:ascii="Calibri" w:cs="Calibri" w:eastAsia="Calibri" w:hAnsi="Calibri"/>
          <w:b w:val="false"/>
          <w:bCs w:val="false"/>
          <w:i w:val="false"/>
          <w:iCs w:val="false"/>
          <w:color w:val="000000"/>
          <w:sz w:val="22"/>
          <w:szCs w:val="22"/>
        </w:rPr>
        <w:t xml:space="preserve">Le frontend du Loader est développé par Zidane, à qui le choix technique du framework a été laissé. Next.js est retenu, avec TypeScript comme langage. Ce choix est enregistré comme décision de conception et n'est pas rediscuté dans la présente stack : il fixe le cadre dans lequel le backend Python expose son API interne, et il détermine le runtime frontend (Node.js LTS) et le gestionnaire de dépendances (npm).</w:t>
      </w:r>
    </w:p>
    <w:p>
      <w:pPr>
        <w:pStyle w:val="Heading2"/>
        <w:spacing w:after="160" w:before="280"/>
      </w:pPr>
      <w:r>
        <w:rPr>
          <w:rFonts w:ascii="Calibri" w:cs="Calibri" w:eastAsia="Calibri" w:hAnsi="Calibri"/>
          <w:b/>
          <w:bCs/>
          <w:color w:val="6B2E9E"/>
          <w:sz w:val="26"/>
          <w:szCs w:val="26"/>
        </w:rPr>
        <w:t xml:space="preserve">5.5 Reverse proxy Nginx — respect du serveur en place</w:t>
      </w:r>
    </w:p>
    <w:p>
      <w:pPr>
        <w:spacing w:after="120" w:before="0" w:line="320"/>
        <w:jc w:val="both"/>
      </w:pPr>
      <w:r>
        <w:rPr>
          <w:rFonts w:ascii="Calibri" w:cs="Calibri" w:eastAsia="Calibri" w:hAnsi="Calibri"/>
          <w:b w:val="false"/>
          <w:bCs w:val="false"/>
          <w:i w:val="false"/>
          <w:iCs w:val="false"/>
          <w:color w:val="000000"/>
          <w:sz w:val="22"/>
          <w:szCs w:val="22"/>
        </w:rPr>
        <w:t xml:space="preserve">Le serveur d'hébergement 152.53.118.110 utilise Nginx comme reverse proxy applicatif. Le Loader s'intègre à cet existant en publiant deux endpoints distincts : un endpoint HTTPS pour le frontend Next.js, un endpoint HTTPS pour l'API backend FastAPI, tous deux servis derrière la même terminaison TLS Nginx. Aucun reverse proxy supplémentaire n'est introduit au niveau applicatif.</w:t>
      </w:r>
    </w:p>
    <w:p>
      <w:pPr>
        <w:pStyle w:val="Heading2"/>
        <w:spacing w:after="160" w:before="280"/>
      </w:pPr>
      <w:r>
        <w:rPr>
          <w:rFonts w:ascii="Calibri" w:cs="Calibri" w:eastAsia="Calibri" w:hAnsi="Calibri"/>
          <w:b/>
          <w:bCs/>
          <w:color w:val="6B2E9E"/>
          <w:sz w:val="26"/>
          <w:szCs w:val="26"/>
        </w:rPr>
        <w:t xml:space="preserve">5.6 Outillage de qualité — uv, ruff, mypy, pytest</w:t>
      </w:r>
    </w:p>
    <w:p>
      <w:pPr>
        <w:spacing w:after="120" w:before="0" w:line="320"/>
        <w:jc w:val="both"/>
      </w:pPr>
      <w:r>
        <w:rPr>
          <w:rFonts w:ascii="Calibri" w:cs="Calibri" w:eastAsia="Calibri" w:hAnsi="Calibri"/>
          <w:b w:val="false"/>
          <w:bCs w:val="false"/>
          <w:i w:val="false"/>
          <w:iCs w:val="false"/>
          <w:color w:val="000000"/>
          <w:sz w:val="22"/>
          <w:szCs w:val="22"/>
        </w:rPr>
        <w:t xml:space="preserve">Le gestionnaire de dépendances uv est retenu pour le backend Python. Il gère à la fois les environnements virtuels et l'installation reproductible via lockfile. Ruff assure le formatage et le contrôle statique des règles de style. Mypy assure la vérification de types statique en mode strict. Pytest, associé à pytest-asyncio, forme le socle des tests unitaires et d'intégration du backend Loader.</w:t>
      </w:r>
    </w:p>
    <w:p>
      <w:pPr>
        <w:spacing w:after="120" w:before="0" w:line="320"/>
        <w:jc w:val="both"/>
      </w:pPr>
      <w:r>
        <w:rPr>
          <w:rFonts w:ascii="Calibri" w:cs="Calibri" w:eastAsia="Calibri" w:hAnsi="Calibri"/>
          <w:b w:val="false"/>
          <w:bCs w:val="false"/>
          <w:i w:val="false"/>
          <w:iCs w:val="false"/>
          <w:color w:val="000000"/>
          <w:sz w:val="22"/>
          <w:szCs w:val="22"/>
        </w:rPr>
        <w:t xml:space="preserve">Cet outillage est déjà maîtrisé par l'auteur de ce document et déjà installé sur son poste WSL, ce qui autorise un démarrage immédiat sans phase d'apprentissage.</w:t>
      </w:r>
    </w:p>
    <w:p>
      <w:pPr>
        <w:pStyle w:val="Heading1"/>
        <w:spacing w:after="200" w:before="360"/>
      </w:pPr>
      <w:r>
        <w:rPr>
          <w:rFonts w:ascii="Calibri" w:cs="Calibri" w:eastAsia="Calibri" w:hAnsi="Calibri"/>
          <w:b/>
          <w:bCs/>
          <w:color w:val="6B2E9E"/>
          <w:sz w:val="32"/>
          <w:szCs w:val="32"/>
        </w:rPr>
        <w:t xml:space="preserve">6. Ce qui n'entre pas dans la stack technique</w:t>
      </w:r>
    </w:p>
    <w:p>
      <w:pPr>
        <w:spacing w:after="120" w:before="0" w:line="320"/>
        <w:jc w:val="both"/>
      </w:pPr>
      <w:r>
        <w:rPr>
          <w:rFonts w:ascii="Calibri" w:cs="Calibri" w:eastAsia="Calibri" w:hAnsi="Calibri"/>
          <w:b w:val="false"/>
          <w:bCs w:val="false"/>
          <w:i w:val="false"/>
          <w:iCs w:val="false"/>
          <w:color w:val="000000"/>
          <w:sz w:val="22"/>
          <w:szCs w:val="22"/>
        </w:rPr>
        <w:t xml:space="preserve">La rigueur d'un document de stack technique consiste également à énumérer explicitement ce qui n'y entre pas, afin d'éviter toute confusion ultérieure entre les livrables. Les éléments ci-dessous relèvent d'autres documents et ne sont pas ancrés dans la présente référence.</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3500"/>
        <w:gridCol w:w="5500"/>
      </w:tblGrid>
      <w:tr>
        <w:tc>
          <w:tcPr>
            <w:tcW w:type="dxa" w:w="3500"/>
            <w:shd w:fill="6B2E9E" w:color="auto"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Élément</w:t>
            </w:r>
          </w:p>
        </w:tc>
        <w:tc>
          <w:tcPr>
            <w:tcW w:type="dxa" w:w="5500"/>
            <w:shd w:fill="6B2E9E" w:color="auto"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Traité dans</w:t>
            </w:r>
          </w:p>
        </w:tc>
      </w:tr>
      <w:tr>
        <w:tc>
          <w:tcPr>
            <w:tcW w:type="dxa" w:w="35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Infrastructure serveur, hardening, backups</w:t>
            </w:r>
          </w:p>
        </w:tc>
        <w:tc>
          <w:tcPr>
            <w:tcW w:type="dxa" w:w="55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Documentation Infrastructure — Serveur simul.fintech4esg.com (page Confluence dédiée)</w:t>
            </w:r>
          </w:p>
        </w:tc>
      </w:tr>
      <w:tr>
        <w:tc>
          <w:tcPr>
            <w:tcW w:type="dxa" w:w="3500"/>
            <w:shd w:fill="F2F2F2" w:color="auto" w:val="clear"/>
            <w:tcMar>
              <w:top w:type="dxa" w:w="100"/>
              <w:left w:type="dxa" w:w="120"/>
              <w:bottom w:type="dxa" w:w="100"/>
              <w:right w:type="dxa" w:w="120"/>
            </w:tcMar>
          </w:tcPr>
          <w:p>
            <w:pPr>
              <w:jc w:val="left"/>
            </w:pPr>
            <w:r>
              <w:rPr>
                <w:rFonts w:ascii="Calibri" w:cs="Calibri" w:eastAsia="Calibri" w:hAnsi="Calibri"/>
                <w:b/>
                <w:bCs/>
                <w:color w:val="000000"/>
                <w:sz w:val="21"/>
                <w:szCs w:val="21"/>
              </w:rPr>
              <w:t xml:space="preserve">Pipeline CI/CD (GitHub Actions, déploiement automatisé)</w:t>
            </w:r>
          </w:p>
        </w:tc>
        <w:tc>
          <w:tcPr>
            <w:tcW w:type="dxa" w:w="55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Document DevOps / Pipeline Loader — à établir ultérieurement</w:t>
            </w:r>
          </w:p>
        </w:tc>
      </w:tr>
      <w:tr>
        <w:tc>
          <w:tcPr>
            <w:tcW w:type="dxa" w:w="35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Conception fonctionnelle du Loader (UC, EF, ENF, UML)</w:t>
            </w:r>
          </w:p>
        </w:tc>
        <w:tc>
          <w:tcPr>
            <w:tcW w:type="dxa" w:w="55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Cahier des charges Loader FinZuu v1.2 final (FZ-CDC-LOADER-2026-001)</w:t>
            </w:r>
          </w:p>
        </w:tc>
      </w:tr>
      <w:tr>
        <w:tc>
          <w:tcPr>
            <w:tcW w:type="dxa" w:w="3500"/>
            <w:shd w:fill="F2F2F2" w:color="auto" w:val="clear"/>
            <w:tcMar>
              <w:top w:type="dxa" w:w="100"/>
              <w:left w:type="dxa" w:w="120"/>
              <w:bottom w:type="dxa" w:w="100"/>
              <w:right w:type="dxa" w:w="120"/>
            </w:tcMar>
          </w:tcPr>
          <w:p>
            <w:pPr>
              <w:jc w:val="left"/>
            </w:pPr>
            <w:r>
              <w:rPr>
                <w:rFonts w:ascii="Calibri" w:cs="Calibri" w:eastAsia="Calibri" w:hAnsi="Calibri"/>
                <w:b/>
                <w:bCs/>
                <w:color w:val="000000"/>
                <w:sz w:val="21"/>
                <w:szCs w:val="21"/>
              </w:rPr>
              <w:t xml:space="preserve">Cartographie empirique des services FinZuu consommés</w:t>
            </w:r>
          </w:p>
        </w:tc>
        <w:tc>
          <w:tcPr>
            <w:tcW w:type="dxa" w:w="55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Documents Service Anatomy dédiés à chaque service (user, identity, config, etc.)</w:t>
            </w:r>
          </w:p>
        </w:tc>
      </w:tr>
      <w:tr>
        <w:tc>
          <w:tcPr>
            <w:tcW w:type="dxa" w:w="35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SIEM applicatif interne du Loader</w:t>
            </w:r>
          </w:p>
        </w:tc>
        <w:tc>
          <w:tcPr>
            <w:tcW w:type="dxa" w:w="55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Software Design Document du Loader — à produire</w:t>
            </w:r>
          </w:p>
        </w:tc>
      </w:tr>
    </w:tbl>
    <w:p>
      <w:pPr>
        <w:spacing w:after="200" w:before="0" w:line="320"/>
        <w:jc w:val="both"/>
      </w:pPr>
      <w:r>
        <w:rPr>
          <w:rFonts w:ascii="Calibri" w:cs="Calibri" w:eastAsia="Calibri" w:hAnsi="Calibri"/>
          <w:b w:val="false"/>
          <w:bCs w:val="false"/>
          <w:i w:val="false"/>
          <w:iCs w:val="false"/>
          <w:color w:val="000000"/>
          <w:sz w:val="22"/>
          <w:szCs w:val="22"/>
        </w:rPr>
        <w:t xml:space="preserve"/>
      </w:r>
    </w:p>
    <w:p>
      <w:pPr>
        <w:pStyle w:val="Heading1"/>
        <w:spacing w:after="200" w:before="360"/>
      </w:pPr>
      <w:r>
        <w:rPr>
          <w:rFonts w:ascii="Calibri" w:cs="Calibri" w:eastAsia="Calibri" w:hAnsi="Calibri"/>
          <w:b/>
          <w:bCs/>
          <w:color w:val="6B2E9E"/>
          <w:sz w:val="32"/>
          <w:szCs w:val="32"/>
        </w:rPr>
        <w:t xml:space="preserve">7. Cartographie des consommations externes</w:t>
      </w:r>
    </w:p>
    <w:p>
      <w:pPr>
        <w:spacing w:after="120" w:before="0" w:line="320"/>
        <w:jc w:val="both"/>
      </w:pPr>
      <w:r>
        <w:rPr>
          <w:rFonts w:ascii="Calibri" w:cs="Calibri" w:eastAsia="Calibri" w:hAnsi="Calibri"/>
          <w:b w:val="false"/>
          <w:bCs w:val="false"/>
          <w:i w:val="false"/>
          <w:iCs w:val="false"/>
          <w:color w:val="000000"/>
          <w:sz w:val="22"/>
          <w:szCs w:val="22"/>
        </w:rPr>
        <w:t xml:space="preserve">Le tableau ci-dessous liste, à titre informatif et pour contextualiser les choix de la stack, les cibles externes que le Loader consomme via son client HTTP. Le contrat détaillé de chaque service (endpoints, payloads, invariants) est documenté séparément dans les Service Anatomy dédiés.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3000"/>
        <w:gridCol w:w="3000"/>
      </w:tblGrid>
      <w:tr>
        <w:tc>
          <w:tcPr>
            <w:tcW w:type="dxa" w:w="3000"/>
            <w:shd w:fill="6B2E9E" w:color="auto"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Cible externe</w:t>
            </w:r>
          </w:p>
        </w:tc>
        <w:tc>
          <w:tcPr>
            <w:tcW w:type="dxa" w:w="3000"/>
            <w:shd w:fill="6B2E9E" w:color="auto"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Rôle empirique</w:t>
            </w:r>
          </w:p>
        </w:tc>
        <w:tc>
          <w:tcPr>
            <w:tcW w:type="dxa" w:w="3000"/>
            <w:shd w:fill="6B2E9E" w:color="auto"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Bibliothèque Loader utilisée</w:t>
            </w:r>
          </w:p>
        </w:tc>
      </w:tr>
      <w:tr>
        <w:tc>
          <w:tcPr>
            <w:tcW w:type="dxa" w:w="30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API Faker fintech4esg</w:t>
            </w:r>
          </w:p>
        </w:tc>
        <w:tc>
          <w:tcPr>
            <w:tcW w:type="dxa" w:w="30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Fournit les payloads clients et l'historique de crédit — appelée en temps réel par le Loader</w:t>
            </w:r>
          </w:p>
        </w:tc>
        <w:tc>
          <w:tcPr>
            <w:tcW w:type="dxa" w:w="30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httpx (async)</w:t>
            </w:r>
          </w:p>
        </w:tc>
      </w:tr>
      <w:tr>
        <w:tc>
          <w:tcPr>
            <w:tcW w:type="dxa" w:w="3000"/>
            <w:shd w:fill="F2F2F2" w:color="auto" w:val="clear"/>
            <w:tcMar>
              <w:top w:type="dxa" w:w="100"/>
              <w:left w:type="dxa" w:w="120"/>
              <w:bottom w:type="dxa" w:w="100"/>
              <w:right w:type="dxa" w:w="120"/>
            </w:tcMar>
          </w:tcPr>
          <w:p>
            <w:pPr>
              <w:jc w:val="left"/>
            </w:pPr>
            <w:r>
              <w:rPr>
                <w:rFonts w:ascii="Calibri" w:cs="Calibri" w:eastAsia="Calibri" w:hAnsi="Calibri"/>
                <w:b/>
                <w:bCs/>
                <w:color w:val="000000"/>
                <w:sz w:val="21"/>
                <w:szCs w:val="21"/>
              </w:rPr>
              <w:t xml:space="preserve">user-service</w:t>
            </w:r>
          </w:p>
        </w:tc>
        <w:tc>
          <w:tcPr>
            <w:tcW w:type="dxa" w:w="30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Authentification (JWT) et création des utilisateurs applicatifs Super-Admin, Admin, Client, etc.</w:t>
            </w:r>
          </w:p>
        </w:tc>
        <w:tc>
          <w:tcPr>
            <w:tcW w:type="dxa" w:w="30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httpx + PyJWT</w:t>
            </w:r>
          </w:p>
        </w:tc>
      </w:tr>
      <w:tr>
        <w:tc>
          <w:tcPr>
            <w:tcW w:type="dxa" w:w="30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identity-service</w:t>
            </w:r>
          </w:p>
        </w:tc>
        <w:tc>
          <w:tcPr>
            <w:tcW w:type="dxa" w:w="30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Création des identités KYC (INDIVIDUAL et CORPORATE) préalables à toute création d'entité</w:t>
            </w:r>
          </w:p>
        </w:tc>
        <w:tc>
          <w:tcPr>
            <w:tcW w:type="dxa" w:w="30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httpx (async)</w:t>
            </w:r>
          </w:p>
        </w:tc>
      </w:tr>
      <w:tr>
        <w:tc>
          <w:tcPr>
            <w:tcW w:type="dxa" w:w="3000"/>
            <w:shd w:fill="F2F2F2" w:color="auto" w:val="clear"/>
            <w:tcMar>
              <w:top w:type="dxa" w:w="100"/>
              <w:left w:type="dxa" w:w="120"/>
              <w:bottom w:type="dxa" w:w="100"/>
              <w:right w:type="dxa" w:w="120"/>
            </w:tcMar>
          </w:tcPr>
          <w:p>
            <w:pPr>
              <w:jc w:val="left"/>
            </w:pPr>
            <w:r>
              <w:rPr>
                <w:rFonts w:ascii="Calibri" w:cs="Calibri" w:eastAsia="Calibri" w:hAnsi="Calibri"/>
                <w:b/>
                <w:bCs/>
                <w:color w:val="000000"/>
                <w:sz w:val="21"/>
                <w:szCs w:val="21"/>
              </w:rPr>
              <w:t xml:space="preserve">config-service</w:t>
            </w:r>
          </w:p>
        </w:tc>
        <w:tc>
          <w:tcPr>
            <w:tcW w:type="dxa" w:w="30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Récupération des référentiels pays, devises et opérateurs télécoms</w:t>
            </w:r>
          </w:p>
        </w:tc>
        <w:tc>
          <w:tcPr>
            <w:tcW w:type="dxa" w:w="30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httpx (async)</w:t>
            </w:r>
          </w:p>
        </w:tc>
      </w:tr>
      <w:tr>
        <w:tc>
          <w:tcPr>
            <w:tcW w:type="dxa" w:w="30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company-service</w:t>
            </w:r>
          </w:p>
        </w:tc>
        <w:tc>
          <w:tcPr>
            <w:tcW w:type="dxa" w:w="30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Création des compagnies (banques, microfinances, kiosques, fondations, lenders)</w:t>
            </w:r>
          </w:p>
        </w:tc>
        <w:tc>
          <w:tcPr>
            <w:tcW w:type="dxa" w:w="30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httpx (async)</w:t>
            </w:r>
          </w:p>
        </w:tc>
      </w:tr>
      <w:tr>
        <w:tc>
          <w:tcPr>
            <w:tcW w:type="dxa" w:w="3000"/>
            <w:shd w:fill="F2F2F2" w:color="auto" w:val="clear"/>
            <w:tcMar>
              <w:top w:type="dxa" w:w="100"/>
              <w:left w:type="dxa" w:w="120"/>
              <w:bottom w:type="dxa" w:w="100"/>
              <w:right w:type="dxa" w:w="120"/>
            </w:tcMar>
          </w:tcPr>
          <w:p>
            <w:pPr>
              <w:jc w:val="left"/>
            </w:pPr>
            <w:r>
              <w:rPr>
                <w:rFonts w:ascii="Calibri" w:cs="Calibri" w:eastAsia="Calibri" w:hAnsi="Calibri"/>
                <w:b/>
                <w:bCs/>
                <w:color w:val="000000"/>
                <w:sz w:val="21"/>
                <w:szCs w:val="21"/>
              </w:rPr>
              <w:t xml:space="preserve">account-service</w:t>
            </w:r>
          </w:p>
        </w:tc>
        <w:tc>
          <w:tcPr>
            <w:tcW w:type="dxa" w:w="30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Création des comptes financiers rattachés aux clients et aux lenders</w:t>
            </w:r>
          </w:p>
        </w:tc>
        <w:tc>
          <w:tcPr>
            <w:tcW w:type="dxa" w:w="30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httpx (async)</w:t>
            </w:r>
          </w:p>
        </w:tc>
      </w:tr>
      <w:tr>
        <w:tc>
          <w:tcPr>
            <w:tcW w:type="dxa" w:w="30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client-service</w:t>
            </w:r>
          </w:p>
        </w:tc>
        <w:tc>
          <w:tcPr>
            <w:tcW w:type="dxa" w:w="30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Enregistrement des clients finaux au sein du Module Collecte</w:t>
            </w:r>
          </w:p>
        </w:tc>
        <w:tc>
          <w:tcPr>
            <w:tcW w:type="dxa" w:w="30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httpx (async)</w:t>
            </w:r>
          </w:p>
        </w:tc>
      </w:tr>
      <w:tr>
        <w:tc>
          <w:tcPr>
            <w:tcW w:type="dxa" w:w="3000"/>
            <w:shd w:fill="F2F2F2" w:color="auto" w:val="clear"/>
            <w:tcMar>
              <w:top w:type="dxa" w:w="100"/>
              <w:left w:type="dxa" w:w="120"/>
              <w:bottom w:type="dxa" w:w="100"/>
              <w:right w:type="dxa" w:w="120"/>
            </w:tcMar>
          </w:tcPr>
          <w:p>
            <w:pPr>
              <w:jc w:val="left"/>
            </w:pPr>
            <w:r>
              <w:rPr>
                <w:rFonts w:ascii="Calibri" w:cs="Calibri" w:eastAsia="Calibri" w:hAnsi="Calibri"/>
                <w:b/>
                <w:bCs/>
                <w:color w:val="000000"/>
                <w:sz w:val="21"/>
                <w:szCs w:val="21"/>
              </w:rPr>
              <w:t xml:space="preserve">product-service</w:t>
            </w:r>
          </w:p>
        </w:tc>
        <w:tc>
          <w:tcPr>
            <w:tcW w:type="dxa" w:w="30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Souscription des produits d'épargne et de collecte</w:t>
            </w:r>
          </w:p>
        </w:tc>
        <w:tc>
          <w:tcPr>
            <w:tcW w:type="dxa" w:w="30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httpx (async)</w:t>
            </w:r>
          </w:p>
        </w:tc>
      </w:tr>
      <w:tr>
        <w:tc>
          <w:tcPr>
            <w:tcW w:type="dxa" w:w="3000"/>
            <w:tcMar>
              <w:top w:type="dxa" w:w="100"/>
              <w:left w:type="dxa" w:w="120"/>
              <w:bottom w:type="dxa" w:w="100"/>
              <w:right w:type="dxa" w:w="120"/>
            </w:tcMar>
          </w:tcPr>
          <w:p>
            <w:pPr>
              <w:jc w:val="left"/>
            </w:pPr>
            <w:r>
              <w:rPr>
                <w:rFonts w:ascii="Calibri" w:cs="Calibri" w:eastAsia="Calibri" w:hAnsi="Calibri"/>
                <w:b/>
                <w:bCs/>
                <w:color w:val="000000"/>
                <w:sz w:val="21"/>
                <w:szCs w:val="21"/>
              </w:rPr>
              <w:t xml:space="preserve">collect-service</w:t>
            </w:r>
          </w:p>
        </w:tc>
        <w:tc>
          <w:tcPr>
            <w:tcW w:type="dxa" w:w="30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Injection des opérations de collecte cash sur la fenêtre 180 jours</w:t>
            </w:r>
          </w:p>
        </w:tc>
        <w:tc>
          <w:tcPr>
            <w:tcW w:type="dxa" w:w="3000"/>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httpx (async)</w:t>
            </w:r>
          </w:p>
        </w:tc>
      </w:tr>
      <w:tr>
        <w:tc>
          <w:tcPr>
            <w:tcW w:type="dxa" w:w="3000"/>
            <w:shd w:fill="F2F2F2" w:color="auto" w:val="clear"/>
            <w:tcMar>
              <w:top w:type="dxa" w:w="100"/>
              <w:left w:type="dxa" w:w="120"/>
              <w:bottom w:type="dxa" w:w="100"/>
              <w:right w:type="dxa" w:w="120"/>
            </w:tcMar>
          </w:tcPr>
          <w:p>
            <w:pPr>
              <w:jc w:val="left"/>
            </w:pPr>
            <w:r>
              <w:rPr>
                <w:rFonts w:ascii="Calibri" w:cs="Calibri" w:eastAsia="Calibri" w:hAnsi="Calibri"/>
                <w:b/>
                <w:bCs/>
                <w:color w:val="000000"/>
                <w:sz w:val="21"/>
                <w:szCs w:val="21"/>
              </w:rPr>
              <w:t xml:space="preserve">depositary-service</w:t>
            </w:r>
          </w:p>
        </w:tc>
        <w:tc>
          <w:tcPr>
            <w:tcW w:type="dxa" w:w="30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Injection des opérations Kiosque (dépôts et retraits)</w:t>
            </w:r>
          </w:p>
        </w:tc>
        <w:tc>
          <w:tcPr>
            <w:tcW w:type="dxa" w:w="3000"/>
            <w:shd w:fill="F2F2F2" w:color="auto" w:val="clear"/>
            <w:tcMar>
              <w:top w:type="dxa" w:w="100"/>
              <w:left w:type="dxa" w:w="120"/>
              <w:bottom w:type="dxa" w:w="100"/>
              <w:right w:type="dxa" w:w="120"/>
            </w:tcMar>
          </w:tcPr>
          <w:p>
            <w:pPr>
              <w:jc w:val="left"/>
            </w:pPr>
            <w:r>
              <w:rPr>
                <w:rFonts w:ascii="Calibri" w:cs="Calibri" w:eastAsia="Calibri" w:hAnsi="Calibri"/>
                <w:b w:val="false"/>
                <w:bCs w:val="false"/>
                <w:color w:val="000000"/>
                <w:sz w:val="21"/>
                <w:szCs w:val="21"/>
              </w:rPr>
              <w:t xml:space="preserve">httpx (async)</w:t>
            </w:r>
          </w:p>
        </w:tc>
      </w:tr>
    </w:tbl>
    <w:p>
      <w:pPr>
        <w:spacing w:after="200" w:before="0" w:line="320"/>
        <w:jc w:val="both"/>
      </w:pPr>
      <w:r>
        <w:rPr>
          <w:rFonts w:ascii="Calibri" w:cs="Calibri" w:eastAsia="Calibri" w:hAnsi="Calibri"/>
          <w:b w:val="false"/>
          <w:bCs w:val="false"/>
          <w:i w:val="false"/>
          <w:iCs w:val="false"/>
          <w:color w:val="000000"/>
          <w:sz w:val="22"/>
          <w:szCs w:val="22"/>
        </w:rPr>
        <w:t xml:space="preserve"/>
      </w:r>
    </w:p>
    <w:p>
      <w:pPr>
        <w:pStyle w:val="Heading1"/>
        <w:spacing w:after="200" w:before="360"/>
      </w:pPr>
      <w:r>
        <w:rPr>
          <w:rFonts w:ascii="Calibri" w:cs="Calibri" w:eastAsia="Calibri" w:hAnsi="Calibri"/>
          <w:b/>
          <w:bCs/>
          <w:color w:val="6B2E9E"/>
          <w:sz w:val="32"/>
          <w:szCs w:val="32"/>
        </w:rPr>
        <w:t xml:space="preserve">8. Décisions verrouillées par cette stack</w:t>
      </w:r>
    </w:p>
    <w:p>
      <w:pPr>
        <w:pStyle w:val="ListParagraph"/>
        <w:numPr>
          <w:ilvl w:val="0"/>
          <w:numId w:val="1"/>
        </w:numPr>
        <w:spacing w:after="100" w:line="300"/>
      </w:pPr>
      <w:r>
        <w:rPr>
          <w:rFonts w:ascii="Calibri" w:cs="Calibri" w:eastAsia="Calibri" w:hAnsi="Calibri"/>
          <w:sz w:val="22"/>
          <w:szCs w:val="22"/>
        </w:rPr>
        <w:t xml:space="preserve">Le backend du Loader est développé en Python 3.12 avec FastAPI et Pydantic v2.</w:t>
      </w:r>
    </w:p>
    <w:p>
      <w:pPr>
        <w:pStyle w:val="ListParagraph"/>
        <w:numPr>
          <w:ilvl w:val="0"/>
          <w:numId w:val="1"/>
        </w:numPr>
        <w:spacing w:after="100" w:line="300"/>
      </w:pPr>
      <w:r>
        <w:rPr>
          <w:rFonts w:ascii="Calibri" w:cs="Calibri" w:eastAsia="Calibri" w:hAnsi="Calibri"/>
          <w:sz w:val="22"/>
          <w:szCs w:val="22"/>
        </w:rPr>
        <w:t xml:space="preserve">La couche client HTTP asynchrone unique du Loader vers l'ensemble des cibles externes est httpx.</w:t>
      </w:r>
    </w:p>
    <w:p>
      <w:pPr>
        <w:pStyle w:val="ListParagraph"/>
        <w:numPr>
          <w:ilvl w:val="0"/>
          <w:numId w:val="1"/>
        </w:numPr>
        <w:spacing w:after="100" w:line="300"/>
      </w:pPr>
      <w:r>
        <w:rPr>
          <w:rFonts w:ascii="Calibri" w:cs="Calibri" w:eastAsia="Calibri" w:hAnsi="Calibri"/>
          <w:sz w:val="22"/>
          <w:szCs w:val="22"/>
        </w:rPr>
        <w:t xml:space="preserve">La couche de persistance est MongoDB, adressée en asyncio via le driver motor.</w:t>
      </w:r>
    </w:p>
    <w:p>
      <w:pPr>
        <w:pStyle w:val="ListParagraph"/>
        <w:numPr>
          <w:ilvl w:val="0"/>
          <w:numId w:val="1"/>
        </w:numPr>
        <w:spacing w:after="100" w:line="300"/>
      </w:pPr>
      <w:r>
        <w:rPr>
          <w:rFonts w:ascii="Calibri" w:cs="Calibri" w:eastAsia="Calibri" w:hAnsi="Calibri"/>
          <w:sz w:val="22"/>
          <w:szCs w:val="22"/>
        </w:rPr>
        <w:t xml:space="preserve">Le frontend est développé par Zidane en Next.js avec TypeScript sur runtime Node.js LTS.</w:t>
      </w:r>
    </w:p>
    <w:p>
      <w:pPr>
        <w:pStyle w:val="ListParagraph"/>
        <w:numPr>
          <w:ilvl w:val="0"/>
          <w:numId w:val="1"/>
        </w:numPr>
        <w:spacing w:after="100" w:line="300"/>
      </w:pPr>
      <w:r>
        <w:rPr>
          <w:rFonts w:ascii="Calibri" w:cs="Calibri" w:eastAsia="Calibri" w:hAnsi="Calibri"/>
          <w:sz w:val="22"/>
          <w:szCs w:val="22"/>
        </w:rPr>
        <w:t xml:space="preserve">Le reverse proxy du serveur d'hébergement est Nginx et reste en l'état ; aucun reverse proxy applicatif n'est ajouté.</w:t>
      </w:r>
    </w:p>
    <w:p>
      <w:pPr>
        <w:pStyle w:val="ListParagraph"/>
        <w:numPr>
          <w:ilvl w:val="0"/>
          <w:numId w:val="1"/>
        </w:numPr>
        <w:spacing w:after="100" w:line="300"/>
      </w:pPr>
      <w:r>
        <w:rPr>
          <w:rFonts w:ascii="Calibri" w:cs="Calibri" w:eastAsia="Calibri" w:hAnsi="Calibri"/>
          <w:sz w:val="22"/>
          <w:szCs w:val="22"/>
        </w:rPr>
        <w:t xml:space="preserve">Le gestionnaire de dépendances backend est uv ; le gestionnaire de dépendances frontend est npm.</w:t>
      </w:r>
    </w:p>
    <w:p>
      <w:pPr>
        <w:pStyle w:val="ListParagraph"/>
        <w:numPr>
          <w:ilvl w:val="0"/>
          <w:numId w:val="1"/>
        </w:numPr>
        <w:spacing w:after="100" w:line="300"/>
      </w:pPr>
      <w:r>
        <w:rPr>
          <w:rFonts w:ascii="Calibri" w:cs="Calibri" w:eastAsia="Calibri" w:hAnsi="Calibri"/>
          <w:sz w:val="22"/>
          <w:szCs w:val="22"/>
        </w:rPr>
        <w:t xml:space="preserve">Toute image et toute bibliothèque native embarquée doit être compatible ARM64.</w:t>
      </w:r>
    </w:p>
    <w:p>
      <w:pPr>
        <w:spacing w:after="200" w:before="0" w:line="320"/>
        <w:jc w:val="both"/>
      </w:pPr>
      <w:r>
        <w:rPr>
          <w:rFonts w:ascii="Calibri" w:cs="Calibri" w:eastAsia="Calibri" w:hAnsi="Calibri"/>
          <w:b w:val="false"/>
          <w:bCs w:val="false"/>
          <w:i w:val="false"/>
          <w:iCs w:val="false"/>
          <w:color w:val="000000"/>
          <w:sz w:val="22"/>
          <w:szCs w:val="22"/>
        </w:rPr>
        <w:t xml:space="preserve"/>
      </w:r>
    </w:p>
    <w:p>
      <w:pPr>
        <w:pStyle w:val="Heading1"/>
        <w:spacing w:after="200" w:before="360"/>
      </w:pPr>
      <w:r>
        <w:rPr>
          <w:rFonts w:ascii="Calibri" w:cs="Calibri" w:eastAsia="Calibri" w:hAnsi="Calibri"/>
          <w:b/>
          <w:bCs/>
          <w:color w:val="6B2E9E"/>
          <w:sz w:val="32"/>
          <w:szCs w:val="32"/>
        </w:rPr>
        <w:t xml:space="preserve">9. Points ouverts, à confirmer par la Direction Technique</w:t>
      </w:r>
    </w:p>
    <w:p>
      <w:pPr>
        <w:pStyle w:val="ListParagraph"/>
        <w:numPr>
          <w:ilvl w:val="0"/>
          <w:numId w:val="1"/>
        </w:numPr>
        <w:spacing w:after="100" w:line="300"/>
      </w:pPr>
      <w:r>
        <w:rPr>
          <w:rFonts w:ascii="Calibri" w:cs="Calibri" w:eastAsia="Calibri" w:hAnsi="Calibri"/>
          <w:sz w:val="22"/>
          <w:szCs w:val="22"/>
        </w:rPr>
        <w:t xml:space="preserve">Version exacte de Node.js LTS retenue pour le frontend, à confirmer par Zidane en fonction de la version Next.js cible.</w:t>
      </w:r>
    </w:p>
    <w:p>
      <w:pPr>
        <w:pStyle w:val="ListParagraph"/>
        <w:numPr>
          <w:ilvl w:val="0"/>
          <w:numId w:val="1"/>
        </w:numPr>
        <w:spacing w:after="100" w:line="300"/>
      </w:pPr>
      <w:r>
        <w:rPr>
          <w:rFonts w:ascii="Calibri" w:cs="Calibri" w:eastAsia="Calibri" w:hAnsi="Calibri"/>
          <w:sz w:val="22"/>
          <w:szCs w:val="22"/>
        </w:rPr>
        <w:t xml:space="preserve">Choix d'un système d'authentification interne au Loader pour les opérateurs Super-Admin et Admin, distinct de user-service : à préciser dans le Software Design Document du Loader.</w:t>
      </w:r>
    </w:p>
    <w:p>
      <w:pPr>
        <w:pStyle w:val="ListParagraph"/>
        <w:numPr>
          <w:ilvl w:val="0"/>
          <w:numId w:val="1"/>
        </w:numPr>
        <w:spacing w:after="100" w:line="300"/>
      </w:pPr>
      <w:r>
        <w:rPr>
          <w:rFonts w:ascii="Calibri" w:cs="Calibri" w:eastAsia="Calibri" w:hAnsi="Calibri"/>
          <w:sz w:val="22"/>
          <w:szCs w:val="22"/>
        </w:rPr>
        <w:t xml:space="preserve">Politique de rétention MongoDB pour les logs SIEM applicatif du Loader, à aligner sur les exigences RGPD du projet.</w:t>
      </w:r>
    </w:p>
    <w:p>
      <w:pPr>
        <w:spacing w:after="200" w:before="0" w:line="320"/>
        <w:jc w:val="both"/>
      </w:pPr>
      <w:r>
        <w:rPr>
          <w:rFonts w:ascii="Calibri" w:cs="Calibri" w:eastAsia="Calibri" w:hAnsi="Calibri"/>
          <w:b w:val="false"/>
          <w:bCs w:val="false"/>
          <w:i w:val="false"/>
          <w:iCs w:val="false"/>
          <w:color w:val="000000"/>
          <w:sz w:val="22"/>
          <w:szCs w:val="22"/>
        </w:rPr>
        <w:t xml:space="preserve"/>
      </w:r>
    </w:p>
    <w:p>
      <w:pPr>
        <w:spacing w:after="200" w:before="0" w:line="320"/>
        <w:jc w:val="both"/>
      </w:pPr>
      <w:r>
        <w:rPr>
          <w:rFonts w:ascii="Calibri" w:cs="Calibri" w:eastAsia="Calibri" w:hAnsi="Calibri"/>
          <w:b w:val="false"/>
          <w:bCs w:val="false"/>
          <w:i w:val="false"/>
          <w:iCs w:val="false"/>
          <w:color w:val="000000"/>
          <w:sz w:val="22"/>
          <w:szCs w:val="22"/>
        </w:rPr>
        <w:t xml:space="preserve"/>
      </w:r>
    </w:p>
    <w:p>
      <w:pPr>
        <w:spacing w:after="120" w:before="0" w:line="320"/>
        <w:jc w:val="center"/>
      </w:pPr>
      <w:r>
        <w:rPr>
          <w:rFonts w:ascii="Calibri" w:cs="Calibri" w:eastAsia="Calibri" w:hAnsi="Calibri"/>
          <w:b w:val="false"/>
          <w:bCs w:val="false"/>
          <w:i/>
          <w:iCs/>
          <w:color w:val="555555"/>
          <w:sz w:val="22"/>
          <w:szCs w:val="22"/>
        </w:rPr>
        <w:t xml:space="preserve">Document maintenu par Kuate Abdel Yaniv, Tech Lead / DevSecOps — Loader FinZuu.</w:t>
      </w:r>
    </w:p>
    <w:p>
      <w:pPr>
        <w:spacing w:after="120" w:before="0" w:line="320"/>
        <w:jc w:val="center"/>
      </w:pPr>
      <w:r>
        <w:rPr>
          <w:rFonts w:ascii="Calibri" w:cs="Calibri" w:eastAsia="Calibri" w:hAnsi="Calibri"/>
          <w:b w:val="false"/>
          <w:bCs w:val="false"/>
          <w:i/>
          <w:iCs/>
          <w:color w:val="555555"/>
          <w:sz w:val="22"/>
          <w:szCs w:val="22"/>
        </w:rPr>
        <w:t xml:space="preserve">Référence : FZ-STACK-LOADER-2026-001 — v1.0 — 2026-07-24</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FZ-STACK-LOADER-2026-001 — 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8"/>
        <w:szCs w:val="18"/>
      </w:rPr>
      <w:t xml:space="preserve">Stack Technique — Loader FinZuu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 Technique — Service Loader FinZuu</dc:title>
  <dc:creator>Kuate Abdel Yaniv</dc:creator>
  <dc:description>Définition contractuelle de la stack technique du service Loader FinZuu</dc:description>
  <cp:lastModifiedBy>Un-named</cp:lastModifiedBy>
  <cp:revision>1</cp:revision>
  <dcterms:created xsi:type="dcterms:W3CDTF">2026-07-24T14:19:41.091Z</dcterms:created>
  <dcterms:modified xsi:type="dcterms:W3CDTF">2026-07-24T14:19:41.108Z</dcterms:modified>
</cp:coreProperties>
</file>

<file path=docProps/custom.xml><?xml version="1.0" encoding="utf-8"?>
<Properties xmlns="http://schemas.openxmlformats.org/officeDocument/2006/custom-properties" xmlns:vt="http://schemas.openxmlformats.org/officeDocument/2006/docPropsVTypes"/>
</file>