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t xml:space="preserve"/>
      </w:r>
    </w:p>
    <w:p>
      <w:pPr>
        <w:spacing w:after="200"/>
        <w:jc w:val="center"/>
      </w:pPr>
      <w:r>
        <w:rPr>
          <w:b/>
          <w:bCs/>
          <w:color w:val="6B2E9E"/>
          <w:sz w:val="36"/>
          <w:szCs w:val="36"/>
        </w:rPr>
        <w:t xml:space="preserve">FinZuu SAS</w:t>
      </w:r>
    </w:p>
    <w:p>
      <w:pPr>
        <w:pBdr>
          <w:bottom w:val="single" w:color="4CAF50" w:sz="12"/>
        </w:pBdr>
        <w:spacing w:after="600"/>
        <w:jc w:val="center"/>
      </w:pPr>
      <w:r>
        <w:rPr>
          <w:sz w:val="4"/>
          <w:szCs w:val="4"/>
        </w:rPr>
        <w:t xml:space="preserve"/>
      </w:r>
    </w:p>
    <w:p>
      <w:pPr>
        <w:spacing w:after="400" w:before="400"/>
        <w:jc w:val="center"/>
      </w:pPr>
      <w:r>
        <w:rPr>
          <w:b/>
          <w:bCs/>
          <w:color w:val="6B2E9E"/>
          <w:sz w:val="44"/>
          <w:szCs w:val="44"/>
        </w:rPr>
        <w:t xml:space="preserve">CAHIER DES CHARGES</w:t>
      </w:r>
    </w:p>
    <w:p>
      <w:pPr>
        <w:spacing w:after="200"/>
        <w:jc w:val="center"/>
      </w:pPr>
      <w:r>
        <w:rPr>
          <w:i/>
          <w:iCs/>
          <w:color w:val="666666"/>
          <w:sz w:val="26"/>
          <w:szCs w:val="26"/>
        </w:rPr>
        <w:t xml:space="preserve">Loader d'alimentation des environnements TEST et DEMO</w:t>
      </w:r>
    </w:p>
    <w:p>
      <w:pPr>
        <w:spacing w:after="800"/>
        <w:jc w:val="center"/>
      </w:pPr>
      <w:r>
        <w:rPr>
          <w:i/>
          <w:iCs/>
          <w:color w:val="666666"/>
          <w:sz w:val="22"/>
          <w:szCs w:val="22"/>
        </w:rPr>
        <w:t xml:space="preserve">Module Sprint 1-4</w:t>
      </w:r>
    </w:p>
    <w:p>
      <w:pPr>
        <w:spacing w:after="100"/>
        <w:jc w:val="center"/>
      </w:pPr>
      <w:r>
        <w:rPr>
          <w:sz w:val="22"/>
          <w:szCs w:val="22"/>
        </w:rPr>
        <w:t xml:space="preserve">Référence : </w:t>
      </w:r>
      <w:r>
        <w:rPr>
          <w:b/>
          <w:bCs/>
          <w:sz w:val="22"/>
          <w:szCs w:val="22"/>
        </w:rPr>
        <w:t xml:space="preserve">FZ-CDC-LOADER-2026-001</w:t>
      </w:r>
    </w:p>
    <w:p>
      <w:pPr>
        <w:spacing w:after="100"/>
        <w:jc w:val="center"/>
      </w:pPr>
      <w:r>
        <w:rPr>
          <w:sz w:val="22"/>
          <w:szCs w:val="22"/>
        </w:rPr>
        <w:t xml:space="preserve">Version : </w:t>
      </w:r>
      <w:r>
        <w:rPr>
          <w:b/>
          <w:bCs/>
          <w:color w:val="4CAF50"/>
          <w:sz w:val="22"/>
          <w:szCs w:val="22"/>
        </w:rPr>
        <w:t xml:space="preserve">1.2</w:t>
      </w:r>
    </w:p>
    <w:p>
      <w:pPr>
        <w:spacing w:after="100"/>
        <w:jc w:val="center"/>
      </w:pPr>
      <w:r>
        <w:rPr>
          <w:sz w:val="22"/>
          <w:szCs w:val="22"/>
        </w:rPr>
        <w:t xml:space="preserve">Date : </w:t>
      </w:r>
      <w:r>
        <w:rPr>
          <w:b/>
          <w:bCs/>
          <w:sz w:val="22"/>
          <w:szCs w:val="22"/>
        </w:rPr>
        <w:t xml:space="preserve">22 juillet 2026</w:t>
      </w:r>
    </w:p>
    <w:p>
      <w:pPr>
        <w:spacing w:after="100"/>
        <w:jc w:val="center"/>
      </w:pPr>
      <w:r>
        <w:rPr>
          <w:sz w:val="22"/>
          <w:szCs w:val="22"/>
        </w:rPr>
        <w:t xml:space="preserve">Statut : </w:t>
      </w:r>
      <w:r>
        <w:rPr>
          <w:b/>
          <w:bCs/>
          <w:sz w:val="22"/>
          <w:szCs w:val="22"/>
        </w:rPr>
        <w:t xml:space="preserve">Draft — pour validation Direction Technique</w:t>
      </w:r>
    </w:p>
    <w:p>
      <w:pPr>
        <w:spacing w:after="100"/>
        <w:jc w:val="center"/>
      </w:pPr>
      <w:r>
        <w:rPr>
          <w:sz w:val="22"/>
          <w:szCs w:val="22"/>
        </w:rPr>
        <w:t xml:space="preserve">Auteur : </w:t>
      </w:r>
      <w:r>
        <w:rPr>
          <w:b/>
          <w:bCs/>
          <w:sz w:val="22"/>
          <w:szCs w:val="22"/>
        </w:rPr>
        <w:t xml:space="preserve">Kuate Abdel Yaniv, QA Lead FinZuu SAS</w:t>
      </w:r>
    </w:p>
    <w:p>
      <w:pPr>
        <w:spacing w:after="100"/>
        <w:jc w:val="center"/>
      </w:pPr>
      <w:r>
        <w:rPr>
          <w:sz w:val="22"/>
          <w:szCs w:val="22"/>
        </w:rPr>
        <w:t xml:space="preserve">Contact : </w:t>
      </w:r>
      <w:r>
        <w:rPr>
          <w:b/>
          <w:bCs/>
          <w:color w:val="6B2E9E"/>
          <w:sz w:val="22"/>
          <w:szCs w:val="22"/>
        </w:rPr>
        <w:t xml:space="preserve">ak@finzuu.com</w:t>
      </w:r>
    </w:p>
    <w:p>
      <w:pPr>
        <w:spacing w:after="100"/>
        <w:jc w:val="center"/>
      </w:pPr>
      <w:r>
        <w:rPr>
          <w:sz w:val="22"/>
          <w:szCs w:val="22"/>
        </w:rPr>
        <w:t xml:space="preserve">Destinataires : </w:t>
      </w:r>
      <w:r>
        <w:rPr>
          <w:b/>
          <w:bCs/>
          <w:sz w:val="22"/>
          <w:szCs w:val="22"/>
        </w:rPr>
        <w:t xml:space="preserve">JJ Bwanga (COO), Raphaël Moutot (PM)</w:t>
      </w:r>
    </w:p>
    <w:p>
      <w:pPr>
        <w:spacing w:before="200"/>
        <w:jc w:val="center"/>
      </w:pPr>
      <w:r>
        <w:rPr>
          <w:sz w:val="22"/>
          <w:szCs w:val="22"/>
        </w:rPr>
        <w:t xml:space="preserve">Classification : </w:t>
      </w:r>
      <w:r>
        <w:rPr>
          <w:b/>
          <w:bCs/>
          <w:color w:val="6B2E9E"/>
          <w:sz w:val="22"/>
          <w:szCs w:val="22"/>
        </w:rPr>
        <w:t xml:space="preserve">Interne — Confidentiel projet</w:t>
      </w:r>
    </w:p>
    <w:p>
      <w:r>
        <w:br w:type="page"/>
      </w:r>
    </w:p>
    <w:p>
      <w:pPr>
        <w:pStyle w:val="Heading1"/>
        <w:spacing w:after="240" w:before="480"/>
      </w:pPr>
      <w:r>
        <w:rPr>
          <w:b/>
          <w:bCs/>
          <w:color w:val="6B2E9E"/>
          <w:sz w:val="32"/>
          <w:szCs w:val="32"/>
        </w:rPr>
        <w:t xml:space="preserve">Historique des versions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000"/>
        <w:gridCol w:w="4600"/>
      </w:tblGrid>
      <w:tr>
        <w:trPr>
          <w:tblHeader/>
        </w:trPr>
        <w:tc>
          <w:tcPr>
            <w:tcW w:type="dxa" w:w="1000"/>
            <w:shd w:fill="6B2E9E" w:val="clear"/>
            <w:tcMar>
              <w:top w:type="dxa" w:w="100"/>
              <w:left w:type="dxa" w:w="120"/>
              <w:bottom w:type="dxa" w:w="100"/>
              <w:right w:type="dxa" w:w="120"/>
            </w:tcMar>
          </w:tcPr>
          <w:p>
            <w:pPr>
              <w:jc w:val="center"/>
            </w:pPr>
            <w:r>
              <w:rPr>
                <w:b/>
                <w:bCs/>
                <w:color w:val="FFFFFF"/>
                <w:sz w:val="20"/>
                <w:szCs w:val="20"/>
              </w:rPr>
              <w:t xml:space="preserve">Version</w:t>
            </w:r>
          </w:p>
        </w:tc>
        <w:tc>
          <w:tcPr>
            <w:tcW w:type="dxa" w:w="1600"/>
            <w:shd w:fill="6B2E9E" w:val="clear"/>
            <w:tcMar>
              <w:top w:type="dxa" w:w="100"/>
              <w:left w:type="dxa" w:w="120"/>
              <w:bottom w:type="dxa" w:w="100"/>
              <w:right w:type="dxa" w:w="120"/>
            </w:tcMar>
          </w:tcPr>
          <w:p>
            <w:pPr>
              <w:jc w:val="center"/>
            </w:pPr>
            <w:r>
              <w:rPr>
                <w:b/>
                <w:bCs/>
                <w:color w:val="FFFFFF"/>
                <w:sz w:val="20"/>
                <w:szCs w:val="20"/>
              </w:rPr>
              <w:t xml:space="preserve">Date</w:t>
            </w:r>
          </w:p>
        </w:tc>
        <w:tc>
          <w:tcPr>
            <w:tcW w:type="dxa" w:w="2000"/>
            <w:shd w:fill="6B2E9E" w:val="clear"/>
            <w:tcMar>
              <w:top w:type="dxa" w:w="100"/>
              <w:left w:type="dxa" w:w="120"/>
              <w:bottom w:type="dxa" w:w="100"/>
              <w:right w:type="dxa" w:w="120"/>
            </w:tcMar>
          </w:tcPr>
          <w:p>
            <w:pPr>
              <w:jc w:val="center"/>
            </w:pPr>
            <w:r>
              <w:rPr>
                <w:b/>
                <w:bCs/>
                <w:color w:val="FFFFFF"/>
                <w:sz w:val="20"/>
                <w:szCs w:val="20"/>
              </w:rPr>
              <w:t xml:space="preserve">Auteur</w:t>
            </w:r>
          </w:p>
        </w:tc>
        <w:tc>
          <w:tcPr>
            <w:tcW w:type="dxa" w:w="4600"/>
            <w:shd w:fill="6B2E9E" w:val="clear"/>
            <w:tcMar>
              <w:top w:type="dxa" w:w="100"/>
              <w:left w:type="dxa" w:w="120"/>
              <w:bottom w:type="dxa" w:w="100"/>
              <w:right w:type="dxa" w:w="120"/>
            </w:tcMar>
          </w:tcPr>
          <w:p>
            <w:pPr>
              <w:jc w:val="center"/>
            </w:pPr>
            <w:r>
              <w:rPr>
                <w:b/>
                <w:bCs/>
                <w:color w:val="FFFFFF"/>
                <w:sz w:val="20"/>
                <w:szCs w:val="20"/>
              </w:rPr>
              <w:t xml:space="preserve">Modifications principales</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1.0</w:t>
            </w:r>
          </w:p>
        </w:tc>
        <w:tc>
          <w:tcPr>
            <w:tcW w:type="dxa" w:w="1600"/>
            <w:tcMar>
              <w:top w:type="dxa" w:w="80"/>
              <w:left w:type="dxa" w:w="120"/>
              <w:bottom w:type="dxa" w:w="80"/>
              <w:right w:type="dxa" w:w="120"/>
            </w:tcMar>
          </w:tcPr>
          <w:p>
            <w:pPr>
              <w:jc w:val="left"/>
            </w:pPr>
            <w:r>
              <w:rPr>
                <w:b w:val="false"/>
                <w:bCs w:val="false"/>
                <w:color w:val="000000"/>
                <w:sz w:val="20"/>
                <w:szCs w:val="20"/>
              </w:rPr>
              <w:t xml:space="preserve">17 juillet 2026</w:t>
            </w:r>
          </w:p>
        </w:tc>
        <w:tc>
          <w:tcPr>
            <w:tcW w:type="dxa" w:w="2000"/>
            <w:tcMar>
              <w:top w:type="dxa" w:w="80"/>
              <w:left w:type="dxa" w:w="120"/>
              <w:bottom w:type="dxa" w:w="80"/>
              <w:right w:type="dxa" w:w="120"/>
            </w:tcMar>
          </w:tcPr>
          <w:p>
            <w:pPr>
              <w:jc w:val="left"/>
            </w:pPr>
            <w:r>
              <w:rPr>
                <w:b w:val="false"/>
                <w:bCs w:val="false"/>
                <w:color w:val="000000"/>
                <w:sz w:val="20"/>
                <w:szCs w:val="20"/>
              </w:rPr>
              <w:t xml:space="preserve">K. A. Yaniv</w:t>
            </w:r>
          </w:p>
        </w:tc>
        <w:tc>
          <w:tcPr>
            <w:tcW w:type="dxa" w:w="4600"/>
            <w:tcMar>
              <w:top w:type="dxa" w:w="80"/>
              <w:left w:type="dxa" w:w="120"/>
              <w:bottom w:type="dxa" w:w="80"/>
              <w:right w:type="dxa" w:w="120"/>
            </w:tcMar>
          </w:tcPr>
          <w:p>
            <w:pPr>
              <w:jc w:val="left"/>
            </w:pPr>
            <w:r>
              <w:rPr>
                <w:b w:val="false"/>
                <w:bCs w:val="false"/>
                <w:color w:val="000000"/>
                <w:sz w:val="20"/>
                <w:szCs w:val="20"/>
              </w:rPr>
              <w:t xml:space="preserve">Version initiale, validée par Direction Technique</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1.1</w:t>
            </w:r>
          </w:p>
        </w:tc>
        <w:tc>
          <w:tcPr>
            <w:tcW w:type="dxa" w:w="1600"/>
            <w:tcMar>
              <w:top w:type="dxa" w:w="80"/>
              <w:left w:type="dxa" w:w="120"/>
              <w:bottom w:type="dxa" w:w="80"/>
              <w:right w:type="dxa" w:w="120"/>
            </w:tcMar>
          </w:tcPr>
          <w:p>
            <w:pPr>
              <w:jc w:val="left"/>
            </w:pPr>
            <w:r>
              <w:rPr>
                <w:b w:val="false"/>
                <w:bCs w:val="false"/>
                <w:color w:val="000000"/>
                <w:sz w:val="20"/>
                <w:szCs w:val="20"/>
              </w:rPr>
              <w:t xml:space="preserve">18 juillet 2026</w:t>
            </w:r>
          </w:p>
        </w:tc>
        <w:tc>
          <w:tcPr>
            <w:tcW w:type="dxa" w:w="2000"/>
            <w:tcMar>
              <w:top w:type="dxa" w:w="80"/>
              <w:left w:type="dxa" w:w="120"/>
              <w:bottom w:type="dxa" w:w="80"/>
              <w:right w:type="dxa" w:w="120"/>
            </w:tcMar>
          </w:tcPr>
          <w:p>
            <w:pPr>
              <w:jc w:val="left"/>
            </w:pPr>
            <w:r>
              <w:rPr>
                <w:b w:val="false"/>
                <w:bCs w:val="false"/>
                <w:color w:val="000000"/>
                <w:sz w:val="20"/>
                <w:szCs w:val="20"/>
              </w:rPr>
              <w:t xml:space="preserve">K. A. Yaniv</w:t>
            </w:r>
          </w:p>
        </w:tc>
        <w:tc>
          <w:tcPr>
            <w:tcW w:type="dxa" w:w="4600"/>
            <w:tcMar>
              <w:top w:type="dxa" w:w="80"/>
              <w:left w:type="dxa" w:w="120"/>
              <w:bottom w:type="dxa" w:w="80"/>
              <w:right w:type="dxa" w:w="120"/>
            </w:tcMar>
          </w:tcPr>
          <w:p>
            <w:pPr>
              <w:jc w:val="left"/>
            </w:pPr>
            <w:r>
              <w:rPr>
                <w:b w:val="false"/>
                <w:bCs w:val="false"/>
                <w:color w:val="000000"/>
                <w:sz w:val="20"/>
                <w:szCs w:val="20"/>
              </w:rPr>
              <w:t xml:space="preserve">Corrections Direction Technique : hiérarchie opérationnelle à 6 niveaux, distinction Company/IMF/Lender, glossaire enrichi, arbre géographique 5 niveaux, mention Sprint 1-4</w:t>
            </w:r>
          </w:p>
        </w:tc>
      </w:tr>
      <w:tr>
        <w:tc>
          <w:tcPr>
            <w:tcW w:type="dxa" w:w="1000"/>
            <w:shd w:fill="E8F5E9" w:val="clear"/>
            <w:tcMar>
              <w:top w:type="dxa" w:w="80"/>
              <w:left w:type="dxa" w:w="120"/>
              <w:bottom w:type="dxa" w:w="80"/>
              <w:right w:type="dxa" w:w="120"/>
            </w:tcMar>
          </w:tcPr>
          <w:p>
            <w:pPr>
              <w:jc w:val="left"/>
            </w:pPr>
            <w:r>
              <w:rPr>
                <w:b/>
                <w:bCs/>
                <w:color w:val="000000"/>
                <w:sz w:val="20"/>
                <w:szCs w:val="20"/>
              </w:rPr>
              <w:t xml:space="preserve">1.2</w:t>
            </w:r>
          </w:p>
        </w:tc>
        <w:tc>
          <w:tcPr>
            <w:tcW w:type="dxa" w:w="1600"/>
            <w:shd w:fill="E8F5E9" w:val="clear"/>
            <w:tcMar>
              <w:top w:type="dxa" w:w="80"/>
              <w:left w:type="dxa" w:w="120"/>
              <w:bottom w:type="dxa" w:w="80"/>
              <w:right w:type="dxa" w:w="120"/>
            </w:tcMar>
          </w:tcPr>
          <w:p>
            <w:pPr>
              <w:jc w:val="left"/>
            </w:pPr>
            <w:r>
              <w:rPr>
                <w:b/>
                <w:bCs/>
                <w:color w:val="000000"/>
                <w:sz w:val="20"/>
                <w:szCs w:val="20"/>
              </w:rPr>
              <w:t xml:space="preserve">22 juillet 2026</w:t>
            </w:r>
          </w:p>
        </w:tc>
        <w:tc>
          <w:tcPr>
            <w:tcW w:type="dxa" w:w="2000"/>
            <w:shd w:fill="E8F5E9" w:val="clear"/>
            <w:tcMar>
              <w:top w:type="dxa" w:w="80"/>
              <w:left w:type="dxa" w:w="120"/>
              <w:bottom w:type="dxa" w:w="80"/>
              <w:right w:type="dxa" w:w="120"/>
            </w:tcMar>
          </w:tcPr>
          <w:p>
            <w:pPr>
              <w:jc w:val="left"/>
            </w:pPr>
            <w:r>
              <w:rPr>
                <w:b/>
                <w:bCs/>
                <w:color w:val="000000"/>
                <w:sz w:val="20"/>
                <w:szCs w:val="20"/>
              </w:rPr>
              <w:t xml:space="preserve">K. A. Yaniv</w:t>
            </w:r>
          </w:p>
        </w:tc>
        <w:tc>
          <w:tcPr>
            <w:tcW w:type="dxa" w:w="4600"/>
            <w:shd w:fill="E8F5E9" w:val="clear"/>
            <w:tcMar>
              <w:top w:type="dxa" w:w="80"/>
              <w:left w:type="dxa" w:w="120"/>
              <w:bottom w:type="dxa" w:w="80"/>
              <w:right w:type="dxa" w:w="120"/>
            </w:tcMar>
          </w:tcPr>
          <w:p>
            <w:pPr>
              <w:jc w:val="left"/>
            </w:pPr>
            <w:r>
              <w:rPr>
                <w:b/>
                <w:bCs/>
                <w:color w:val="000000"/>
                <w:sz w:val="20"/>
                <w:szCs w:val="20"/>
              </w:rPr>
              <w:t xml:space="preserve">Intégration de la méthodologie de simulation comportementale du référent loan-simulation (Duhamel). Ajouts : objectif SMART OBJ-07, chapitre 6.5 Cas d'utilisation (5 UC formalisés UML), module 7.8 Simulation comportementale (EF-67 à EF-72), module 7.9 Alimentation des comptes financiers (EF-73 à EF-75), 3 exigences non-fonctionnelles ENF-13 à ENF-15, 4 critères de recette CR-09 à CR-12, contrainte CO-04, hypothèse H-06, risques R-09 et R-10, livrables L-11 et L-12, jalon J-08, Annexe D Méthodologie de simulation, Annexe E Catalogue produits crédit officiel (Nano, Macro, BNPL, ReadyToGo).</w:t>
            </w:r>
          </w:p>
        </w:tc>
      </w:tr>
    </w:tbl>
    <w:p>
      <w:pPr>
        <w:spacing w:after="120"/>
        <w:jc w:val="both"/>
      </w:pPr>
      <w:r>
        <w:rPr>
          <w:b w:val="false"/>
          <w:bCs w:val="false"/>
          <w:i w:val="false"/>
          <w:iCs w:val="false"/>
          <w:sz w:val="22"/>
          <w:szCs w:val="22"/>
        </w:rPr>
        <w:t xml:space="preserve"/>
      </w:r>
    </w:p>
    <w:p>
      <w:pPr>
        <w:spacing w:after="120"/>
        <w:jc w:val="both"/>
      </w:pPr>
      <w:r>
        <w:rPr>
          <w:b w:val="false"/>
          <w:bCs w:val="false"/>
          <w:i/>
          <w:iCs/>
          <w:sz w:val="22"/>
          <w:szCs w:val="22"/>
        </w:rPr>
        <w:t xml:space="preserve">Les ajouts de la version 1.2 sont signalés dans le corps du document par un fond vert clair et une mention explicite « AJOUT V1.2 ». L'intégralité du contenu validé en version 1.1 est préservée.</w:t>
      </w:r>
    </w:p>
    <w:p>
      <w:r>
        <w:br w:type="page"/>
      </w:r>
    </w:p>
    <w:p>
      <w:pPr>
        <w:pStyle w:val="Heading1"/>
        <w:spacing w:after="240" w:before="480"/>
      </w:pPr>
      <w:r>
        <w:rPr>
          <w:b/>
          <w:bCs/>
          <w:color w:val="6B2E9E"/>
          <w:sz w:val="32"/>
          <w:szCs w:val="32"/>
        </w:rPr>
        <w:t xml:space="preserve">Sommaire</w:t>
      </w:r>
    </w:p>
    <w:p>
      <w:pPr>
        <w:spacing w:after="120"/>
        <w:jc w:val="both"/>
      </w:pPr>
      <w:r>
        <w:rPr>
          <w:b w:val="false"/>
          <w:bCs w:val="false"/>
          <w:i w:val="false"/>
          <w:iCs w:val="false"/>
          <w:sz w:val="22"/>
          <w:szCs w:val="22"/>
        </w:rPr>
        <w:t xml:space="preserve">1. Résumé exécutif</w:t>
      </w:r>
    </w:p>
    <w:p>
      <w:pPr>
        <w:spacing w:after="120"/>
        <w:jc w:val="both"/>
      </w:pPr>
      <w:r>
        <w:rPr>
          <w:b w:val="false"/>
          <w:bCs w:val="false"/>
          <w:i w:val="false"/>
          <w:iCs w:val="false"/>
          <w:sz w:val="22"/>
          <w:szCs w:val="22"/>
        </w:rPr>
        <w:t xml:space="preserve">2. Contexte et justification</w:t>
      </w:r>
    </w:p>
    <w:p>
      <w:pPr>
        <w:spacing w:after="120"/>
        <w:jc w:val="both"/>
      </w:pPr>
      <w:r>
        <w:rPr>
          <w:b w:val="false"/>
          <w:bCs w:val="false"/>
          <w:i w:val="false"/>
          <w:iCs w:val="false"/>
          <w:sz w:val="22"/>
          <w:szCs w:val="22"/>
        </w:rPr>
        <w:t xml:space="preserve">3. Objectifs du projet</w:t>
      </w:r>
    </w:p>
    <w:p>
      <w:pPr>
        <w:spacing w:after="120"/>
        <w:jc w:val="both"/>
      </w:pPr>
      <w:r>
        <w:rPr>
          <w:b w:val="false"/>
          <w:bCs w:val="false"/>
          <w:i w:val="false"/>
          <w:iCs w:val="false"/>
          <w:sz w:val="22"/>
          <w:szCs w:val="22"/>
        </w:rPr>
        <w:t xml:space="preserve">4. Périmètre</w:t>
      </w:r>
    </w:p>
    <w:p>
      <w:pPr>
        <w:spacing w:after="120"/>
        <w:jc w:val="both"/>
      </w:pPr>
      <w:r>
        <w:rPr>
          <w:b w:val="false"/>
          <w:bCs w:val="false"/>
          <w:i w:val="false"/>
          <w:iCs w:val="false"/>
          <w:sz w:val="22"/>
          <w:szCs w:val="22"/>
        </w:rPr>
        <w:t xml:space="preserve">5. Acteurs et parties prenantes</w:t>
      </w:r>
    </w:p>
    <w:p>
      <w:pPr>
        <w:spacing w:after="120"/>
        <w:jc w:val="both"/>
      </w:pPr>
      <w:r>
        <w:rPr>
          <w:b w:val="false"/>
          <w:bCs w:val="false"/>
          <w:i w:val="false"/>
          <w:iCs w:val="false"/>
          <w:sz w:val="22"/>
          <w:szCs w:val="22"/>
        </w:rPr>
        <w:t xml:space="preserve">6. Modèle métier</w:t>
      </w:r>
    </w:p>
    <w:p>
      <w:pPr>
        <w:spacing w:after="120"/>
        <w:jc w:val="both"/>
      </w:pPr>
      <w:r>
        <w:rPr>
          <w:b w:val="false"/>
          <w:bCs w:val="false"/>
          <w:i w:val="false"/>
          <w:iCs w:val="false"/>
          <w:sz w:val="22"/>
          <w:szCs w:val="22"/>
        </w:rPr>
        <w:t xml:space="preserve">7. Exigences fonctionnelles</w:t>
      </w:r>
    </w:p>
    <w:p>
      <w:pPr>
        <w:spacing w:after="120"/>
        <w:jc w:val="both"/>
      </w:pPr>
      <w:r>
        <w:rPr>
          <w:b w:val="false"/>
          <w:bCs w:val="false"/>
          <w:i w:val="false"/>
          <w:iCs w:val="false"/>
          <w:sz w:val="22"/>
          <w:szCs w:val="22"/>
        </w:rPr>
        <w:t xml:space="preserve">8. Exigences non fonctionnelles</w:t>
      </w:r>
    </w:p>
    <w:p>
      <w:pPr>
        <w:spacing w:after="120"/>
        <w:jc w:val="both"/>
      </w:pPr>
      <w:r>
        <w:rPr>
          <w:b w:val="false"/>
          <w:bCs w:val="false"/>
          <w:i w:val="false"/>
          <w:iCs w:val="false"/>
          <w:sz w:val="22"/>
          <w:szCs w:val="22"/>
        </w:rPr>
        <w:t xml:space="preserve">9. Contraintes</w:t>
      </w:r>
    </w:p>
    <w:p>
      <w:pPr>
        <w:spacing w:after="120"/>
        <w:jc w:val="both"/>
      </w:pPr>
      <w:r>
        <w:rPr>
          <w:b w:val="false"/>
          <w:bCs w:val="false"/>
          <w:i w:val="false"/>
          <w:iCs w:val="false"/>
          <w:sz w:val="22"/>
          <w:szCs w:val="22"/>
        </w:rPr>
        <w:t xml:space="preserve">10. Hypothèses et risques</w:t>
      </w:r>
    </w:p>
    <w:p>
      <w:pPr>
        <w:spacing w:after="120"/>
        <w:jc w:val="both"/>
      </w:pPr>
      <w:r>
        <w:rPr>
          <w:b w:val="false"/>
          <w:bCs w:val="false"/>
          <w:i w:val="false"/>
          <w:iCs w:val="false"/>
          <w:sz w:val="22"/>
          <w:szCs w:val="22"/>
        </w:rPr>
        <w:t xml:space="preserve">11. Livrables et jalons</w:t>
      </w:r>
    </w:p>
    <w:p>
      <w:pPr>
        <w:spacing w:after="120"/>
        <w:jc w:val="both"/>
      </w:pPr>
      <w:r>
        <w:rPr>
          <w:b w:val="false"/>
          <w:bCs w:val="false"/>
          <w:i w:val="false"/>
          <w:iCs w:val="false"/>
          <w:sz w:val="22"/>
          <w:szCs w:val="22"/>
        </w:rPr>
        <w:t xml:space="preserve">12. Critères de recette</w:t>
      </w:r>
    </w:p>
    <w:p>
      <w:pPr>
        <w:spacing w:after="120"/>
        <w:jc w:val="both"/>
      </w:pPr>
      <w:r>
        <w:rPr>
          <w:b w:val="false"/>
          <w:bCs w:val="false"/>
          <w:i w:val="false"/>
          <w:iCs w:val="false"/>
          <w:sz w:val="22"/>
          <w:szCs w:val="22"/>
        </w:rPr>
        <w:t xml:space="preserve">13. Annexes</w:t>
      </w:r>
    </w:p>
    <w:p>
      <w:r>
        <w:br w:type="page"/>
      </w:r>
    </w:p>
    <w:p>
      <w:pPr>
        <w:pStyle w:val="Heading1"/>
        <w:spacing w:after="240" w:before="480"/>
      </w:pPr>
      <w:r>
        <w:rPr>
          <w:b/>
          <w:bCs/>
          <w:color w:val="6B2E9E"/>
          <w:sz w:val="32"/>
          <w:szCs w:val="32"/>
        </w:rPr>
        <w:t xml:space="preserve">1. Résumé exécutif</w:t>
      </w:r>
    </w:p>
    <w:p>
      <w:pPr>
        <w:spacing w:after="120"/>
        <w:jc w:val="both"/>
      </w:pPr>
      <w:r>
        <w:rPr>
          <w:b w:val="false"/>
          <w:bCs w:val="false"/>
          <w:i w:val="false"/>
          <w:iCs w:val="false"/>
          <w:sz w:val="22"/>
          <w:szCs w:val="22"/>
        </w:rPr>
        <w:t xml:space="preserve">FinZuu SAS déploie ReadyCollect, une plateforme B2B2C de services financiers destinée aux institutions de microfinance en Afrique subsaharienne. La plateforme couvre l'onboarding client, la collecte d'épargne, l'octroi de crédits, la gestion de bailleurs de fonds et les opérations de kiosque.</w:t>
      </w:r>
    </w:p>
    <w:p>
      <w:pPr>
        <w:spacing w:after="120"/>
        <w:jc w:val="both"/>
      </w:pPr>
      <w:r>
        <w:rPr>
          <w:b w:val="false"/>
          <w:bCs w:val="false"/>
          <w:i w:val="false"/>
          <w:iCs w:val="false"/>
          <w:sz w:val="22"/>
          <w:szCs w:val="22"/>
        </w:rPr>
        <w:t xml:space="preserve">À ce jour, les environnements TEST et DEMO de la plateforme ne disposent d'aucun jeu de données représentatif. Cette absence bloque trois activités stratégiques : les démonstrations commerciales auprès des prospects institutionnels (Nordic Microfinance, IFC, AFD, BAD), la validation qualité du Module Prêt, et la formation des utilisateurs finaux.</w:t>
      </w:r>
    </w:p>
    <w:p>
      <w:pPr>
        <w:spacing w:after="120"/>
        <w:jc w:val="both"/>
      </w:pPr>
      <w:r>
        <w:rPr>
          <w:b w:val="false"/>
          <w:bCs w:val="false"/>
          <w:i w:val="false"/>
          <w:iCs w:val="false"/>
          <w:sz w:val="22"/>
          <w:szCs w:val="22"/>
        </w:rPr>
        <w:t xml:space="preserve">Le présent cahier des charges spécifie un outil logiciel, dénommé Loader, dont la mission est de peupler les environnements TEST et DEMO avec des données fictives mais cohérentes, reflétant fidèlement l'écosystème financier de quatre pays cibles : Cameroun, Côte d'Ivoire, Burkina Faso et Sénégal.</w:t>
      </w:r>
    </w:p>
    <w:p>
      <w:pPr>
        <w:spacing w:after="120"/>
        <w:jc w:val="both"/>
      </w:pPr>
      <w:r>
        <w:rPr>
          <w:b w:val="false"/>
          <w:bCs w:val="false"/>
          <w:i w:val="false"/>
          <w:iCs w:val="false"/>
          <w:sz w:val="22"/>
          <w:szCs w:val="22"/>
        </w:rPr>
        <w:t xml:space="preserve">L'outil combinera deux sources de génération : d'une part l'API Faker fintech4esg pour les payloads clients et l'historique de crédit, d'autre part un générateur interne pour les entités organisationnelles absentes de Faker (compagnies, lenders institutionnels, branches, agences, kiosques, agents). Un référentiel géographique structuré sur cinq niveaux (Pays, Région, Ville, Quartier, Adresse) garantira la cohérence spatiale des données.</w:t>
      </w:r>
    </w:p>
    <w:p>
      <w:pPr>
        <w:spacing w:after="120"/>
        <w:jc w:val="both"/>
      </w:pPr>
      <w:r>
        <w:rPr>
          <w:b w:val="false"/>
          <w:bCs w:val="false"/>
          <w:i w:val="false"/>
          <w:iCs w:val="false"/>
          <w:sz w:val="22"/>
          <w:szCs w:val="22"/>
        </w:rPr>
        <w:t xml:space="preserve">Le Loader sera piloté via une interface graphique dédiée, permettant à un utilisateur non technique de configurer, lancer, suivre et réinitialiser les générations. L'ensemble sera hébergé sur le domaine loader.fintech4esg.com.</w:t>
      </w:r>
    </w:p>
    <w:p>
      <w:pPr>
        <w:pBdr>
          <w:top w:val="single" w:color="A5D6A7" w:sz="6" w:space="4"/>
          <w:bottom w:val="single" w:color="A5D6A7" w:sz="6" w:space="4"/>
          <w:left w:val="single" w:color="4CAF50" w:sz="24" w:space="8"/>
          <w:right w:val="single" w:color="A5D6A7" w:sz="6" w:space="4"/>
        </w:pBdr>
        <w:shd w:fill="E8F5E9" w:val="clear"/>
        <w:spacing w:after="120" w:before="120"/>
      </w:pPr>
      <w:r>
        <w:rPr>
          <w:b/>
          <w:bCs/>
          <w:color w:val="4CAF50"/>
          <w:sz w:val="22"/>
          <w:szCs w:val="22"/>
        </w:rPr>
        <w:t xml:space="preserve">AJOUT V1.2 — </w:t>
      </w:r>
      <w:r>
        <w:rPr>
          <w:i/>
          <w:iCs/>
          <w:sz w:val="22"/>
          <w:szCs w:val="22"/>
        </w:rPr>
        <w:t xml:space="preserve">La version 1.2 enrichit l'outil d'une méthodologie de simulation comportementale des clients, issue du travail du référent loan-simulation. Chaque client généré porte désormais un profil de comportement de remboursement réaliste, permettant de produire un historique de crédit fidèle aux distributions observées dans la microfinance mondiale et alimenter les tableaux de bord de démonstration en indicateurs Portfolio At Risk (PAR) crédibles.</w:t>
      </w:r>
    </w:p>
    <w:p>
      <w:r>
        <w:br w:type="page"/>
      </w:r>
    </w:p>
    <w:p>
      <w:pPr>
        <w:pStyle w:val="Heading1"/>
        <w:spacing w:after="240" w:before="480"/>
      </w:pPr>
      <w:r>
        <w:rPr>
          <w:b/>
          <w:bCs/>
          <w:color w:val="6B2E9E"/>
          <w:sz w:val="32"/>
          <w:szCs w:val="32"/>
        </w:rPr>
        <w:t xml:space="preserve">2. Contexte et justification</w:t>
      </w:r>
    </w:p>
    <w:p>
      <w:pPr>
        <w:pStyle w:val="Heading2"/>
        <w:spacing w:after="180" w:before="360"/>
      </w:pPr>
      <w:r>
        <w:rPr>
          <w:b/>
          <w:bCs/>
          <w:color w:val="6B2E9E"/>
          <w:sz w:val="26"/>
          <w:szCs w:val="26"/>
        </w:rPr>
        <w:t xml:space="preserve">2.1 Situation actuelle</w:t>
      </w:r>
    </w:p>
    <w:p>
      <w:pPr>
        <w:spacing w:after="120"/>
        <w:jc w:val="both"/>
      </w:pPr>
      <w:r>
        <w:rPr>
          <w:b w:val="false"/>
          <w:bCs w:val="false"/>
          <w:i w:val="false"/>
          <w:iCs w:val="false"/>
          <w:sz w:val="22"/>
          <w:szCs w:val="22"/>
        </w:rPr>
        <w:t xml:space="preserve">La plateforme FinZuu comprend neuf services de production confirmés empiriquement au 14 juillet 2026 : user-service, company-service, identity-service, account-service, config-service, client-service, product-service, depositary-service et collect-service. Les modules bulk-payment, loan, lender et notification sont à l'état de spécification ou en cours de développement externe.</w:t>
      </w:r>
    </w:p>
    <w:p>
      <w:pPr>
        <w:spacing w:after="120"/>
        <w:jc w:val="both"/>
      </w:pPr>
      <w:r>
        <w:rPr>
          <w:b w:val="false"/>
          <w:bCs w:val="false"/>
          <w:i w:val="false"/>
          <w:iCs w:val="false"/>
          <w:sz w:val="22"/>
          <w:szCs w:val="22"/>
        </w:rPr>
        <w:t xml:space="preserve">Les environnements TEST et DEMO sont opérationnels mais vides. Toute tentative de démonstration ou de test intégrées se heurte à l'absence de clients, de compagnies, de kiosques, de produits et de comptes financiers. Les démonstrations commerciales sont actuellement réalisées à partir de créations manuelles ponctuelles, sans cohérence globale ni volumétrie réaliste.</w:t>
      </w:r>
    </w:p>
    <w:p>
      <w:pPr>
        <w:pStyle w:val="Heading2"/>
        <w:spacing w:after="180" w:before="360"/>
      </w:pPr>
      <w:r>
        <w:rPr>
          <w:b/>
          <w:bCs/>
          <w:color w:val="6B2E9E"/>
          <w:sz w:val="26"/>
          <w:szCs w:val="26"/>
        </w:rPr>
        <w:t xml:space="preserve">2.2 Problème à résoudre</w:t>
      </w:r>
    </w:p>
    <w:p>
      <w:pPr>
        <w:spacing w:after="120"/>
        <w:jc w:val="both"/>
      </w:pPr>
      <w:r>
        <w:rPr>
          <w:b w:val="false"/>
          <w:bCs w:val="false"/>
          <w:i w:val="false"/>
          <w:iCs w:val="false"/>
          <w:sz w:val="22"/>
          <w:szCs w:val="22"/>
        </w:rPr>
        <w:t xml:space="preserve">L'absence de données de test cohérentes génère quatre effets néfastes :</w:t>
      </w:r>
    </w:p>
    <w:p>
      <w:pPr>
        <w:pStyle w:val="ListParagraph"/>
        <w:numPr>
          <w:ilvl w:val="0"/>
          <w:numId w:val="1"/>
        </w:numPr>
        <w:spacing w:after="80"/>
      </w:pPr>
      <w:r>
        <w:rPr>
          <w:sz w:val="22"/>
          <w:szCs w:val="22"/>
        </w:rPr>
        <w:t xml:space="preserve">Les démonstrations commerciales manquent de crédibilité, faute de volumétrie et de diversité.</w:t>
      </w:r>
    </w:p>
    <w:p>
      <w:pPr>
        <w:pStyle w:val="ListParagraph"/>
        <w:numPr>
          <w:ilvl w:val="0"/>
          <w:numId w:val="1"/>
        </w:numPr>
        <w:spacing w:after="80"/>
      </w:pPr>
      <w:r>
        <w:rPr>
          <w:sz w:val="22"/>
          <w:szCs w:val="22"/>
        </w:rPr>
        <w:t xml:space="preserve">Les tests de bout en bout du Module Prêt ne peuvent être exécutés sans clients préexistants disposant d'un historique de crédit.</w:t>
      </w:r>
    </w:p>
    <w:p>
      <w:pPr>
        <w:pStyle w:val="ListParagraph"/>
        <w:numPr>
          <w:ilvl w:val="0"/>
          <w:numId w:val="1"/>
        </w:numPr>
        <w:spacing w:after="80"/>
      </w:pPr>
      <w:r>
        <w:rPr>
          <w:sz w:val="22"/>
          <w:szCs w:val="22"/>
        </w:rPr>
        <w:t xml:space="preserve">Les nouveaux membres de l'équipe QA doivent recréer manuellement leurs jeux de données à chaque cycle de test, avec un coût de temps significatif.</w:t>
      </w:r>
    </w:p>
    <w:p>
      <w:pPr>
        <w:pStyle w:val="ListParagraph"/>
        <w:numPr>
          <w:ilvl w:val="0"/>
          <w:numId w:val="1"/>
        </w:numPr>
        <w:spacing w:after="80"/>
      </w:pPr>
      <w:r>
        <w:rPr>
          <w:sz w:val="22"/>
          <w:szCs w:val="22"/>
        </w:rPr>
        <w:t xml:space="preserve">Les critères d'acceptation des sprints ne peuvent être validés sur des volumes représentatifs des environnements de production cibles.</w:t>
      </w:r>
    </w:p>
    <w:p>
      <w:pPr>
        <w:pStyle w:val="Heading2"/>
        <w:spacing w:after="180" w:before="360"/>
      </w:pPr>
      <w:r>
        <w:rPr>
          <w:b/>
          <w:bCs/>
          <w:color w:val="6B2E9E"/>
          <w:sz w:val="26"/>
          <w:szCs w:val="26"/>
        </w:rPr>
        <w:t xml:space="preserve">2.3 Origine de la demande</w:t>
      </w:r>
    </w:p>
    <w:p>
      <w:pPr>
        <w:spacing w:after="120"/>
        <w:jc w:val="both"/>
      </w:pPr>
      <w:r>
        <w:rPr>
          <w:b w:val="false"/>
          <w:bCs w:val="false"/>
          <w:i w:val="false"/>
          <w:iCs w:val="false"/>
          <w:sz w:val="22"/>
          <w:szCs w:val="22"/>
        </w:rPr>
        <w:t xml:space="preserve">La construction de cet outil est ordonnée par la Direction Technique le 16 juillet 2026, via message adressé à l'équipe QA. Le mandat précise les proportions démographiques attendues, la cadence de génération, la liste des bailleurs institutionnels à intégrer, et le recours au module de prêt développé par Duhamel (dt@finzuu.com).</w:t>
      </w:r>
    </w:p>
    <w:p>
      <w:pPr>
        <w:spacing w:after="120"/>
        <w:jc w:val="both"/>
      </w:pPr>
      <w:r>
        <w:rPr>
          <w:b w:val="false"/>
          <w:bCs w:val="false"/>
          <w:i w:val="false"/>
          <w:iCs w:val="false"/>
          <w:sz w:val="22"/>
          <w:szCs w:val="22"/>
        </w:rPr>
        <w:t xml:space="preserve">La conception de l'outil est confiée au QA Lead. La production s'inscrit dans le Sprint 4 du projet ReadyCollect, avec une première livraison attendue avant la fin juillet 2026.</w:t>
      </w:r>
    </w:p>
    <w:p>
      <w:r>
        <w:br w:type="page"/>
      </w:r>
    </w:p>
    <w:p>
      <w:pPr>
        <w:pStyle w:val="Heading1"/>
        <w:spacing w:after="240" w:before="480"/>
      </w:pPr>
      <w:r>
        <w:rPr>
          <w:b/>
          <w:bCs/>
          <w:color w:val="6B2E9E"/>
          <w:sz w:val="32"/>
          <w:szCs w:val="32"/>
        </w:rPr>
        <w:t xml:space="preserve">3. Objectifs du projet</w:t>
      </w:r>
    </w:p>
    <w:p>
      <w:pPr>
        <w:pStyle w:val="Heading2"/>
        <w:spacing w:after="180" w:before="360"/>
      </w:pPr>
      <w:r>
        <w:rPr>
          <w:b/>
          <w:bCs/>
          <w:color w:val="6B2E9E"/>
          <w:sz w:val="26"/>
          <w:szCs w:val="26"/>
        </w:rPr>
        <w:t xml:space="preserve">3.1 Objectif général</w:t>
      </w:r>
    </w:p>
    <w:p>
      <w:pPr>
        <w:spacing w:after="120"/>
        <w:jc w:val="both"/>
      </w:pPr>
      <w:r>
        <w:rPr>
          <w:b w:val="false"/>
          <w:bCs w:val="false"/>
          <w:i w:val="false"/>
          <w:iCs w:val="false"/>
          <w:sz w:val="22"/>
          <w:szCs w:val="22"/>
        </w:rPr>
        <w:t xml:space="preserve">Concevoir et livrer un outil autonome, réutilisable et paramétrable, capable de générer et d'injecter dans les environnements TEST et DEMO de FinZuu un jeu de données complet, cohérent et représentatif, couvrant les quatre pays cibles et l'ensemble des entités métier du Module Collecte et du Module Prêt.</w:t>
      </w:r>
    </w:p>
    <w:p>
      <w:pPr>
        <w:pStyle w:val="Heading2"/>
        <w:spacing w:after="180" w:before="360"/>
      </w:pPr>
      <w:r>
        <w:rPr>
          <w:b/>
          <w:bCs/>
          <w:color w:val="6B2E9E"/>
          <w:sz w:val="26"/>
          <w:szCs w:val="26"/>
        </w:rPr>
        <w:t xml:space="preserve">3.2 Objectifs spécifiques</w:t>
      </w:r>
    </w:p>
    <w:p>
      <w:pPr>
        <w:spacing w:after="120"/>
        <w:jc w:val="both"/>
      </w:pPr>
      <w:r>
        <w:rPr>
          <w:b w:val="false"/>
          <w:bCs w:val="false"/>
          <w:i w:val="false"/>
          <w:iCs w:val="false"/>
          <w:sz w:val="22"/>
          <w:szCs w:val="22"/>
        </w:rPr>
        <w:t xml:space="preserve">Les objectifs spécifiques sont formulés selon la méthodologie SMART (Spécifique, Mesurable, Atteignable, Réaliste, Temporel)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4000"/>
      </w:tblGrid>
      <w:tr>
        <w:trPr>
          <w:tblHeader/>
        </w:trPr>
        <w:tc>
          <w:tcPr>
            <w:tcW w:type="dxa" w:w="1000"/>
            <w:shd w:fill="6B2E9E" w:val="clear"/>
            <w:tcMar>
              <w:top w:type="dxa" w:w="100"/>
              <w:left w:type="dxa" w:w="120"/>
              <w:bottom w:type="dxa" w:w="100"/>
              <w:right w:type="dxa" w:w="120"/>
            </w:tcMar>
          </w:tcPr>
          <w:p>
            <w:pPr>
              <w:jc w:val="center"/>
            </w:pPr>
            <w:r>
              <w:rPr>
                <w:b/>
                <w:bCs/>
                <w:color w:val="FFFFFF"/>
                <w:sz w:val="20"/>
                <w:szCs w:val="20"/>
              </w:rPr>
              <w:t xml:space="preserve">Réf.</w:t>
            </w:r>
          </w:p>
        </w:tc>
        <w:tc>
          <w:tcPr>
            <w:tcW w:type="dxa" w:w="4200"/>
            <w:shd w:fill="6B2E9E" w:val="clear"/>
            <w:tcMar>
              <w:top w:type="dxa" w:w="100"/>
              <w:left w:type="dxa" w:w="120"/>
              <w:bottom w:type="dxa" w:w="100"/>
              <w:right w:type="dxa" w:w="120"/>
            </w:tcMar>
          </w:tcPr>
          <w:p>
            <w:pPr>
              <w:jc w:val="center"/>
            </w:pPr>
            <w:r>
              <w:rPr>
                <w:b/>
                <w:bCs/>
                <w:color w:val="FFFFFF"/>
                <w:sz w:val="20"/>
                <w:szCs w:val="20"/>
              </w:rPr>
              <w:t xml:space="preserve">Objectif</w:t>
            </w:r>
          </w:p>
        </w:tc>
        <w:tc>
          <w:tcPr>
            <w:tcW w:type="dxa" w:w="4000"/>
            <w:shd w:fill="6B2E9E" w:val="clear"/>
            <w:tcMar>
              <w:top w:type="dxa" w:w="100"/>
              <w:left w:type="dxa" w:w="120"/>
              <w:bottom w:type="dxa" w:w="100"/>
              <w:right w:type="dxa" w:w="120"/>
            </w:tcMar>
          </w:tcPr>
          <w:p>
            <w:pPr>
              <w:jc w:val="center"/>
            </w:pPr>
            <w:r>
              <w:rPr>
                <w:b/>
                <w:bCs/>
                <w:color w:val="FFFFFF"/>
                <w:sz w:val="20"/>
                <w:szCs w:val="20"/>
              </w:rPr>
              <w:t xml:space="preserve">Cible mesurable</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OBJ-01</w:t>
            </w:r>
          </w:p>
        </w:tc>
        <w:tc>
          <w:tcPr>
            <w:tcW w:type="dxa" w:w="4200"/>
            <w:tcMar>
              <w:top w:type="dxa" w:w="80"/>
              <w:left w:type="dxa" w:w="120"/>
              <w:bottom w:type="dxa" w:w="80"/>
              <w:right w:type="dxa" w:w="120"/>
            </w:tcMar>
          </w:tcPr>
          <w:p>
            <w:pPr>
              <w:jc w:val="left"/>
            </w:pPr>
            <w:r>
              <w:rPr>
                <w:b w:val="false"/>
                <w:bCs w:val="false"/>
                <w:color w:val="000000"/>
                <w:sz w:val="20"/>
                <w:szCs w:val="20"/>
              </w:rPr>
              <w:t xml:space="preserve">Établir un référentiel géographique complet et exact</w:t>
            </w:r>
          </w:p>
        </w:tc>
        <w:tc>
          <w:tcPr>
            <w:tcW w:type="dxa" w:w="4000"/>
            <w:tcMar>
              <w:top w:type="dxa" w:w="80"/>
              <w:left w:type="dxa" w:w="120"/>
              <w:bottom w:type="dxa" w:w="80"/>
              <w:right w:type="dxa" w:w="120"/>
            </w:tcMar>
          </w:tcPr>
          <w:p>
            <w:pPr>
              <w:jc w:val="left"/>
            </w:pPr>
            <w:r>
              <w:rPr>
                <w:b w:val="false"/>
                <w:bCs w:val="false"/>
                <w:color w:val="000000"/>
                <w:sz w:val="20"/>
                <w:szCs w:val="20"/>
              </w:rPr>
              <w:t xml:space="preserve">51 régions, 50 villes, 82 quartiers pour 4 pays</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OBJ-02</w:t>
            </w:r>
          </w:p>
        </w:tc>
        <w:tc>
          <w:tcPr>
            <w:tcW w:type="dxa" w:w="4200"/>
            <w:tcMar>
              <w:top w:type="dxa" w:w="80"/>
              <w:left w:type="dxa" w:w="120"/>
              <w:bottom w:type="dxa" w:w="80"/>
              <w:right w:type="dxa" w:w="120"/>
            </w:tcMar>
          </w:tcPr>
          <w:p>
            <w:pPr>
              <w:jc w:val="left"/>
            </w:pPr>
            <w:r>
              <w:rPr>
                <w:b w:val="false"/>
                <w:bCs w:val="false"/>
                <w:color w:val="000000"/>
                <w:sz w:val="20"/>
                <w:szCs w:val="20"/>
              </w:rPr>
              <w:t xml:space="preserve">Générer une population de clients diversifiée et cohérente</w:t>
            </w:r>
          </w:p>
        </w:tc>
        <w:tc>
          <w:tcPr>
            <w:tcW w:type="dxa" w:w="4000"/>
            <w:tcMar>
              <w:top w:type="dxa" w:w="80"/>
              <w:left w:type="dxa" w:w="120"/>
              <w:bottom w:type="dxa" w:w="80"/>
              <w:right w:type="dxa" w:w="120"/>
            </w:tcMar>
          </w:tcPr>
          <w:p>
            <w:pPr>
              <w:jc w:val="left"/>
            </w:pPr>
            <w:r>
              <w:rPr>
                <w:b w:val="false"/>
                <w:bCs w:val="false"/>
                <w:color w:val="000000"/>
                <w:sz w:val="20"/>
                <w:szCs w:val="20"/>
              </w:rPr>
              <w:t xml:space="preserve">2000 clients par exécution, 4 pays, distribution paramétrable</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OBJ-03</w:t>
            </w:r>
          </w:p>
        </w:tc>
        <w:tc>
          <w:tcPr>
            <w:tcW w:type="dxa" w:w="4200"/>
            <w:tcMar>
              <w:top w:type="dxa" w:w="80"/>
              <w:left w:type="dxa" w:w="120"/>
              <w:bottom w:type="dxa" w:w="80"/>
              <w:right w:type="dxa" w:w="120"/>
            </w:tcMar>
          </w:tcPr>
          <w:p>
            <w:pPr>
              <w:jc w:val="left"/>
            </w:pPr>
            <w:r>
              <w:rPr>
                <w:b w:val="false"/>
                <w:bCs w:val="false"/>
                <w:color w:val="000000"/>
                <w:sz w:val="20"/>
                <w:szCs w:val="20"/>
              </w:rPr>
              <w:t xml:space="preserve">Peupler l'écosystème organisationnel avec des lenders réalistes</w:t>
            </w:r>
          </w:p>
        </w:tc>
        <w:tc>
          <w:tcPr>
            <w:tcW w:type="dxa" w:w="4000"/>
            <w:tcMar>
              <w:top w:type="dxa" w:w="80"/>
              <w:left w:type="dxa" w:w="120"/>
              <w:bottom w:type="dxa" w:w="80"/>
              <w:right w:type="dxa" w:w="120"/>
            </w:tcMar>
          </w:tcPr>
          <w:p>
            <w:pPr>
              <w:jc w:val="left"/>
            </w:pPr>
            <w:r>
              <w:rPr>
                <w:b w:val="false"/>
                <w:bCs w:val="false"/>
                <w:color w:val="000000"/>
                <w:sz w:val="20"/>
                <w:szCs w:val="20"/>
              </w:rPr>
              <w:t xml:space="preserve">12 lenders locaux + 4 institutionnels</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OBJ-04</w:t>
            </w:r>
          </w:p>
        </w:tc>
        <w:tc>
          <w:tcPr>
            <w:tcW w:type="dxa" w:w="4200"/>
            <w:tcMar>
              <w:top w:type="dxa" w:w="80"/>
              <w:left w:type="dxa" w:w="120"/>
              <w:bottom w:type="dxa" w:w="80"/>
              <w:right w:type="dxa" w:w="120"/>
            </w:tcMar>
          </w:tcPr>
          <w:p>
            <w:pPr>
              <w:jc w:val="left"/>
            </w:pPr>
            <w:r>
              <w:rPr>
                <w:b w:val="false"/>
                <w:bCs w:val="false"/>
                <w:color w:val="000000"/>
                <w:sz w:val="20"/>
                <w:szCs w:val="20"/>
              </w:rPr>
              <w:t xml:space="preserve">Réduire le temps de mise à disposition d'un environnement de démonstration</w:t>
            </w:r>
          </w:p>
        </w:tc>
        <w:tc>
          <w:tcPr>
            <w:tcW w:type="dxa" w:w="4000"/>
            <w:tcMar>
              <w:top w:type="dxa" w:w="80"/>
              <w:left w:type="dxa" w:w="120"/>
              <w:bottom w:type="dxa" w:w="80"/>
              <w:right w:type="dxa" w:w="120"/>
            </w:tcMar>
          </w:tcPr>
          <w:p>
            <w:pPr>
              <w:jc w:val="left"/>
            </w:pPr>
            <w:r>
              <w:rPr>
                <w:b w:val="false"/>
                <w:bCs w:val="false"/>
                <w:color w:val="000000"/>
                <w:sz w:val="20"/>
                <w:szCs w:val="20"/>
              </w:rPr>
              <w:t xml:space="preserve">Durée cible : moins de 30 minutes par exécution</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OBJ-05</w:t>
            </w:r>
          </w:p>
        </w:tc>
        <w:tc>
          <w:tcPr>
            <w:tcW w:type="dxa" w:w="4200"/>
            <w:tcMar>
              <w:top w:type="dxa" w:w="80"/>
              <w:left w:type="dxa" w:w="120"/>
              <w:bottom w:type="dxa" w:w="80"/>
              <w:right w:type="dxa" w:w="120"/>
            </w:tcMar>
          </w:tcPr>
          <w:p>
            <w:pPr>
              <w:jc w:val="left"/>
            </w:pPr>
            <w:r>
              <w:rPr>
                <w:b w:val="false"/>
                <w:bCs w:val="false"/>
                <w:color w:val="000000"/>
                <w:sz w:val="20"/>
                <w:szCs w:val="20"/>
              </w:rPr>
              <w:t xml:space="preserve">Garantir la réversibilité des données générées</w:t>
            </w:r>
          </w:p>
        </w:tc>
        <w:tc>
          <w:tcPr>
            <w:tcW w:type="dxa" w:w="4000"/>
            <w:tcMar>
              <w:top w:type="dxa" w:w="80"/>
              <w:left w:type="dxa" w:w="120"/>
              <w:bottom w:type="dxa" w:w="80"/>
              <w:right w:type="dxa" w:w="120"/>
            </w:tcMar>
          </w:tcPr>
          <w:p>
            <w:pPr>
              <w:jc w:val="left"/>
            </w:pPr>
            <w:r>
              <w:rPr>
                <w:b w:val="false"/>
                <w:bCs w:val="false"/>
                <w:color w:val="000000"/>
                <w:sz w:val="20"/>
                <w:szCs w:val="20"/>
              </w:rPr>
              <w:t xml:space="preserve">Chaque donnée identifiable par préfixe et supprimable</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OBJ-06</w:t>
            </w:r>
          </w:p>
        </w:tc>
        <w:tc>
          <w:tcPr>
            <w:tcW w:type="dxa" w:w="4200"/>
            <w:tcMar>
              <w:top w:type="dxa" w:w="80"/>
              <w:left w:type="dxa" w:w="120"/>
              <w:bottom w:type="dxa" w:w="80"/>
              <w:right w:type="dxa" w:w="120"/>
            </w:tcMar>
          </w:tcPr>
          <w:p>
            <w:pPr>
              <w:jc w:val="left"/>
            </w:pPr>
            <w:r>
              <w:rPr>
                <w:b w:val="false"/>
                <w:bCs w:val="false"/>
                <w:color w:val="000000"/>
                <w:sz w:val="20"/>
                <w:szCs w:val="20"/>
              </w:rPr>
              <w:t xml:space="preserve">Permettre l'utilisation par un membre non technique de l'équipe</w:t>
            </w:r>
          </w:p>
        </w:tc>
        <w:tc>
          <w:tcPr>
            <w:tcW w:type="dxa" w:w="4000"/>
            <w:tcMar>
              <w:top w:type="dxa" w:w="80"/>
              <w:left w:type="dxa" w:w="120"/>
              <w:bottom w:type="dxa" w:w="80"/>
              <w:right w:type="dxa" w:w="120"/>
            </w:tcMar>
          </w:tcPr>
          <w:p>
            <w:pPr>
              <w:jc w:val="left"/>
            </w:pPr>
            <w:r>
              <w:rPr>
                <w:b w:val="false"/>
                <w:bCs w:val="false"/>
                <w:color w:val="000000"/>
                <w:sz w:val="20"/>
                <w:szCs w:val="20"/>
              </w:rPr>
              <w:t xml:space="preserve">Interface graphique opérationnelle sans ligne de commande</w:t>
            </w:r>
          </w:p>
        </w:tc>
      </w:tr>
      <w:tr>
        <w:tc>
          <w:tcPr>
            <w:tcW w:type="dxa" w:w="1000"/>
            <w:shd w:fill="E8F5E9" w:val="clear"/>
            <w:tcMar>
              <w:top w:type="dxa" w:w="80"/>
              <w:left w:type="dxa" w:w="120"/>
              <w:bottom w:type="dxa" w:w="80"/>
              <w:right w:type="dxa" w:w="120"/>
            </w:tcMar>
          </w:tcPr>
          <w:p>
            <w:pPr>
              <w:jc w:val="left"/>
            </w:pPr>
            <w:r>
              <w:rPr>
                <w:b/>
                <w:bCs/>
                <w:color w:val="000000"/>
                <w:sz w:val="20"/>
                <w:szCs w:val="20"/>
              </w:rPr>
              <w:t xml:space="preserve">OBJ-07</w:t>
            </w:r>
          </w:p>
        </w:tc>
        <w:tc>
          <w:tcPr>
            <w:tcW w:type="dxa" w:w="4200"/>
            <w:shd w:fill="E8F5E9" w:val="clear"/>
            <w:tcMar>
              <w:top w:type="dxa" w:w="80"/>
              <w:left w:type="dxa" w:w="120"/>
              <w:bottom w:type="dxa" w:w="80"/>
              <w:right w:type="dxa" w:w="120"/>
            </w:tcMar>
          </w:tcPr>
          <w:p>
            <w:pPr>
              <w:jc w:val="left"/>
            </w:pPr>
            <w:r>
              <w:rPr>
                <w:b/>
                <w:bCs/>
                <w:color w:val="000000"/>
                <w:sz w:val="20"/>
                <w:szCs w:val="20"/>
              </w:rPr>
              <w:t xml:space="preserve">Produire un historique de crédit dont les indicateurs Portfolio At Risk respectent les seuils standards de la microfinance mondiale — AJOUT V1.2</w:t>
            </w:r>
          </w:p>
        </w:tc>
        <w:tc>
          <w:tcPr>
            <w:tcW w:type="dxa" w:w="4000"/>
            <w:shd w:fill="E8F5E9" w:val="clear"/>
            <w:tcMar>
              <w:top w:type="dxa" w:w="80"/>
              <w:left w:type="dxa" w:w="120"/>
              <w:bottom w:type="dxa" w:w="80"/>
              <w:right w:type="dxa" w:w="120"/>
            </w:tcMar>
          </w:tcPr>
          <w:p>
            <w:pPr>
              <w:jc w:val="left"/>
            </w:pPr>
            <w:r>
              <w:rPr>
                <w:b/>
                <w:bCs/>
                <w:color w:val="000000"/>
                <w:sz w:val="20"/>
                <w:szCs w:val="20"/>
              </w:rPr>
              <w:t xml:space="preserve">PAR30 ≤ 15 %, PAR90 ≤ 8 %, taux de recouvrement ≥ 85 %</w:t>
            </w:r>
          </w:p>
        </w:tc>
      </w:tr>
    </w:tbl>
    <w:p>
      <w:pPr>
        <w:spacing w:after="120"/>
        <w:jc w:val="both"/>
      </w:pPr>
      <w:r>
        <w:rPr>
          <w:b w:val="false"/>
          <w:bCs w:val="false"/>
          <w:i w:val="false"/>
          <w:iCs w:val="false"/>
          <w:sz w:val="22"/>
          <w:szCs w:val="22"/>
        </w:rPr>
        <w:t xml:space="preserve"/>
      </w:r>
    </w:p>
    <w:p>
      <w:pPr>
        <w:pStyle w:val="Heading2"/>
        <w:spacing w:after="180" w:before="360"/>
      </w:pPr>
      <w:r>
        <w:rPr>
          <w:b/>
          <w:bCs/>
          <w:color w:val="6B2E9E"/>
          <w:sz w:val="26"/>
          <w:szCs w:val="26"/>
        </w:rPr>
        <w:t xml:space="preserve">3.3 Bénéfices attendus</w:t>
      </w:r>
    </w:p>
    <w:p>
      <w:pPr>
        <w:pStyle w:val="ListParagraph"/>
        <w:numPr>
          <w:ilvl w:val="0"/>
          <w:numId w:val="1"/>
        </w:numPr>
        <w:spacing w:after="80"/>
      </w:pPr>
      <w:r>
        <w:rPr>
          <w:b/>
          <w:bCs/>
          <w:sz w:val="22"/>
          <w:szCs w:val="22"/>
        </w:rPr>
        <w:t xml:space="preserve">Commercial : </w:t>
      </w:r>
      <w:r>
        <w:rPr>
          <w:sz w:val="22"/>
          <w:szCs w:val="22"/>
        </w:rPr>
        <w:t xml:space="preserve">présentations produits plus crédibles aux prospects, délai de mise en démonstration réduit de plusieurs jours à moins d'une heure.</w:t>
      </w:r>
    </w:p>
    <w:p>
      <w:pPr>
        <w:pStyle w:val="ListParagraph"/>
        <w:numPr>
          <w:ilvl w:val="0"/>
          <w:numId w:val="1"/>
        </w:numPr>
        <w:spacing w:after="80"/>
      </w:pPr>
      <w:r>
        <w:rPr>
          <w:b/>
          <w:bCs/>
          <w:sz w:val="22"/>
          <w:szCs w:val="22"/>
        </w:rPr>
        <w:t xml:space="preserve">Qualité : </w:t>
      </w:r>
      <w:r>
        <w:rPr>
          <w:sz w:val="22"/>
          <w:szCs w:val="22"/>
        </w:rPr>
        <w:t xml:space="preserve">couverture de test étendue sur des volumes représentatifs, détection précoce des anomalies de performance et d'intégrité référentielle.</w:t>
      </w:r>
    </w:p>
    <w:p>
      <w:pPr>
        <w:pStyle w:val="ListParagraph"/>
        <w:numPr>
          <w:ilvl w:val="0"/>
          <w:numId w:val="1"/>
        </w:numPr>
        <w:spacing w:after="80"/>
      </w:pPr>
      <w:r>
        <w:rPr>
          <w:b/>
          <w:bCs/>
          <w:sz w:val="22"/>
          <w:szCs w:val="22"/>
        </w:rPr>
        <w:t xml:space="preserve">Opérationnel : </w:t>
      </w:r>
      <w:r>
        <w:rPr>
          <w:sz w:val="22"/>
          <w:szCs w:val="22"/>
        </w:rPr>
        <w:t xml:space="preserve">libération du temps de l'équipe QA sur la création manuelle de données, redirection vers l'analyse et le testing effectif.</w:t>
      </w:r>
    </w:p>
    <w:p>
      <w:pPr>
        <w:pStyle w:val="ListParagraph"/>
        <w:numPr>
          <w:ilvl w:val="0"/>
          <w:numId w:val="1"/>
        </w:numPr>
        <w:spacing w:after="80"/>
      </w:pPr>
      <w:r>
        <w:rPr>
          <w:b/>
          <w:bCs/>
          <w:sz w:val="22"/>
          <w:szCs w:val="22"/>
        </w:rPr>
        <w:t xml:space="preserve">Stratégique : </w:t>
      </w:r>
      <w:r>
        <w:rPr>
          <w:sz w:val="22"/>
          <w:szCs w:val="22"/>
        </w:rPr>
        <w:t xml:space="preserve">construction d'un actif réutilisable pour tous les futurs environnements (nouveaux pays, nouvelles fonctionnalités, environnements clients).</w:t>
      </w:r>
    </w:p>
    <w:p>
      <w:r>
        <w:br w:type="page"/>
      </w:r>
    </w:p>
    <w:p>
      <w:pPr>
        <w:pStyle w:val="Heading1"/>
        <w:spacing w:after="240" w:before="480"/>
      </w:pPr>
      <w:r>
        <w:rPr>
          <w:b/>
          <w:bCs/>
          <w:color w:val="6B2E9E"/>
          <w:sz w:val="32"/>
          <w:szCs w:val="32"/>
        </w:rPr>
        <w:t xml:space="preserve">4. Périmètre</w:t>
      </w:r>
    </w:p>
    <w:p>
      <w:pPr>
        <w:pStyle w:val="Heading2"/>
        <w:spacing w:after="180" w:before="360"/>
      </w:pPr>
      <w:r>
        <w:rPr>
          <w:b/>
          <w:bCs/>
          <w:color w:val="6B2E9E"/>
          <w:sz w:val="26"/>
          <w:szCs w:val="26"/>
        </w:rPr>
        <w:t xml:space="preserve">4.1 Périmètre inclus (In-scope)</w:t>
      </w:r>
    </w:p>
    <w:p>
      <w:pPr>
        <w:spacing w:after="120"/>
        <w:jc w:val="both"/>
      </w:pPr>
      <w:r>
        <w:rPr>
          <w:b w:val="false"/>
          <w:bCs w:val="false"/>
          <w:i w:val="false"/>
          <w:iCs w:val="false"/>
          <w:sz w:val="22"/>
          <w:szCs w:val="22"/>
        </w:rPr>
        <w:t xml:space="preserve">L'outil DOIT couvrir les capacités suivantes :</w:t>
      </w:r>
    </w:p>
    <w:p>
      <w:pPr>
        <w:pStyle w:val="ListParagraph"/>
        <w:numPr>
          <w:ilvl w:val="0"/>
          <w:numId w:val="1"/>
        </w:numPr>
        <w:spacing w:after="80"/>
      </w:pPr>
      <w:r>
        <w:rPr>
          <w:sz w:val="22"/>
          <w:szCs w:val="22"/>
        </w:rPr>
        <w:t xml:space="preserve">Chargement et exploitation d'un référentiel géographique structuré sur cinq niveaux, pour les quatre pays cibles.</w:t>
      </w:r>
    </w:p>
    <w:p>
      <w:pPr>
        <w:pStyle w:val="ListParagraph"/>
        <w:numPr>
          <w:ilvl w:val="0"/>
          <w:numId w:val="1"/>
        </w:numPr>
        <w:spacing w:after="80"/>
      </w:pPr>
      <w:r>
        <w:rPr>
          <w:sz w:val="22"/>
          <w:szCs w:val="22"/>
        </w:rPr>
        <w:t xml:space="preserve">Génération d'entités organisationnelles : compagnies (IMF, banques, fondations, merchants), branches, agences, kiosques, agents.</w:t>
      </w:r>
    </w:p>
    <w:p>
      <w:pPr>
        <w:pStyle w:val="ListParagraph"/>
        <w:numPr>
          <w:ilvl w:val="0"/>
          <w:numId w:val="1"/>
        </w:numPr>
        <w:spacing w:after="80"/>
      </w:pPr>
      <w:r>
        <w:rPr>
          <w:sz w:val="22"/>
          <w:szCs w:val="22"/>
        </w:rPr>
        <w:t xml:space="preserve">Génération de clients Individuels et Corporate avec identité KYC réaliste, cohérence pays et opérateur telco.</w:t>
      </w:r>
    </w:p>
    <w:p>
      <w:pPr>
        <w:pStyle w:val="ListParagraph"/>
        <w:numPr>
          <w:ilvl w:val="0"/>
          <w:numId w:val="1"/>
        </w:numPr>
        <w:spacing w:after="80"/>
      </w:pPr>
      <w:r>
        <w:rPr>
          <w:sz w:val="22"/>
          <w:szCs w:val="22"/>
        </w:rPr>
        <w:t xml:space="preserve">Intégration à l'API Faker fintech4esg pour l'obtention de payloads clients et d'historique de crédit.</w:t>
      </w:r>
    </w:p>
    <w:p>
      <w:pPr>
        <w:pStyle w:val="ListParagraph"/>
        <w:numPr>
          <w:ilvl w:val="0"/>
          <w:numId w:val="1"/>
        </w:numPr>
        <w:spacing w:after="80"/>
      </w:pPr>
      <w:r>
        <w:rPr>
          <w:sz w:val="22"/>
          <w:szCs w:val="22"/>
        </w:rPr>
        <w:t xml:space="preserve">Injection des données générées dans les neuf services vivants de la plateforme via leurs API REST respectives.</w:t>
      </w:r>
    </w:p>
    <w:p>
      <w:pPr>
        <w:pStyle w:val="ListParagraph"/>
        <w:numPr>
          <w:ilvl w:val="0"/>
          <w:numId w:val="1"/>
        </w:numPr>
        <w:spacing w:after="80"/>
      </w:pPr>
      <w:r>
        <w:rPr>
          <w:sz w:val="22"/>
          <w:szCs w:val="22"/>
        </w:rPr>
        <w:t xml:space="preserve">Simulation de mouvements financiers : dépôts, retraits, transferts, souscriptions.</w:t>
      </w:r>
    </w:p>
    <w:p>
      <w:pPr>
        <w:pStyle w:val="ListParagraph"/>
        <w:numPr>
          <w:ilvl w:val="0"/>
          <w:numId w:val="1"/>
        </w:numPr>
        <w:spacing w:after="80"/>
      </w:pPr>
      <w:r>
        <w:rPr>
          <w:sz w:val="22"/>
          <w:szCs w:val="22"/>
        </w:rPr>
        <w:t xml:space="preserve">Interface graphique de pilotage : configuration, lancement, suivi, journal, réinitialisation.</w:t>
      </w:r>
    </w:p>
    <w:p>
      <w:pPr>
        <w:pStyle w:val="ListParagraph"/>
        <w:numPr>
          <w:ilvl w:val="0"/>
          <w:numId w:val="1"/>
        </w:numPr>
        <w:spacing w:after="80"/>
      </w:pPr>
      <w:r>
        <w:rPr>
          <w:sz w:val="22"/>
          <w:szCs w:val="22"/>
        </w:rPr>
        <w:t xml:space="preserve">Traçabilité complète des exécutions et idempotence garantie.</w:t>
      </w:r>
    </w:p>
    <w:p>
      <w:pPr>
        <w:pBdr>
          <w:top w:val="single" w:color="A5D6A7" w:sz="6" w:space="4"/>
          <w:bottom w:val="single" w:color="A5D6A7" w:sz="6" w:space="4"/>
          <w:left w:val="single" w:color="4CAF50" w:sz="24" w:space="8"/>
          <w:right w:val="single" w:color="A5D6A7" w:sz="6" w:space="4"/>
        </w:pBdr>
        <w:shd w:fill="E8F5E9" w:val="clear"/>
        <w:spacing w:after="120" w:before="120"/>
      </w:pPr>
      <w:r>
        <w:rPr>
          <w:b/>
          <w:bCs/>
          <w:color w:val="4CAF50"/>
          <w:sz w:val="22"/>
          <w:szCs w:val="22"/>
        </w:rPr>
        <w:t xml:space="preserve">AJOUT V1.2 — </w:t>
      </w:r>
      <w:r>
        <w:rPr>
          <w:i/>
          <w:iCs/>
          <w:sz w:val="22"/>
          <w:szCs w:val="22"/>
        </w:rPr>
        <w:t xml:space="preserve">La version 1.2 ajoute au périmètre inclus : (a) l'attribution d'un profil comportemental de remboursement à chaque client généré, (b) la génération d'historiques de crédit cohérents avec ce profil, (c) la production d'indicateurs Portfolio At Risk (PAR) et Days Past Due (DPD) conformes aux standards microfinance.</w:t>
      </w:r>
    </w:p>
    <w:p>
      <w:pPr>
        <w:pStyle w:val="Heading2"/>
        <w:spacing w:after="180" w:before="360"/>
      </w:pPr>
      <w:r>
        <w:rPr>
          <w:b/>
          <w:bCs/>
          <w:color w:val="6B2E9E"/>
          <w:sz w:val="26"/>
          <w:szCs w:val="26"/>
        </w:rPr>
        <w:t xml:space="preserve">4.2 Périmètre exclu (Out-of-scope)</w:t>
      </w:r>
    </w:p>
    <w:p>
      <w:pPr>
        <w:spacing w:after="120"/>
        <w:jc w:val="both"/>
      </w:pPr>
      <w:r>
        <w:rPr>
          <w:b w:val="false"/>
          <w:bCs w:val="false"/>
          <w:i w:val="false"/>
          <w:iCs w:val="false"/>
          <w:sz w:val="22"/>
          <w:szCs w:val="22"/>
        </w:rPr>
        <w:t xml:space="preserve">L'outil NE COUVRE PAS les capacités suivantes :</w:t>
      </w:r>
    </w:p>
    <w:p>
      <w:pPr>
        <w:pStyle w:val="ListParagraph"/>
        <w:numPr>
          <w:ilvl w:val="0"/>
          <w:numId w:val="1"/>
        </w:numPr>
        <w:spacing w:after="80"/>
      </w:pPr>
      <w:r>
        <w:rPr>
          <w:sz w:val="22"/>
          <w:szCs w:val="22"/>
        </w:rPr>
        <w:t xml:space="preserve">L'injection réelle des prêts tant que loan-service n'est pas livré en production ; l'outil prépare et valide les payloads, l'injection sera activée ultérieurement.</w:t>
      </w:r>
    </w:p>
    <w:p>
      <w:pPr>
        <w:pStyle w:val="ListParagraph"/>
        <w:numPr>
          <w:ilvl w:val="0"/>
          <w:numId w:val="1"/>
        </w:numPr>
        <w:spacing w:after="80"/>
      </w:pPr>
      <w:r>
        <w:rPr>
          <w:sz w:val="22"/>
          <w:szCs w:val="22"/>
        </w:rPr>
        <w:t xml:space="preserve">La génération pour les pays hors des quatre pays cibles ; l'architecture doit toutefois être extensible.</w:t>
      </w:r>
    </w:p>
    <w:p>
      <w:pPr>
        <w:pStyle w:val="ListParagraph"/>
        <w:numPr>
          <w:ilvl w:val="0"/>
          <w:numId w:val="1"/>
        </w:numPr>
        <w:spacing w:after="80"/>
      </w:pPr>
      <w:r>
        <w:rPr>
          <w:sz w:val="22"/>
          <w:szCs w:val="22"/>
        </w:rPr>
        <w:t xml:space="preserve">L'édition manuelle des données générées ; toute modification passe par une réinitialisation puis une nouvelle génération.</w:t>
      </w:r>
    </w:p>
    <w:p>
      <w:pPr>
        <w:pStyle w:val="ListParagraph"/>
        <w:numPr>
          <w:ilvl w:val="0"/>
          <w:numId w:val="1"/>
        </w:numPr>
        <w:spacing w:after="80"/>
      </w:pPr>
      <w:r>
        <w:rPr>
          <w:sz w:val="22"/>
          <w:szCs w:val="22"/>
        </w:rPr>
        <w:t xml:space="preserve">La gestion multi-utilisateurs avec droits différenciés ; une gestion basique de verrou d'exécution est suffisante.</w:t>
      </w:r>
    </w:p>
    <w:p>
      <w:pPr>
        <w:pStyle w:val="ListParagraph"/>
        <w:numPr>
          <w:ilvl w:val="0"/>
          <w:numId w:val="1"/>
        </w:numPr>
        <w:spacing w:after="80"/>
      </w:pPr>
      <w:r>
        <w:rPr>
          <w:sz w:val="22"/>
          <w:szCs w:val="22"/>
        </w:rPr>
        <w:t xml:space="preserve">L'alimentation des environnements de production ; le Loader est strictement réservé à TEST et DEMO.</w:t>
      </w:r>
    </w:p>
    <w:p>
      <w:pPr>
        <w:pStyle w:val="Heading2"/>
        <w:spacing w:after="180" w:before="360"/>
      </w:pPr>
      <w:r>
        <w:rPr>
          <w:b/>
          <w:bCs/>
          <w:color w:val="6B2E9E"/>
          <w:sz w:val="26"/>
          <w:szCs w:val="26"/>
        </w:rPr>
        <w:t xml:space="preserve">4.3 Diagramme de séquence</w:t>
      </w:r>
    </w:p>
    <w:p>
      <w:pPr>
        <w:spacing w:after="120"/>
        <w:jc w:val="both"/>
      </w:pPr>
      <w:r>
        <w:rPr>
          <w:b w:val="false"/>
          <w:bCs w:val="false"/>
          <w:i w:val="false"/>
          <w:iCs w:val="false"/>
          <w:sz w:val="22"/>
          <w:szCs w:val="22"/>
        </w:rPr>
        <w:t xml:space="preserve">Les diagrammes de séquence détaillés illustrant les interactions entre le Loader, l'API Faker, les services FinZuu et le module loan-service sont produits dans le document de conception associé (Software Design Document — hors périmètre du présent cahier des charges).</w:t>
      </w:r>
    </w:p>
    <w:p>
      <w:pPr>
        <w:pStyle w:val="Heading2"/>
        <w:spacing w:after="180" w:before="360"/>
      </w:pPr>
      <w:r>
        <w:rPr>
          <w:b/>
          <w:bCs/>
          <w:color w:val="6B2E9E"/>
          <w:sz w:val="26"/>
          <w:szCs w:val="26"/>
        </w:rPr>
        <w:t xml:space="preserve">4.4 Interfaces avec les systèmes existants</w:t>
      </w:r>
    </w:p>
    <w:p>
      <w:pPr>
        <w:spacing w:after="120"/>
        <w:jc w:val="both"/>
      </w:pPr>
      <w:r>
        <w:rPr>
          <w:b w:val="false"/>
          <w:bCs w:val="false"/>
          <w:i w:val="false"/>
          <w:iCs w:val="false"/>
          <w:sz w:val="22"/>
          <w:szCs w:val="22"/>
        </w:rPr>
        <w:t xml:space="preserve">Le Loader interagit avec les composants suivants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600"/>
      </w:tblGrid>
      <w:tr>
        <w:trPr>
          <w:tblHeader/>
        </w:trPr>
        <w:tc>
          <w:tcPr>
            <w:tcW w:type="dxa" w:w="3200"/>
            <w:shd w:fill="6B2E9E" w:val="clear"/>
            <w:tcMar>
              <w:top w:type="dxa" w:w="100"/>
              <w:left w:type="dxa" w:w="120"/>
              <w:bottom w:type="dxa" w:w="100"/>
              <w:right w:type="dxa" w:w="120"/>
            </w:tcMar>
          </w:tcPr>
          <w:p>
            <w:pPr>
              <w:jc w:val="center"/>
            </w:pPr>
            <w:r>
              <w:rPr>
                <w:b/>
                <w:bCs/>
                <w:color w:val="FFFFFF"/>
                <w:sz w:val="20"/>
                <w:szCs w:val="20"/>
              </w:rPr>
              <w:t xml:space="preserve">Composant</w:t>
            </w:r>
          </w:p>
        </w:tc>
        <w:tc>
          <w:tcPr>
            <w:tcW w:type="dxa" w:w="2400"/>
            <w:shd w:fill="6B2E9E" w:val="clear"/>
            <w:tcMar>
              <w:top w:type="dxa" w:w="100"/>
              <w:left w:type="dxa" w:w="120"/>
              <w:bottom w:type="dxa" w:w="100"/>
              <w:right w:type="dxa" w:w="120"/>
            </w:tcMar>
          </w:tcPr>
          <w:p>
            <w:pPr>
              <w:jc w:val="center"/>
            </w:pPr>
            <w:r>
              <w:rPr>
                <w:b/>
                <w:bCs/>
                <w:color w:val="FFFFFF"/>
                <w:sz w:val="20"/>
                <w:szCs w:val="20"/>
              </w:rPr>
              <w:t xml:space="preserve">Type</w:t>
            </w:r>
          </w:p>
        </w:tc>
        <w:tc>
          <w:tcPr>
            <w:tcW w:type="dxa" w:w="3600"/>
            <w:shd w:fill="6B2E9E" w:val="clear"/>
            <w:tcMar>
              <w:top w:type="dxa" w:w="100"/>
              <w:left w:type="dxa" w:w="120"/>
              <w:bottom w:type="dxa" w:w="100"/>
              <w:right w:type="dxa" w:w="120"/>
            </w:tcMar>
          </w:tcPr>
          <w:p>
            <w:pPr>
              <w:jc w:val="center"/>
            </w:pPr>
            <w:r>
              <w:rPr>
                <w:b/>
                <w:bCs/>
                <w:color w:val="FFFFFF"/>
                <w:sz w:val="20"/>
                <w:szCs w:val="20"/>
              </w:rPr>
              <w:t xml:space="preserve">Nature de l'interaction</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user-service</w:t>
            </w:r>
          </w:p>
        </w:tc>
        <w:tc>
          <w:tcPr>
            <w:tcW w:type="dxa" w:w="2400"/>
            <w:tcMar>
              <w:top w:type="dxa" w:w="80"/>
              <w:left w:type="dxa" w:w="120"/>
              <w:bottom w:type="dxa" w:w="80"/>
              <w:right w:type="dxa" w:w="120"/>
            </w:tcMar>
          </w:tcPr>
          <w:p>
            <w:pPr>
              <w:jc w:val="left"/>
            </w:pPr>
            <w:r>
              <w:rPr>
                <w:b w:val="false"/>
                <w:bCs w:val="false"/>
                <w:color w:val="000000"/>
                <w:sz w:val="20"/>
                <w:szCs w:val="20"/>
              </w:rPr>
              <w:t xml:space="preserve">FinZuu</w:t>
            </w:r>
          </w:p>
        </w:tc>
        <w:tc>
          <w:tcPr>
            <w:tcW w:type="dxa" w:w="3600"/>
            <w:tcMar>
              <w:top w:type="dxa" w:w="80"/>
              <w:left w:type="dxa" w:w="120"/>
              <w:bottom w:type="dxa" w:w="80"/>
              <w:right w:type="dxa" w:w="120"/>
            </w:tcMar>
          </w:tcPr>
          <w:p>
            <w:pPr>
              <w:jc w:val="left"/>
            </w:pPr>
            <w:r>
              <w:rPr>
                <w:b w:val="false"/>
                <w:bCs w:val="false"/>
                <w:color w:val="000000"/>
                <w:sz w:val="20"/>
                <w:szCs w:val="20"/>
              </w:rPr>
              <w:t xml:space="preserve">Authentification, obtention de tokens</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company-service</w:t>
            </w:r>
          </w:p>
        </w:tc>
        <w:tc>
          <w:tcPr>
            <w:tcW w:type="dxa" w:w="2400"/>
            <w:tcMar>
              <w:top w:type="dxa" w:w="80"/>
              <w:left w:type="dxa" w:w="120"/>
              <w:bottom w:type="dxa" w:w="80"/>
              <w:right w:type="dxa" w:w="120"/>
            </w:tcMar>
          </w:tcPr>
          <w:p>
            <w:pPr>
              <w:jc w:val="left"/>
            </w:pPr>
            <w:r>
              <w:rPr>
                <w:b w:val="false"/>
                <w:bCs w:val="false"/>
                <w:color w:val="000000"/>
                <w:sz w:val="20"/>
                <w:szCs w:val="20"/>
              </w:rPr>
              <w:t xml:space="preserve">FinZuu</w:t>
            </w:r>
          </w:p>
        </w:tc>
        <w:tc>
          <w:tcPr>
            <w:tcW w:type="dxa" w:w="3600"/>
            <w:tcMar>
              <w:top w:type="dxa" w:w="80"/>
              <w:left w:type="dxa" w:w="120"/>
              <w:bottom w:type="dxa" w:w="80"/>
              <w:right w:type="dxa" w:w="120"/>
            </w:tcMar>
          </w:tcPr>
          <w:p>
            <w:pPr>
              <w:jc w:val="left"/>
            </w:pPr>
            <w:r>
              <w:rPr>
                <w:b w:val="false"/>
                <w:bCs w:val="false"/>
                <w:color w:val="000000"/>
                <w:sz w:val="20"/>
                <w:szCs w:val="20"/>
              </w:rPr>
              <w:t xml:space="preserve">Création des compagnies et lenders</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identity-service</w:t>
            </w:r>
          </w:p>
        </w:tc>
        <w:tc>
          <w:tcPr>
            <w:tcW w:type="dxa" w:w="2400"/>
            <w:tcMar>
              <w:top w:type="dxa" w:w="80"/>
              <w:left w:type="dxa" w:w="120"/>
              <w:bottom w:type="dxa" w:w="80"/>
              <w:right w:type="dxa" w:w="120"/>
            </w:tcMar>
          </w:tcPr>
          <w:p>
            <w:pPr>
              <w:jc w:val="left"/>
            </w:pPr>
            <w:r>
              <w:rPr>
                <w:b w:val="false"/>
                <w:bCs w:val="false"/>
                <w:color w:val="000000"/>
                <w:sz w:val="20"/>
                <w:szCs w:val="20"/>
              </w:rPr>
              <w:t xml:space="preserve">FinZuu</w:t>
            </w:r>
          </w:p>
        </w:tc>
        <w:tc>
          <w:tcPr>
            <w:tcW w:type="dxa" w:w="3600"/>
            <w:tcMar>
              <w:top w:type="dxa" w:w="80"/>
              <w:left w:type="dxa" w:w="120"/>
              <w:bottom w:type="dxa" w:w="80"/>
              <w:right w:type="dxa" w:w="120"/>
            </w:tcMar>
          </w:tcPr>
          <w:p>
            <w:pPr>
              <w:jc w:val="left"/>
            </w:pPr>
            <w:r>
              <w:rPr>
                <w:b w:val="false"/>
                <w:bCs w:val="false"/>
                <w:color w:val="000000"/>
                <w:sz w:val="20"/>
                <w:szCs w:val="20"/>
              </w:rPr>
              <w:t xml:space="preserve">Création des identités KYC</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account-service</w:t>
            </w:r>
          </w:p>
        </w:tc>
        <w:tc>
          <w:tcPr>
            <w:tcW w:type="dxa" w:w="2400"/>
            <w:tcMar>
              <w:top w:type="dxa" w:w="80"/>
              <w:left w:type="dxa" w:w="120"/>
              <w:bottom w:type="dxa" w:w="80"/>
              <w:right w:type="dxa" w:w="120"/>
            </w:tcMar>
          </w:tcPr>
          <w:p>
            <w:pPr>
              <w:jc w:val="left"/>
            </w:pPr>
            <w:r>
              <w:rPr>
                <w:b w:val="false"/>
                <w:bCs w:val="false"/>
                <w:color w:val="000000"/>
                <w:sz w:val="20"/>
                <w:szCs w:val="20"/>
              </w:rPr>
              <w:t xml:space="preserve">FinZuu</w:t>
            </w:r>
          </w:p>
        </w:tc>
        <w:tc>
          <w:tcPr>
            <w:tcW w:type="dxa" w:w="3600"/>
            <w:tcMar>
              <w:top w:type="dxa" w:w="80"/>
              <w:left w:type="dxa" w:w="120"/>
              <w:bottom w:type="dxa" w:w="80"/>
              <w:right w:type="dxa" w:w="120"/>
            </w:tcMar>
          </w:tcPr>
          <w:p>
            <w:pPr>
              <w:jc w:val="left"/>
            </w:pPr>
            <w:r>
              <w:rPr>
                <w:b w:val="false"/>
                <w:bCs w:val="false"/>
                <w:color w:val="000000"/>
                <w:sz w:val="20"/>
                <w:szCs w:val="20"/>
              </w:rPr>
              <w:t xml:space="preserve">Création des comptes financiers</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config-service</w:t>
            </w:r>
          </w:p>
        </w:tc>
        <w:tc>
          <w:tcPr>
            <w:tcW w:type="dxa" w:w="2400"/>
            <w:tcMar>
              <w:top w:type="dxa" w:w="80"/>
              <w:left w:type="dxa" w:w="120"/>
              <w:bottom w:type="dxa" w:w="80"/>
              <w:right w:type="dxa" w:w="120"/>
            </w:tcMar>
          </w:tcPr>
          <w:p>
            <w:pPr>
              <w:jc w:val="left"/>
            </w:pPr>
            <w:r>
              <w:rPr>
                <w:b w:val="false"/>
                <w:bCs w:val="false"/>
                <w:color w:val="000000"/>
                <w:sz w:val="20"/>
                <w:szCs w:val="20"/>
              </w:rPr>
              <w:t xml:space="preserve">FinZuu</w:t>
            </w:r>
          </w:p>
        </w:tc>
        <w:tc>
          <w:tcPr>
            <w:tcW w:type="dxa" w:w="3600"/>
            <w:tcMar>
              <w:top w:type="dxa" w:w="80"/>
              <w:left w:type="dxa" w:w="120"/>
              <w:bottom w:type="dxa" w:w="80"/>
              <w:right w:type="dxa" w:w="120"/>
            </w:tcMar>
          </w:tcPr>
          <w:p>
            <w:pPr>
              <w:jc w:val="left"/>
            </w:pPr>
            <w:r>
              <w:rPr>
                <w:b w:val="false"/>
                <w:bCs w:val="false"/>
                <w:color w:val="000000"/>
                <w:sz w:val="20"/>
                <w:szCs w:val="20"/>
              </w:rPr>
              <w:t xml:space="preserve">Consultation pays, monnaies, opérateurs telco</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product-service</w:t>
            </w:r>
          </w:p>
        </w:tc>
        <w:tc>
          <w:tcPr>
            <w:tcW w:type="dxa" w:w="2400"/>
            <w:tcMar>
              <w:top w:type="dxa" w:w="80"/>
              <w:left w:type="dxa" w:w="120"/>
              <w:bottom w:type="dxa" w:w="80"/>
              <w:right w:type="dxa" w:w="120"/>
            </w:tcMar>
          </w:tcPr>
          <w:p>
            <w:pPr>
              <w:jc w:val="left"/>
            </w:pPr>
            <w:r>
              <w:rPr>
                <w:b w:val="false"/>
                <w:bCs w:val="false"/>
                <w:color w:val="000000"/>
                <w:sz w:val="20"/>
                <w:szCs w:val="20"/>
              </w:rPr>
              <w:t xml:space="preserve">FinZuu</w:t>
            </w:r>
          </w:p>
        </w:tc>
        <w:tc>
          <w:tcPr>
            <w:tcW w:type="dxa" w:w="3600"/>
            <w:tcMar>
              <w:top w:type="dxa" w:w="80"/>
              <w:left w:type="dxa" w:w="120"/>
              <w:bottom w:type="dxa" w:w="80"/>
              <w:right w:type="dxa" w:w="120"/>
            </w:tcMar>
          </w:tcPr>
          <w:p>
            <w:pPr>
              <w:jc w:val="left"/>
            </w:pPr>
            <w:r>
              <w:rPr>
                <w:b w:val="false"/>
                <w:bCs w:val="false"/>
                <w:color w:val="000000"/>
                <w:sz w:val="20"/>
                <w:szCs w:val="20"/>
              </w:rPr>
              <w:t xml:space="preserve">Création et lecture des produits Collecte et Prêt</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depositary-service</w:t>
            </w:r>
          </w:p>
        </w:tc>
        <w:tc>
          <w:tcPr>
            <w:tcW w:type="dxa" w:w="2400"/>
            <w:tcMar>
              <w:top w:type="dxa" w:w="80"/>
              <w:left w:type="dxa" w:w="120"/>
              <w:bottom w:type="dxa" w:w="80"/>
              <w:right w:type="dxa" w:w="120"/>
            </w:tcMar>
          </w:tcPr>
          <w:p>
            <w:pPr>
              <w:jc w:val="left"/>
            </w:pPr>
            <w:r>
              <w:rPr>
                <w:b w:val="false"/>
                <w:bCs w:val="false"/>
                <w:color w:val="000000"/>
                <w:sz w:val="20"/>
                <w:szCs w:val="20"/>
              </w:rPr>
              <w:t xml:space="preserve">FinZuu</w:t>
            </w:r>
          </w:p>
        </w:tc>
        <w:tc>
          <w:tcPr>
            <w:tcW w:type="dxa" w:w="3600"/>
            <w:tcMar>
              <w:top w:type="dxa" w:w="80"/>
              <w:left w:type="dxa" w:w="120"/>
              <w:bottom w:type="dxa" w:w="80"/>
              <w:right w:type="dxa" w:w="120"/>
            </w:tcMar>
          </w:tcPr>
          <w:p>
            <w:pPr>
              <w:jc w:val="left"/>
            </w:pPr>
            <w:r>
              <w:rPr>
                <w:b w:val="false"/>
                <w:bCs w:val="false"/>
                <w:color w:val="000000"/>
                <w:sz w:val="20"/>
                <w:szCs w:val="20"/>
              </w:rPr>
              <w:t xml:space="preserve">Création des kiosques et souscriptions</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client-service</w:t>
            </w:r>
          </w:p>
        </w:tc>
        <w:tc>
          <w:tcPr>
            <w:tcW w:type="dxa" w:w="2400"/>
            <w:tcMar>
              <w:top w:type="dxa" w:w="80"/>
              <w:left w:type="dxa" w:w="120"/>
              <w:bottom w:type="dxa" w:w="80"/>
              <w:right w:type="dxa" w:w="120"/>
            </w:tcMar>
          </w:tcPr>
          <w:p>
            <w:pPr>
              <w:jc w:val="left"/>
            </w:pPr>
            <w:r>
              <w:rPr>
                <w:b w:val="false"/>
                <w:bCs w:val="false"/>
                <w:color w:val="000000"/>
                <w:sz w:val="20"/>
                <w:szCs w:val="20"/>
              </w:rPr>
              <w:t xml:space="preserve">FinZuu</w:t>
            </w:r>
          </w:p>
        </w:tc>
        <w:tc>
          <w:tcPr>
            <w:tcW w:type="dxa" w:w="3600"/>
            <w:tcMar>
              <w:top w:type="dxa" w:w="80"/>
              <w:left w:type="dxa" w:w="120"/>
              <w:bottom w:type="dxa" w:w="80"/>
              <w:right w:type="dxa" w:w="120"/>
            </w:tcMar>
          </w:tcPr>
          <w:p>
            <w:pPr>
              <w:jc w:val="left"/>
            </w:pPr>
            <w:r>
              <w:rPr>
                <w:b w:val="false"/>
                <w:bCs w:val="false"/>
                <w:color w:val="000000"/>
                <w:sz w:val="20"/>
                <w:szCs w:val="20"/>
              </w:rPr>
              <w:t xml:space="preserve">Onboarding et souscription clients</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collect-service</w:t>
            </w:r>
          </w:p>
        </w:tc>
        <w:tc>
          <w:tcPr>
            <w:tcW w:type="dxa" w:w="2400"/>
            <w:tcMar>
              <w:top w:type="dxa" w:w="80"/>
              <w:left w:type="dxa" w:w="120"/>
              <w:bottom w:type="dxa" w:w="80"/>
              <w:right w:type="dxa" w:w="120"/>
            </w:tcMar>
          </w:tcPr>
          <w:p>
            <w:pPr>
              <w:jc w:val="left"/>
            </w:pPr>
            <w:r>
              <w:rPr>
                <w:b w:val="false"/>
                <w:bCs w:val="false"/>
                <w:color w:val="000000"/>
                <w:sz w:val="20"/>
                <w:szCs w:val="20"/>
              </w:rPr>
              <w:t xml:space="preserve">FinZuu</w:t>
            </w:r>
          </w:p>
        </w:tc>
        <w:tc>
          <w:tcPr>
            <w:tcW w:type="dxa" w:w="3600"/>
            <w:tcMar>
              <w:top w:type="dxa" w:w="80"/>
              <w:left w:type="dxa" w:w="120"/>
              <w:bottom w:type="dxa" w:w="80"/>
              <w:right w:type="dxa" w:w="120"/>
            </w:tcMar>
          </w:tcPr>
          <w:p>
            <w:pPr>
              <w:jc w:val="left"/>
            </w:pPr>
            <w:r>
              <w:rPr>
                <w:b w:val="false"/>
                <w:bCs w:val="false"/>
                <w:color w:val="000000"/>
                <w:sz w:val="20"/>
                <w:szCs w:val="20"/>
              </w:rPr>
              <w:t xml:space="preserve">Injection des transactions de collecte</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Faker fintech4esg</w:t>
            </w:r>
          </w:p>
        </w:tc>
        <w:tc>
          <w:tcPr>
            <w:tcW w:type="dxa" w:w="2400"/>
            <w:tcMar>
              <w:top w:type="dxa" w:w="80"/>
              <w:left w:type="dxa" w:w="120"/>
              <w:bottom w:type="dxa" w:w="80"/>
              <w:right w:type="dxa" w:w="120"/>
            </w:tcMar>
          </w:tcPr>
          <w:p>
            <w:pPr>
              <w:jc w:val="left"/>
            </w:pPr>
            <w:r>
              <w:rPr>
                <w:b w:val="false"/>
                <w:bCs w:val="false"/>
                <w:color w:val="000000"/>
                <w:sz w:val="20"/>
                <w:szCs w:val="20"/>
              </w:rPr>
              <w:t xml:space="preserve">FinZuu / ReadyScore</w:t>
            </w:r>
          </w:p>
        </w:tc>
        <w:tc>
          <w:tcPr>
            <w:tcW w:type="dxa" w:w="3600"/>
            <w:tcMar>
              <w:top w:type="dxa" w:w="80"/>
              <w:left w:type="dxa" w:w="120"/>
              <w:bottom w:type="dxa" w:w="80"/>
              <w:right w:type="dxa" w:w="120"/>
            </w:tcMar>
          </w:tcPr>
          <w:p>
            <w:pPr>
              <w:jc w:val="left"/>
            </w:pPr>
            <w:r>
              <w:rPr>
                <w:b w:val="false"/>
                <w:bCs w:val="false"/>
                <w:color w:val="000000"/>
                <w:sz w:val="20"/>
                <w:szCs w:val="20"/>
              </w:rPr>
              <w:t xml:space="preserve">Obtention des payloads clients et historique crédit</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loan-service (Duhamel — dt@finzuu.com)</w:t>
            </w:r>
          </w:p>
        </w:tc>
        <w:tc>
          <w:tcPr>
            <w:tcW w:type="dxa" w:w="2400"/>
            <w:tcMar>
              <w:top w:type="dxa" w:w="80"/>
              <w:left w:type="dxa" w:w="120"/>
              <w:bottom w:type="dxa" w:w="80"/>
              <w:right w:type="dxa" w:w="120"/>
            </w:tcMar>
          </w:tcPr>
          <w:p>
            <w:pPr>
              <w:jc w:val="left"/>
            </w:pPr>
            <w:r>
              <w:rPr>
                <w:b w:val="false"/>
                <w:bCs w:val="false"/>
                <w:color w:val="000000"/>
                <w:sz w:val="20"/>
                <w:szCs w:val="20"/>
              </w:rPr>
              <w:t xml:space="preserve">Externe / Interne</w:t>
            </w:r>
          </w:p>
        </w:tc>
        <w:tc>
          <w:tcPr>
            <w:tcW w:type="dxa" w:w="3600"/>
            <w:tcMar>
              <w:top w:type="dxa" w:w="80"/>
              <w:left w:type="dxa" w:w="120"/>
              <w:bottom w:type="dxa" w:w="80"/>
              <w:right w:type="dxa" w:w="120"/>
            </w:tcMar>
          </w:tcPr>
          <w:p>
            <w:pPr>
              <w:jc w:val="left"/>
            </w:pPr>
            <w:r>
              <w:rPr>
                <w:b w:val="false"/>
                <w:bCs w:val="false"/>
                <w:color w:val="000000"/>
                <w:sz w:val="20"/>
                <w:szCs w:val="20"/>
              </w:rPr>
              <w:t xml:space="preserve">Demande de prêt et gestion du cycle de vie</w:t>
            </w:r>
          </w:p>
        </w:tc>
      </w:tr>
    </w:tbl>
    <w:p>
      <w:r>
        <w:br w:type="page"/>
      </w:r>
    </w:p>
    <w:p>
      <w:pPr>
        <w:pStyle w:val="Heading1"/>
        <w:spacing w:after="240" w:before="480"/>
      </w:pPr>
      <w:r>
        <w:rPr>
          <w:b/>
          <w:bCs/>
          <w:color w:val="6B2E9E"/>
          <w:sz w:val="32"/>
          <w:szCs w:val="32"/>
        </w:rPr>
        <w:t xml:space="preserve">5. Acteurs et parties prenantes</w:t>
      </w:r>
    </w:p>
    <w:p>
      <w:pPr>
        <w:pStyle w:val="Heading2"/>
        <w:spacing w:after="180" w:before="360"/>
      </w:pPr>
      <w:r>
        <w:rPr>
          <w:b/>
          <w:bCs/>
          <w:color w:val="6B2E9E"/>
          <w:sz w:val="26"/>
          <w:szCs w:val="26"/>
        </w:rPr>
        <w:t xml:space="preserve">5.1 Cartographie des acteurs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5000"/>
        <w:gridCol w:w="1600"/>
      </w:tblGrid>
      <w:tr>
        <w:trPr>
          <w:tblHeader/>
        </w:trPr>
        <w:tc>
          <w:tcPr>
            <w:tcW w:type="dxa" w:w="2600"/>
            <w:shd w:fill="6B2E9E" w:val="clear"/>
            <w:tcMar>
              <w:top w:type="dxa" w:w="100"/>
              <w:left w:type="dxa" w:w="120"/>
              <w:bottom w:type="dxa" w:w="100"/>
              <w:right w:type="dxa" w:w="120"/>
            </w:tcMar>
          </w:tcPr>
          <w:p>
            <w:pPr>
              <w:jc w:val="center"/>
            </w:pPr>
            <w:r>
              <w:rPr>
                <w:b/>
                <w:bCs/>
                <w:color w:val="FFFFFF"/>
                <w:sz w:val="20"/>
                <w:szCs w:val="20"/>
              </w:rPr>
              <w:t xml:space="preserve">Acteur</w:t>
            </w:r>
          </w:p>
        </w:tc>
        <w:tc>
          <w:tcPr>
            <w:tcW w:type="dxa" w:w="5000"/>
            <w:shd w:fill="6B2E9E" w:val="clear"/>
            <w:tcMar>
              <w:top w:type="dxa" w:w="100"/>
              <w:left w:type="dxa" w:w="120"/>
              <w:bottom w:type="dxa" w:w="100"/>
              <w:right w:type="dxa" w:w="120"/>
            </w:tcMar>
          </w:tcPr>
          <w:p>
            <w:pPr>
              <w:jc w:val="center"/>
            </w:pPr>
            <w:r>
              <w:rPr>
                <w:b/>
                <w:bCs/>
                <w:color w:val="FFFFFF"/>
                <w:sz w:val="20"/>
                <w:szCs w:val="20"/>
              </w:rPr>
              <w:t xml:space="preserve">Rôle dans le projet</w:t>
            </w:r>
          </w:p>
        </w:tc>
        <w:tc>
          <w:tcPr>
            <w:tcW w:type="dxa" w:w="1600"/>
            <w:shd w:fill="6B2E9E" w:val="clear"/>
            <w:tcMar>
              <w:top w:type="dxa" w:w="100"/>
              <w:left w:type="dxa" w:w="120"/>
              <w:bottom w:type="dxa" w:w="100"/>
              <w:right w:type="dxa" w:w="120"/>
            </w:tcMar>
          </w:tcPr>
          <w:p>
            <w:pPr>
              <w:jc w:val="center"/>
            </w:pPr>
            <w:r>
              <w:rPr>
                <w:b/>
                <w:bCs/>
                <w:color w:val="FFFFFF"/>
                <w:sz w:val="20"/>
                <w:szCs w:val="20"/>
              </w:rPr>
              <w:t xml:space="preserve">RACI</w:t>
            </w:r>
          </w:p>
        </w:tc>
      </w:tr>
      <w:tr>
        <w:tc>
          <w:tcPr>
            <w:tcW w:type="dxa" w:w="2600"/>
            <w:tcMar>
              <w:top w:type="dxa" w:w="80"/>
              <w:left w:type="dxa" w:w="120"/>
              <w:bottom w:type="dxa" w:w="80"/>
              <w:right w:type="dxa" w:w="120"/>
            </w:tcMar>
          </w:tcPr>
          <w:p>
            <w:pPr>
              <w:jc w:val="left"/>
            </w:pPr>
            <w:r>
              <w:rPr>
                <w:b w:val="false"/>
                <w:bCs w:val="false"/>
                <w:color w:val="000000"/>
                <w:sz w:val="20"/>
                <w:szCs w:val="20"/>
              </w:rPr>
              <w:t xml:space="preserve">JJ Bwanga</w:t>
            </w:r>
          </w:p>
        </w:tc>
        <w:tc>
          <w:tcPr>
            <w:tcW w:type="dxa" w:w="5000"/>
            <w:tcMar>
              <w:top w:type="dxa" w:w="80"/>
              <w:left w:type="dxa" w:w="120"/>
              <w:bottom w:type="dxa" w:w="80"/>
              <w:right w:type="dxa" w:w="120"/>
            </w:tcMar>
          </w:tcPr>
          <w:p>
            <w:pPr>
              <w:jc w:val="left"/>
            </w:pPr>
            <w:r>
              <w:rPr>
                <w:b w:val="false"/>
                <w:bCs w:val="false"/>
                <w:color w:val="000000"/>
                <w:sz w:val="20"/>
                <w:szCs w:val="20"/>
              </w:rPr>
              <w:t xml:space="preserve">CTO/COO — Sponsor du projet, valide les livrables et la mise en production</w:t>
            </w:r>
          </w:p>
        </w:tc>
        <w:tc>
          <w:tcPr>
            <w:tcW w:type="dxa" w:w="1600"/>
            <w:tcMar>
              <w:top w:type="dxa" w:w="80"/>
              <w:left w:type="dxa" w:w="120"/>
              <w:bottom w:type="dxa" w:w="80"/>
              <w:right w:type="dxa" w:w="120"/>
            </w:tcMar>
          </w:tcPr>
          <w:p>
            <w:pPr>
              <w:jc w:val="left"/>
            </w:pPr>
            <w:r>
              <w:rPr>
                <w:b w:val="false"/>
                <w:bCs w:val="false"/>
                <w:color w:val="000000"/>
                <w:sz w:val="20"/>
                <w:szCs w:val="20"/>
              </w:rPr>
              <w:t xml:space="preserve">A</w:t>
            </w:r>
          </w:p>
        </w:tc>
      </w:tr>
      <w:tr>
        <w:tc>
          <w:tcPr>
            <w:tcW w:type="dxa" w:w="2600"/>
            <w:tcMar>
              <w:top w:type="dxa" w:w="80"/>
              <w:left w:type="dxa" w:w="120"/>
              <w:bottom w:type="dxa" w:w="80"/>
              <w:right w:type="dxa" w:w="120"/>
            </w:tcMar>
          </w:tcPr>
          <w:p>
            <w:pPr>
              <w:jc w:val="left"/>
            </w:pPr>
            <w:r>
              <w:rPr>
                <w:b w:val="false"/>
                <w:bCs w:val="false"/>
                <w:color w:val="000000"/>
                <w:sz w:val="20"/>
                <w:szCs w:val="20"/>
              </w:rPr>
              <w:t xml:space="preserve">Raphaël Moutot</w:t>
            </w:r>
          </w:p>
        </w:tc>
        <w:tc>
          <w:tcPr>
            <w:tcW w:type="dxa" w:w="5000"/>
            <w:tcMar>
              <w:top w:type="dxa" w:w="80"/>
              <w:left w:type="dxa" w:w="120"/>
              <w:bottom w:type="dxa" w:w="80"/>
              <w:right w:type="dxa" w:w="120"/>
            </w:tcMar>
          </w:tcPr>
          <w:p>
            <w:pPr>
              <w:jc w:val="left"/>
            </w:pPr>
            <w:r>
              <w:rPr>
                <w:b w:val="false"/>
                <w:bCs w:val="false"/>
                <w:color w:val="000000"/>
                <w:sz w:val="20"/>
                <w:szCs w:val="20"/>
              </w:rPr>
              <w:t xml:space="preserve">PM — Définit la méthodologie documentaire (4 piliers), valide la conformité</w:t>
            </w:r>
          </w:p>
        </w:tc>
        <w:tc>
          <w:tcPr>
            <w:tcW w:type="dxa" w:w="1600"/>
            <w:tcMar>
              <w:top w:type="dxa" w:w="80"/>
              <w:left w:type="dxa" w:w="120"/>
              <w:bottom w:type="dxa" w:w="80"/>
              <w:right w:type="dxa" w:w="120"/>
            </w:tcMar>
          </w:tcPr>
          <w:p>
            <w:pPr>
              <w:jc w:val="left"/>
            </w:pPr>
            <w:r>
              <w:rPr>
                <w:b w:val="false"/>
                <w:bCs w:val="false"/>
                <w:color w:val="000000"/>
                <w:sz w:val="20"/>
                <w:szCs w:val="20"/>
              </w:rPr>
              <w:t xml:space="preserve">C</w:t>
            </w:r>
          </w:p>
        </w:tc>
      </w:tr>
      <w:tr>
        <w:tc>
          <w:tcPr>
            <w:tcW w:type="dxa" w:w="2600"/>
            <w:tcMar>
              <w:top w:type="dxa" w:w="80"/>
              <w:left w:type="dxa" w:w="120"/>
              <w:bottom w:type="dxa" w:w="80"/>
              <w:right w:type="dxa" w:w="120"/>
            </w:tcMar>
          </w:tcPr>
          <w:p>
            <w:pPr>
              <w:jc w:val="left"/>
            </w:pPr>
            <w:r>
              <w:rPr>
                <w:b w:val="false"/>
                <w:bCs w:val="false"/>
                <w:color w:val="000000"/>
                <w:sz w:val="20"/>
                <w:szCs w:val="20"/>
              </w:rPr>
              <w:t xml:space="preserve">Kuate Abdel Yaniv</w:t>
            </w:r>
          </w:p>
        </w:tc>
        <w:tc>
          <w:tcPr>
            <w:tcW w:type="dxa" w:w="5000"/>
            <w:tcMar>
              <w:top w:type="dxa" w:w="80"/>
              <w:left w:type="dxa" w:w="120"/>
              <w:bottom w:type="dxa" w:w="80"/>
              <w:right w:type="dxa" w:w="120"/>
            </w:tcMar>
          </w:tcPr>
          <w:p>
            <w:pPr>
              <w:jc w:val="left"/>
            </w:pPr>
            <w:r>
              <w:rPr>
                <w:b w:val="false"/>
                <w:bCs w:val="false"/>
                <w:color w:val="000000"/>
                <w:sz w:val="20"/>
                <w:szCs w:val="20"/>
              </w:rPr>
              <w:t xml:space="preserve">QA Lead — Conçoit et pilote la production du Loader</w:t>
            </w:r>
          </w:p>
        </w:tc>
        <w:tc>
          <w:tcPr>
            <w:tcW w:type="dxa" w:w="1600"/>
            <w:tcMar>
              <w:top w:type="dxa" w:w="80"/>
              <w:left w:type="dxa" w:w="120"/>
              <w:bottom w:type="dxa" w:w="80"/>
              <w:right w:type="dxa" w:w="120"/>
            </w:tcMar>
          </w:tcPr>
          <w:p>
            <w:pPr>
              <w:jc w:val="left"/>
            </w:pPr>
            <w:r>
              <w:rPr>
                <w:b w:val="false"/>
                <w:bCs w:val="false"/>
                <w:color w:val="000000"/>
                <w:sz w:val="20"/>
                <w:szCs w:val="20"/>
              </w:rPr>
              <w:t xml:space="preserve">R</w:t>
            </w:r>
          </w:p>
        </w:tc>
      </w:tr>
      <w:tr>
        <w:tc>
          <w:tcPr>
            <w:tcW w:type="dxa" w:w="2600"/>
            <w:tcMar>
              <w:top w:type="dxa" w:w="80"/>
              <w:left w:type="dxa" w:w="120"/>
              <w:bottom w:type="dxa" w:w="80"/>
              <w:right w:type="dxa" w:w="120"/>
            </w:tcMar>
          </w:tcPr>
          <w:p>
            <w:pPr>
              <w:jc w:val="left"/>
            </w:pPr>
            <w:r>
              <w:rPr>
                <w:b w:val="false"/>
                <w:bCs w:val="false"/>
                <w:color w:val="000000"/>
                <w:sz w:val="20"/>
                <w:szCs w:val="20"/>
              </w:rPr>
              <w:t xml:space="preserve">Zidane</w:t>
            </w:r>
          </w:p>
        </w:tc>
        <w:tc>
          <w:tcPr>
            <w:tcW w:type="dxa" w:w="5000"/>
            <w:tcMar>
              <w:top w:type="dxa" w:w="80"/>
              <w:left w:type="dxa" w:w="120"/>
              <w:bottom w:type="dxa" w:w="80"/>
              <w:right w:type="dxa" w:w="120"/>
            </w:tcMar>
          </w:tcPr>
          <w:p>
            <w:pPr>
              <w:jc w:val="left"/>
            </w:pPr>
            <w:r>
              <w:rPr>
                <w:b w:val="false"/>
                <w:bCs w:val="false"/>
                <w:color w:val="000000"/>
                <w:sz w:val="20"/>
                <w:szCs w:val="20"/>
              </w:rPr>
              <w:t xml:space="preserve">Co-QA — Contribue au développement de la mini-interface de pilotage</w:t>
            </w:r>
          </w:p>
        </w:tc>
        <w:tc>
          <w:tcPr>
            <w:tcW w:type="dxa" w:w="1600"/>
            <w:tcMar>
              <w:top w:type="dxa" w:w="80"/>
              <w:left w:type="dxa" w:w="120"/>
              <w:bottom w:type="dxa" w:w="80"/>
              <w:right w:type="dxa" w:w="120"/>
            </w:tcMar>
          </w:tcPr>
          <w:p>
            <w:pPr>
              <w:jc w:val="left"/>
            </w:pPr>
            <w:r>
              <w:rPr>
                <w:b w:val="false"/>
                <w:bCs w:val="false"/>
                <w:color w:val="000000"/>
                <w:sz w:val="20"/>
                <w:szCs w:val="20"/>
              </w:rPr>
              <w:t xml:space="preserve">R</w:t>
            </w:r>
          </w:p>
        </w:tc>
      </w:tr>
      <w:tr>
        <w:tc>
          <w:tcPr>
            <w:tcW w:type="dxa" w:w="2600"/>
            <w:tcMar>
              <w:top w:type="dxa" w:w="80"/>
              <w:left w:type="dxa" w:w="120"/>
              <w:bottom w:type="dxa" w:w="80"/>
              <w:right w:type="dxa" w:w="120"/>
            </w:tcMar>
          </w:tcPr>
          <w:p>
            <w:pPr>
              <w:jc w:val="left"/>
            </w:pPr>
            <w:r>
              <w:rPr>
                <w:b w:val="false"/>
                <w:bCs w:val="false"/>
                <w:color w:val="000000"/>
                <w:sz w:val="20"/>
                <w:szCs w:val="20"/>
              </w:rPr>
              <w:t xml:space="preserve">Duhamel (dt@finzuu.com)</w:t>
            </w:r>
          </w:p>
        </w:tc>
        <w:tc>
          <w:tcPr>
            <w:tcW w:type="dxa" w:w="5000"/>
            <w:tcMar>
              <w:top w:type="dxa" w:w="80"/>
              <w:left w:type="dxa" w:w="120"/>
              <w:bottom w:type="dxa" w:w="80"/>
              <w:right w:type="dxa" w:w="120"/>
            </w:tcMar>
          </w:tcPr>
          <w:p>
            <w:pPr>
              <w:jc w:val="left"/>
            </w:pPr>
            <w:r>
              <w:rPr>
                <w:b w:val="false"/>
                <w:bCs w:val="false"/>
                <w:color w:val="000000"/>
                <w:sz w:val="20"/>
                <w:szCs w:val="20"/>
              </w:rPr>
              <w:t xml:space="preserve">Développeur externe — Livre le module loan-service</w:t>
            </w:r>
          </w:p>
        </w:tc>
        <w:tc>
          <w:tcPr>
            <w:tcW w:type="dxa" w:w="1600"/>
            <w:tcMar>
              <w:top w:type="dxa" w:w="80"/>
              <w:left w:type="dxa" w:w="120"/>
              <w:bottom w:type="dxa" w:w="80"/>
              <w:right w:type="dxa" w:w="120"/>
            </w:tcMar>
          </w:tcPr>
          <w:p>
            <w:pPr>
              <w:jc w:val="left"/>
            </w:pPr>
            <w:r>
              <w:rPr>
                <w:b w:val="false"/>
                <w:bCs w:val="false"/>
                <w:color w:val="000000"/>
                <w:sz w:val="20"/>
                <w:szCs w:val="20"/>
              </w:rPr>
              <w:t xml:space="preserve">C</w:t>
            </w:r>
          </w:p>
        </w:tc>
      </w:tr>
      <w:tr>
        <w:tc>
          <w:tcPr>
            <w:tcW w:type="dxa" w:w="2600"/>
            <w:tcMar>
              <w:top w:type="dxa" w:w="80"/>
              <w:left w:type="dxa" w:w="120"/>
              <w:bottom w:type="dxa" w:w="80"/>
              <w:right w:type="dxa" w:w="120"/>
            </w:tcMar>
          </w:tcPr>
          <w:p>
            <w:pPr>
              <w:jc w:val="left"/>
            </w:pPr>
            <w:r>
              <w:rPr>
                <w:b w:val="false"/>
                <w:bCs w:val="false"/>
                <w:color w:val="000000"/>
                <w:sz w:val="20"/>
                <w:szCs w:val="20"/>
              </w:rPr>
              <w:t xml:space="preserve">Oti (ot@finzuu.com)</w:t>
            </w:r>
          </w:p>
        </w:tc>
        <w:tc>
          <w:tcPr>
            <w:tcW w:type="dxa" w:w="5000"/>
            <w:tcMar>
              <w:top w:type="dxa" w:w="80"/>
              <w:left w:type="dxa" w:w="120"/>
              <w:bottom w:type="dxa" w:w="80"/>
              <w:right w:type="dxa" w:w="120"/>
            </w:tcMar>
          </w:tcPr>
          <w:p>
            <w:pPr>
              <w:jc w:val="left"/>
            </w:pPr>
            <w:r>
              <w:rPr>
                <w:b w:val="false"/>
                <w:bCs w:val="false"/>
                <w:color w:val="000000"/>
                <w:sz w:val="20"/>
                <w:szCs w:val="20"/>
              </w:rPr>
              <w:t xml:space="preserve">Référent Faker fintech4esg — Consulté sur les capacités de l'API tierce</w:t>
            </w:r>
          </w:p>
        </w:tc>
        <w:tc>
          <w:tcPr>
            <w:tcW w:type="dxa" w:w="1600"/>
            <w:tcMar>
              <w:top w:type="dxa" w:w="80"/>
              <w:left w:type="dxa" w:w="120"/>
              <w:bottom w:type="dxa" w:w="80"/>
              <w:right w:type="dxa" w:w="120"/>
            </w:tcMar>
          </w:tcPr>
          <w:p>
            <w:pPr>
              <w:jc w:val="left"/>
            </w:pPr>
            <w:r>
              <w:rPr>
                <w:b w:val="false"/>
                <w:bCs w:val="false"/>
                <w:color w:val="000000"/>
                <w:sz w:val="20"/>
                <w:szCs w:val="20"/>
              </w:rPr>
              <w:t xml:space="preserve">C</w:t>
            </w:r>
          </w:p>
        </w:tc>
      </w:tr>
      <w:tr>
        <w:tc>
          <w:tcPr>
            <w:tcW w:type="dxa" w:w="2600"/>
            <w:tcMar>
              <w:top w:type="dxa" w:w="80"/>
              <w:left w:type="dxa" w:w="120"/>
              <w:bottom w:type="dxa" w:w="80"/>
              <w:right w:type="dxa" w:w="120"/>
            </w:tcMar>
          </w:tcPr>
          <w:p>
            <w:pPr>
              <w:jc w:val="left"/>
            </w:pPr>
            <w:r>
              <w:rPr>
                <w:b w:val="false"/>
                <w:bCs w:val="false"/>
                <w:color w:val="000000"/>
                <w:sz w:val="20"/>
                <w:szCs w:val="20"/>
              </w:rPr>
              <w:t xml:space="preserve">Équipe QA élargie</w:t>
            </w:r>
          </w:p>
        </w:tc>
        <w:tc>
          <w:tcPr>
            <w:tcW w:type="dxa" w:w="5000"/>
            <w:tcMar>
              <w:top w:type="dxa" w:w="80"/>
              <w:left w:type="dxa" w:w="120"/>
              <w:bottom w:type="dxa" w:w="80"/>
              <w:right w:type="dxa" w:w="120"/>
            </w:tcMar>
          </w:tcPr>
          <w:p>
            <w:pPr>
              <w:jc w:val="left"/>
            </w:pPr>
            <w:r>
              <w:rPr>
                <w:b w:val="false"/>
                <w:bCs w:val="false"/>
                <w:color w:val="000000"/>
                <w:sz w:val="20"/>
                <w:szCs w:val="20"/>
              </w:rPr>
              <w:t xml:space="preserve">Utilisatrice finale de l'outil pour les campagnes de test</w:t>
            </w:r>
          </w:p>
        </w:tc>
        <w:tc>
          <w:tcPr>
            <w:tcW w:type="dxa" w:w="1600"/>
            <w:tcMar>
              <w:top w:type="dxa" w:w="80"/>
              <w:left w:type="dxa" w:w="120"/>
              <w:bottom w:type="dxa" w:w="80"/>
              <w:right w:type="dxa" w:w="120"/>
            </w:tcMar>
          </w:tcPr>
          <w:p>
            <w:pPr>
              <w:jc w:val="left"/>
            </w:pPr>
            <w:r>
              <w:rPr>
                <w:b w:val="false"/>
                <w:bCs w:val="false"/>
                <w:color w:val="000000"/>
                <w:sz w:val="20"/>
                <w:szCs w:val="20"/>
              </w:rPr>
              <w:t xml:space="preserve">I</w:t>
            </w:r>
          </w:p>
        </w:tc>
      </w:tr>
      <w:tr>
        <w:tc>
          <w:tcPr>
            <w:tcW w:type="dxa" w:w="2600"/>
            <w:tcMar>
              <w:top w:type="dxa" w:w="80"/>
              <w:left w:type="dxa" w:w="120"/>
              <w:bottom w:type="dxa" w:w="80"/>
              <w:right w:type="dxa" w:w="120"/>
            </w:tcMar>
          </w:tcPr>
          <w:p>
            <w:pPr>
              <w:jc w:val="left"/>
            </w:pPr>
            <w:r>
              <w:rPr>
                <w:b w:val="false"/>
                <w:bCs w:val="false"/>
                <w:color w:val="000000"/>
                <w:sz w:val="20"/>
                <w:szCs w:val="20"/>
              </w:rPr>
              <w:t xml:space="preserve">Équipe commerciale</w:t>
            </w:r>
          </w:p>
        </w:tc>
        <w:tc>
          <w:tcPr>
            <w:tcW w:type="dxa" w:w="5000"/>
            <w:tcMar>
              <w:top w:type="dxa" w:w="80"/>
              <w:left w:type="dxa" w:w="120"/>
              <w:bottom w:type="dxa" w:w="80"/>
              <w:right w:type="dxa" w:w="120"/>
            </w:tcMar>
          </w:tcPr>
          <w:p>
            <w:pPr>
              <w:jc w:val="left"/>
            </w:pPr>
            <w:r>
              <w:rPr>
                <w:b w:val="false"/>
                <w:bCs w:val="false"/>
                <w:color w:val="000000"/>
                <w:sz w:val="20"/>
                <w:szCs w:val="20"/>
              </w:rPr>
              <w:t xml:space="preserve">Utilisatrice finale pour les démonstrations prospects</w:t>
            </w:r>
          </w:p>
        </w:tc>
        <w:tc>
          <w:tcPr>
            <w:tcW w:type="dxa" w:w="1600"/>
            <w:tcMar>
              <w:top w:type="dxa" w:w="80"/>
              <w:left w:type="dxa" w:w="120"/>
              <w:bottom w:type="dxa" w:w="80"/>
              <w:right w:type="dxa" w:w="120"/>
            </w:tcMar>
          </w:tcPr>
          <w:p>
            <w:pPr>
              <w:jc w:val="left"/>
            </w:pPr>
            <w:r>
              <w:rPr>
                <w:b w:val="false"/>
                <w:bCs w:val="false"/>
                <w:color w:val="000000"/>
                <w:sz w:val="20"/>
                <w:szCs w:val="20"/>
              </w:rPr>
              <w:t xml:space="preserve">I</w:t>
            </w:r>
          </w:p>
        </w:tc>
      </w:tr>
    </w:tbl>
    <w:p>
      <w:pPr>
        <w:spacing w:after="120"/>
        <w:jc w:val="both"/>
      </w:pPr>
      <w:r>
        <w:rPr>
          <w:b w:val="false"/>
          <w:bCs w:val="false"/>
          <w:i w:val="false"/>
          <w:iCs w:val="false"/>
          <w:sz w:val="22"/>
          <w:szCs w:val="22"/>
        </w:rPr>
        <w:t xml:space="preserve"/>
      </w:r>
    </w:p>
    <w:p>
      <w:pPr>
        <w:spacing w:after="120"/>
        <w:jc w:val="both"/>
      </w:pPr>
      <w:r>
        <w:rPr>
          <w:b w:val="false"/>
          <w:bCs w:val="false"/>
          <w:i/>
          <w:iCs/>
          <w:sz w:val="22"/>
          <w:szCs w:val="22"/>
        </w:rPr>
        <w:t xml:space="preserve">Légende RACI : R = Responsible (exécute), A = Accountable (rend compte), C = Consulted (consulté), I = Informed (informé).</w:t>
      </w:r>
    </w:p>
    <w:p>
      <w:r>
        <w:br w:type="page"/>
      </w:r>
    </w:p>
    <w:p>
      <w:pPr>
        <w:pStyle w:val="Heading1"/>
        <w:spacing w:after="240" w:before="480"/>
      </w:pPr>
      <w:r>
        <w:rPr>
          <w:b/>
          <w:bCs/>
          <w:color w:val="6B2E9E"/>
          <w:sz w:val="32"/>
          <w:szCs w:val="32"/>
        </w:rPr>
        <w:t xml:space="preserve">6. Modèle métier</w:t>
      </w:r>
    </w:p>
    <w:p>
      <w:pPr>
        <w:pStyle w:val="Heading2"/>
        <w:spacing w:after="180" w:before="360"/>
      </w:pPr>
      <w:r>
        <w:rPr>
          <w:b/>
          <w:bCs/>
          <w:color w:val="6B2E9E"/>
          <w:sz w:val="26"/>
          <w:szCs w:val="26"/>
        </w:rPr>
        <w:t xml:space="preserve">6.1 Arbre géographique — 5 niveaux</w:t>
      </w:r>
    </w:p>
    <w:p>
      <w:pPr>
        <w:spacing w:after="120"/>
        <w:jc w:val="both"/>
      </w:pPr>
      <w:r>
        <w:rPr>
          <w:b w:val="false"/>
          <w:bCs w:val="false"/>
          <w:i w:val="false"/>
          <w:iCs w:val="false"/>
          <w:sz w:val="22"/>
          <w:szCs w:val="22"/>
        </w:rPr>
        <w:t xml:space="preserve">La structure géographique du système repose sur une hiérarchie stricte à cinq niveaux, reprise du référentiel administratif officiel de chaque pays cible :</w:t>
      </w:r>
    </w:p>
    <w:p>
      <w:pPr>
        <w:pStyle w:val="ListParagraph"/>
        <w:numPr>
          <w:ilvl w:val="0"/>
          <w:numId w:val="1"/>
        </w:numPr>
        <w:spacing w:after="80"/>
      </w:pPr>
      <w:r>
        <w:rPr>
          <w:b/>
          <w:bCs/>
          <w:sz w:val="22"/>
          <w:szCs w:val="22"/>
        </w:rPr>
        <w:t xml:space="preserve">Niveau 1 — Country : </w:t>
      </w:r>
      <w:r>
        <w:rPr>
          <w:sz w:val="22"/>
          <w:szCs w:val="22"/>
        </w:rPr>
        <w:t xml:space="preserve">quatre entrées (CM, CI, BF, SN) avec métadonnées monnaie, indicatif téléphonique, TVA, fuseau horaire.</w:t>
      </w:r>
    </w:p>
    <w:p>
      <w:pPr>
        <w:pStyle w:val="ListParagraph"/>
        <w:numPr>
          <w:ilvl w:val="0"/>
          <w:numId w:val="1"/>
        </w:numPr>
        <w:spacing w:after="80"/>
      </w:pPr>
      <w:r>
        <w:rPr>
          <w:b/>
          <w:bCs/>
          <w:sz w:val="22"/>
          <w:szCs w:val="22"/>
        </w:rPr>
        <w:t xml:space="preserve">Niveau 2 — Region : </w:t>
      </w:r>
      <w:r>
        <w:rPr>
          <w:sz w:val="22"/>
          <w:szCs w:val="22"/>
        </w:rPr>
        <w:t xml:space="preserve">51 entrées au total, alignées sur les subdivisions officielles (10 pour CM, 14 pour CI, 13 pour BF, 14 pour SN).</w:t>
      </w:r>
    </w:p>
    <w:p>
      <w:pPr>
        <w:pStyle w:val="ListParagraph"/>
        <w:numPr>
          <w:ilvl w:val="0"/>
          <w:numId w:val="1"/>
        </w:numPr>
        <w:spacing w:after="80"/>
      </w:pPr>
      <w:r>
        <w:rPr>
          <w:b/>
          <w:bCs/>
          <w:sz w:val="22"/>
          <w:szCs w:val="22"/>
        </w:rPr>
        <w:t xml:space="preserve">Niveau 3 — City : </w:t>
      </w:r>
      <w:r>
        <w:rPr>
          <w:sz w:val="22"/>
          <w:szCs w:val="22"/>
        </w:rPr>
        <w:t xml:space="preserve">50 villes principales avec population estimée et coordonnées GPS.</w:t>
      </w:r>
    </w:p>
    <w:p>
      <w:pPr>
        <w:pStyle w:val="ListParagraph"/>
        <w:numPr>
          <w:ilvl w:val="0"/>
          <w:numId w:val="1"/>
        </w:numPr>
        <w:spacing w:after="80"/>
      </w:pPr>
      <w:r>
        <w:rPr>
          <w:b/>
          <w:bCs/>
          <w:sz w:val="22"/>
          <w:szCs w:val="22"/>
        </w:rPr>
        <w:t xml:space="preserve">Niveau 4 — District/Quartier : </w:t>
      </w:r>
      <w:r>
        <w:rPr>
          <w:sz w:val="22"/>
          <w:szCs w:val="22"/>
        </w:rPr>
        <w:t xml:space="preserve">82 quartiers pour les grandes villes (Yaoundé, Douala, Abidjan, Ouagadougou, Bobo-Dioulasso, Dakar, Pikine, Thiès, Saint-Louis).</w:t>
      </w:r>
    </w:p>
    <w:p>
      <w:pPr>
        <w:pStyle w:val="ListParagraph"/>
        <w:numPr>
          <w:ilvl w:val="0"/>
          <w:numId w:val="1"/>
        </w:numPr>
        <w:spacing w:after="80"/>
      </w:pPr>
      <w:r>
        <w:rPr>
          <w:b/>
          <w:bCs/>
          <w:sz w:val="22"/>
          <w:szCs w:val="22"/>
        </w:rPr>
        <w:t xml:space="preserve">Niveau 5 — Address : </w:t>
      </w:r>
      <w:r>
        <w:rPr>
          <w:sz w:val="22"/>
          <w:szCs w:val="22"/>
        </w:rPr>
        <w:t xml:space="preserve">adresse physique attribuée dynamiquement lors de la génération, avec coordonnées GPS dérivées.</w:t>
      </w:r>
    </w:p>
    <w:p>
      <w:pPr>
        <w:pStyle w:val="Heading2"/>
        <w:spacing w:after="180" w:before="360"/>
      </w:pPr>
      <w:r>
        <w:rPr>
          <w:b/>
          <w:bCs/>
          <w:color w:val="6B2E9E"/>
          <w:sz w:val="26"/>
          <w:szCs w:val="26"/>
        </w:rPr>
        <w:t xml:space="preserve">6.2 Arbre opérationnel FinZuu</w:t>
      </w:r>
    </w:p>
    <w:p>
      <w:pPr>
        <w:spacing w:after="120"/>
        <w:jc w:val="both"/>
      </w:pPr>
      <w:r>
        <w:rPr>
          <w:b w:val="false"/>
          <w:bCs w:val="false"/>
          <w:i w:val="false"/>
          <w:iCs w:val="false"/>
          <w:sz w:val="22"/>
          <w:szCs w:val="22"/>
        </w:rPr>
        <w:t xml:space="preserve">L'écosystème opérationnel repose sur une hiérarchie de six niveaux, du bailleur institutionnel jusqu'à l'agent de terrain :</w:t>
      </w:r>
    </w:p>
    <w:p>
      <w:pPr>
        <w:pStyle w:val="ListParagraph"/>
        <w:numPr>
          <w:ilvl w:val="0"/>
          <w:numId w:val="1"/>
        </w:numPr>
        <w:spacing w:after="80"/>
      </w:pPr>
      <w:r>
        <w:rPr>
          <w:b/>
          <w:bCs/>
          <w:sz w:val="22"/>
          <w:szCs w:val="22"/>
        </w:rPr>
        <w:t xml:space="preserve">Niveau 1 — Company (IMF) : </w:t>
      </w:r>
      <w:r>
        <w:rPr>
          <w:sz w:val="22"/>
          <w:szCs w:val="22"/>
        </w:rPr>
        <w:t xml:space="preserve">personne morale utilisant FinZuu. Sept types possibles : IMF (Institution de Microfinance), Banque, Fondation, Fonds institutionnel, Merchant, Agence, Kiosque.</w:t>
      </w:r>
    </w:p>
    <w:p>
      <w:pPr>
        <w:pStyle w:val="ListParagraph"/>
        <w:numPr>
          <w:ilvl w:val="0"/>
          <w:numId w:val="1"/>
        </w:numPr>
        <w:spacing w:after="80"/>
      </w:pPr>
      <w:r>
        <w:rPr>
          <w:b/>
          <w:bCs/>
          <w:sz w:val="22"/>
          <w:szCs w:val="22"/>
        </w:rPr>
        <w:t xml:space="preserve">Niveau 2 — Lender : </w:t>
      </w:r>
      <w:r>
        <w:rPr>
          <w:sz w:val="22"/>
          <w:szCs w:val="22"/>
        </w:rPr>
        <w:t xml:space="preserve">rôle métier porté par une Company. Un Lender apporte le capital finançant les prêts. Distingué en Lender local (3 par pays) et Lender institutionnel (Nordic Microfinance, IFC, AFD, BAD).</w:t>
      </w:r>
    </w:p>
    <w:p>
      <w:pPr>
        <w:pStyle w:val="ListParagraph"/>
        <w:numPr>
          <w:ilvl w:val="0"/>
          <w:numId w:val="1"/>
        </w:numPr>
        <w:spacing w:after="80"/>
      </w:pPr>
      <w:r>
        <w:rPr>
          <w:b/>
          <w:bCs/>
          <w:sz w:val="22"/>
          <w:szCs w:val="22"/>
        </w:rPr>
        <w:t xml:space="preserve">Niveau 3 — Branche : </w:t>
      </w:r>
      <w:r>
        <w:rPr>
          <w:sz w:val="22"/>
          <w:szCs w:val="22"/>
        </w:rPr>
        <w:t xml:space="preserve">unité territoriale de la Company, rattachée à une Region.</w:t>
      </w:r>
    </w:p>
    <w:p>
      <w:pPr>
        <w:pStyle w:val="ListParagraph"/>
        <w:numPr>
          <w:ilvl w:val="0"/>
          <w:numId w:val="1"/>
        </w:numPr>
        <w:spacing w:after="80"/>
      </w:pPr>
      <w:r>
        <w:rPr>
          <w:b/>
          <w:bCs/>
          <w:sz w:val="22"/>
          <w:szCs w:val="22"/>
        </w:rPr>
        <w:t xml:space="preserve">Niveau 4 — Agence : </w:t>
      </w:r>
      <w:r>
        <w:rPr>
          <w:sz w:val="22"/>
          <w:szCs w:val="22"/>
        </w:rPr>
        <w:t xml:space="preserve">déclinaison de la Branche au niveau d'une Ville.</w:t>
      </w:r>
    </w:p>
    <w:p>
      <w:pPr>
        <w:pStyle w:val="ListParagraph"/>
        <w:numPr>
          <w:ilvl w:val="0"/>
          <w:numId w:val="1"/>
        </w:numPr>
        <w:spacing w:after="80"/>
      </w:pPr>
      <w:r>
        <w:rPr>
          <w:b/>
          <w:bCs/>
          <w:sz w:val="22"/>
          <w:szCs w:val="22"/>
        </w:rPr>
        <w:t xml:space="preserve">Niveau 5 — Kiosque : </w:t>
      </w:r>
      <w:r>
        <w:rPr>
          <w:sz w:val="22"/>
          <w:szCs w:val="22"/>
        </w:rPr>
        <w:t xml:space="preserve">point physique de dépôt et retrait, rattaché à un Quartier.</w:t>
      </w:r>
    </w:p>
    <w:p>
      <w:pPr>
        <w:pStyle w:val="ListParagraph"/>
        <w:numPr>
          <w:ilvl w:val="0"/>
          <w:numId w:val="1"/>
        </w:numPr>
        <w:spacing w:after="80"/>
      </w:pPr>
      <w:r>
        <w:rPr>
          <w:b/>
          <w:bCs/>
          <w:sz w:val="22"/>
          <w:szCs w:val="22"/>
        </w:rPr>
        <w:t xml:space="preserve">Niveau 6 — Agent : </w:t>
      </w:r>
      <w:r>
        <w:rPr>
          <w:sz w:val="22"/>
          <w:szCs w:val="22"/>
        </w:rPr>
        <w:t xml:space="preserve">personne physique opérant sur le terrain, rattachée à un Kiosque.</w:t>
      </w:r>
    </w:p>
    <w:p>
      <w:pPr>
        <w:pStyle w:val="Heading2"/>
        <w:spacing w:after="180" w:before="360"/>
      </w:pPr>
      <w:r>
        <w:rPr>
          <w:b/>
          <w:bCs/>
          <w:color w:val="6B2E9E"/>
          <w:sz w:val="26"/>
          <w:szCs w:val="26"/>
        </w:rPr>
        <w:t xml:space="preserve">6.3 Distinction Company / IMF / Lender</w:t>
      </w:r>
    </w:p>
    <w:p>
      <w:pPr>
        <w:spacing w:after="120"/>
        <w:jc w:val="both"/>
      </w:pPr>
      <w:r>
        <w:rPr>
          <w:b w:val="false"/>
          <w:bCs w:val="false"/>
          <w:i w:val="false"/>
          <w:iCs w:val="false"/>
          <w:sz w:val="22"/>
          <w:szCs w:val="22"/>
        </w:rPr>
        <w:t xml:space="preserve">Le vocabulaire métier distingue trois notions fréquemment confondues. Une Company désigne toute personne morale utilisant la plateforme, incluant les commerçants, les IMF, les banques, les fondations. Une IMF est un type particulier de Company. Un Lender est un rôle métier porté par une Company : une IMF peut être Lender de ses propres prêts, une fondation institutionnelle peut être Lender sans être IMF, une simple boutique enregistrée comme Company ne peut pas être Lender.</w:t>
      </w:r>
    </w:p>
    <w:p>
      <w:pPr>
        <w:pStyle w:val="Heading2"/>
        <w:spacing w:after="180" w:before="360"/>
      </w:pPr>
      <w:r>
        <w:rPr>
          <w:b/>
          <w:bCs/>
          <w:color w:val="6B2E9E"/>
          <w:sz w:val="26"/>
          <w:szCs w:val="26"/>
        </w:rPr>
        <w:t xml:space="preserve">6.4 Glossaire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6B2E9E" w:val="clear"/>
            <w:tcMar>
              <w:top w:type="dxa" w:w="100"/>
              <w:left w:type="dxa" w:w="120"/>
              <w:bottom w:type="dxa" w:w="100"/>
              <w:right w:type="dxa" w:w="120"/>
            </w:tcMar>
          </w:tcPr>
          <w:p>
            <w:pPr>
              <w:jc w:val="center"/>
            </w:pPr>
            <w:r>
              <w:rPr>
                <w:b/>
                <w:bCs/>
                <w:color w:val="FFFFFF"/>
                <w:sz w:val="20"/>
                <w:szCs w:val="20"/>
              </w:rPr>
              <w:t xml:space="preserve">Terme</w:t>
            </w:r>
          </w:p>
        </w:tc>
        <w:tc>
          <w:tcPr>
            <w:tcW w:type="dxa" w:w="6600"/>
            <w:shd w:fill="6B2E9E" w:val="clear"/>
            <w:tcMar>
              <w:top w:type="dxa" w:w="100"/>
              <w:left w:type="dxa" w:w="120"/>
              <w:bottom w:type="dxa" w:w="100"/>
              <w:right w:type="dxa" w:w="120"/>
            </w:tcMar>
          </w:tcPr>
          <w:p>
            <w:pPr>
              <w:jc w:val="center"/>
            </w:pPr>
            <w:r>
              <w:rPr>
                <w:b/>
                <w:bCs/>
                <w:color w:val="FFFFFF"/>
                <w:sz w:val="20"/>
                <w:szCs w:val="20"/>
              </w:rPr>
              <w:t xml:space="preserve">Définition</w:t>
            </w:r>
          </w:p>
        </w:tc>
      </w:tr>
      <w:tr>
        <w:tc>
          <w:tcPr>
            <w:tcW w:type="dxa" w:w="2600"/>
            <w:tcMar>
              <w:top w:type="dxa" w:w="80"/>
              <w:left w:type="dxa" w:w="120"/>
              <w:bottom w:type="dxa" w:w="80"/>
              <w:right w:type="dxa" w:w="120"/>
            </w:tcMar>
          </w:tcPr>
          <w:p>
            <w:pPr>
              <w:jc w:val="left"/>
            </w:pPr>
            <w:r>
              <w:rPr>
                <w:b w:val="false"/>
                <w:bCs w:val="false"/>
                <w:color w:val="000000"/>
                <w:sz w:val="20"/>
                <w:szCs w:val="20"/>
              </w:rPr>
              <w:t xml:space="preserve">IMF</w:t>
            </w:r>
          </w:p>
        </w:tc>
        <w:tc>
          <w:tcPr>
            <w:tcW w:type="dxa" w:w="6600"/>
            <w:tcMar>
              <w:top w:type="dxa" w:w="80"/>
              <w:left w:type="dxa" w:w="120"/>
              <w:bottom w:type="dxa" w:w="80"/>
              <w:right w:type="dxa" w:w="120"/>
            </w:tcMar>
          </w:tcPr>
          <w:p>
            <w:pPr>
              <w:jc w:val="left"/>
            </w:pPr>
            <w:r>
              <w:rPr>
                <w:b w:val="false"/>
                <w:bCs w:val="false"/>
                <w:color w:val="000000"/>
                <w:sz w:val="20"/>
                <w:szCs w:val="20"/>
              </w:rPr>
              <w:t xml:space="preserve">Institution de MicroFinance. Cliente B2B de FinZuu, type particulier de Company.</w:t>
            </w:r>
          </w:p>
        </w:tc>
      </w:tr>
      <w:tr>
        <w:tc>
          <w:tcPr>
            <w:tcW w:type="dxa" w:w="2600"/>
            <w:tcMar>
              <w:top w:type="dxa" w:w="80"/>
              <w:left w:type="dxa" w:w="120"/>
              <w:bottom w:type="dxa" w:w="80"/>
              <w:right w:type="dxa" w:w="120"/>
            </w:tcMar>
          </w:tcPr>
          <w:p>
            <w:pPr>
              <w:jc w:val="left"/>
            </w:pPr>
            <w:r>
              <w:rPr>
                <w:b w:val="false"/>
                <w:bCs w:val="false"/>
                <w:color w:val="000000"/>
                <w:sz w:val="20"/>
                <w:szCs w:val="20"/>
              </w:rPr>
              <w:t xml:space="preserve">Company</w:t>
            </w:r>
          </w:p>
        </w:tc>
        <w:tc>
          <w:tcPr>
            <w:tcW w:type="dxa" w:w="6600"/>
            <w:tcMar>
              <w:top w:type="dxa" w:w="80"/>
              <w:left w:type="dxa" w:w="120"/>
              <w:bottom w:type="dxa" w:w="80"/>
              <w:right w:type="dxa" w:w="120"/>
            </w:tcMar>
          </w:tcPr>
          <w:p>
            <w:pPr>
              <w:jc w:val="left"/>
            </w:pPr>
            <w:r>
              <w:rPr>
                <w:b w:val="false"/>
                <w:bCs w:val="false"/>
                <w:color w:val="000000"/>
                <w:sz w:val="20"/>
                <w:szCs w:val="20"/>
              </w:rPr>
              <w:t xml:space="preserve">Personne morale utilisant la plateforme (banque, fondation, merchant, agence, kiosque).</w:t>
            </w:r>
          </w:p>
        </w:tc>
      </w:tr>
      <w:tr>
        <w:tc>
          <w:tcPr>
            <w:tcW w:type="dxa" w:w="2600"/>
            <w:tcMar>
              <w:top w:type="dxa" w:w="80"/>
              <w:left w:type="dxa" w:w="120"/>
              <w:bottom w:type="dxa" w:w="80"/>
              <w:right w:type="dxa" w:w="120"/>
            </w:tcMar>
          </w:tcPr>
          <w:p>
            <w:pPr>
              <w:jc w:val="left"/>
            </w:pPr>
            <w:r>
              <w:rPr>
                <w:b w:val="false"/>
                <w:bCs w:val="false"/>
                <w:color w:val="000000"/>
                <w:sz w:val="20"/>
                <w:szCs w:val="20"/>
              </w:rPr>
              <w:t xml:space="preserve">Bailleur de Fonds</w:t>
            </w:r>
          </w:p>
        </w:tc>
        <w:tc>
          <w:tcPr>
            <w:tcW w:type="dxa" w:w="6600"/>
            <w:tcMar>
              <w:top w:type="dxa" w:w="80"/>
              <w:left w:type="dxa" w:w="120"/>
              <w:bottom w:type="dxa" w:w="80"/>
              <w:right w:type="dxa" w:w="120"/>
            </w:tcMar>
          </w:tcPr>
          <w:p>
            <w:pPr>
              <w:jc w:val="left"/>
            </w:pPr>
            <w:r>
              <w:rPr>
                <w:b w:val="false"/>
                <w:bCs w:val="false"/>
                <w:color w:val="000000"/>
                <w:sz w:val="20"/>
                <w:szCs w:val="20"/>
              </w:rPr>
              <w:t xml:space="preserve">Personne morale, financement sous forme de prêt ou grant (IFC, AFD, Nordic, etc.).</w:t>
            </w:r>
          </w:p>
        </w:tc>
      </w:tr>
      <w:tr>
        <w:tc>
          <w:tcPr>
            <w:tcW w:type="dxa" w:w="2600"/>
            <w:tcMar>
              <w:top w:type="dxa" w:w="80"/>
              <w:left w:type="dxa" w:w="120"/>
              <w:bottom w:type="dxa" w:w="80"/>
              <w:right w:type="dxa" w:w="120"/>
            </w:tcMar>
          </w:tcPr>
          <w:p>
            <w:pPr>
              <w:jc w:val="left"/>
            </w:pPr>
            <w:r>
              <w:rPr>
                <w:b w:val="false"/>
                <w:bCs w:val="false"/>
                <w:color w:val="000000"/>
                <w:sz w:val="20"/>
                <w:szCs w:val="20"/>
              </w:rPr>
              <w:t xml:space="preserve">Lender</w:t>
            </w:r>
          </w:p>
        </w:tc>
        <w:tc>
          <w:tcPr>
            <w:tcW w:type="dxa" w:w="6600"/>
            <w:tcMar>
              <w:top w:type="dxa" w:w="80"/>
              <w:left w:type="dxa" w:w="120"/>
              <w:bottom w:type="dxa" w:w="80"/>
              <w:right w:type="dxa" w:w="120"/>
            </w:tcMar>
          </w:tcPr>
          <w:p>
            <w:pPr>
              <w:jc w:val="left"/>
            </w:pPr>
            <w:r>
              <w:rPr>
                <w:b w:val="false"/>
                <w:bCs w:val="false"/>
                <w:color w:val="000000"/>
                <w:sz w:val="20"/>
                <w:szCs w:val="20"/>
              </w:rPr>
              <w:t xml:space="preserve">Rôle métier porté par une Company / Bailleur de Fonds, apportant du capital pour financer les prêts.</w:t>
            </w:r>
          </w:p>
        </w:tc>
      </w:tr>
      <w:tr>
        <w:tc>
          <w:tcPr>
            <w:tcW w:type="dxa" w:w="2600"/>
            <w:tcMar>
              <w:top w:type="dxa" w:w="80"/>
              <w:left w:type="dxa" w:w="120"/>
              <w:bottom w:type="dxa" w:w="80"/>
              <w:right w:type="dxa" w:w="120"/>
            </w:tcMar>
          </w:tcPr>
          <w:p>
            <w:pPr>
              <w:jc w:val="left"/>
            </w:pPr>
            <w:r>
              <w:rPr>
                <w:b w:val="false"/>
                <w:bCs w:val="false"/>
                <w:color w:val="000000"/>
                <w:sz w:val="20"/>
                <w:szCs w:val="20"/>
              </w:rPr>
              <w:t xml:space="preserve">Client / Utilisateur</w:t>
            </w:r>
          </w:p>
        </w:tc>
        <w:tc>
          <w:tcPr>
            <w:tcW w:type="dxa" w:w="6600"/>
            <w:tcMar>
              <w:top w:type="dxa" w:w="80"/>
              <w:left w:type="dxa" w:w="120"/>
              <w:bottom w:type="dxa" w:w="80"/>
              <w:right w:type="dxa" w:w="120"/>
            </w:tcMar>
          </w:tcPr>
          <w:p>
            <w:pPr>
              <w:jc w:val="left"/>
            </w:pPr>
            <w:r>
              <w:rPr>
                <w:b w:val="false"/>
                <w:bCs w:val="false"/>
                <w:color w:val="000000"/>
                <w:sz w:val="20"/>
                <w:szCs w:val="20"/>
              </w:rPr>
              <w:t xml:space="preserve">Individu ou organisation pouvant souscrire aux services proposés par la plateforme selon leur profil (Loan, Épargne, etc.).</w:t>
            </w:r>
          </w:p>
        </w:tc>
      </w:tr>
      <w:tr>
        <w:tc>
          <w:tcPr>
            <w:tcW w:type="dxa" w:w="2600"/>
            <w:tcMar>
              <w:top w:type="dxa" w:w="80"/>
              <w:left w:type="dxa" w:w="120"/>
              <w:bottom w:type="dxa" w:w="80"/>
              <w:right w:type="dxa" w:w="120"/>
            </w:tcMar>
          </w:tcPr>
          <w:p>
            <w:pPr>
              <w:jc w:val="left"/>
            </w:pPr>
            <w:r>
              <w:rPr>
                <w:b w:val="false"/>
                <w:bCs w:val="false"/>
                <w:color w:val="000000"/>
                <w:sz w:val="20"/>
                <w:szCs w:val="20"/>
              </w:rPr>
              <w:t xml:space="preserve">Collect (Cash)</w:t>
            </w:r>
          </w:p>
        </w:tc>
        <w:tc>
          <w:tcPr>
            <w:tcW w:type="dxa" w:w="6600"/>
            <w:tcMar>
              <w:top w:type="dxa" w:w="80"/>
              <w:left w:type="dxa" w:w="120"/>
              <w:bottom w:type="dxa" w:w="80"/>
              <w:right w:type="dxa" w:w="120"/>
            </w:tcMar>
          </w:tcPr>
          <w:p>
            <w:pPr>
              <w:jc w:val="left"/>
            </w:pPr>
            <w:r>
              <w:rPr>
                <w:b w:val="false"/>
                <w:bCs w:val="false"/>
                <w:color w:val="000000"/>
                <w:sz w:val="20"/>
                <w:szCs w:val="20"/>
              </w:rPr>
              <w:t xml:space="preserve">Client final compagnie nécessitant un service de collecte journalier de leurs fonds.</w:t>
            </w:r>
          </w:p>
        </w:tc>
      </w:tr>
      <w:tr>
        <w:tc>
          <w:tcPr>
            <w:tcW w:type="dxa" w:w="2600"/>
            <w:tcMar>
              <w:top w:type="dxa" w:w="80"/>
              <w:left w:type="dxa" w:w="120"/>
              <w:bottom w:type="dxa" w:w="80"/>
              <w:right w:type="dxa" w:w="120"/>
            </w:tcMar>
          </w:tcPr>
          <w:p>
            <w:pPr>
              <w:jc w:val="left"/>
            </w:pPr>
            <w:r>
              <w:rPr>
                <w:b w:val="false"/>
                <w:bCs w:val="false"/>
                <w:color w:val="000000"/>
                <w:sz w:val="20"/>
                <w:szCs w:val="20"/>
              </w:rPr>
              <w:t xml:space="preserve">Collect (Produit)</w:t>
            </w:r>
          </w:p>
        </w:tc>
        <w:tc>
          <w:tcPr>
            <w:tcW w:type="dxa" w:w="6600"/>
            <w:tcMar>
              <w:top w:type="dxa" w:w="80"/>
              <w:left w:type="dxa" w:w="120"/>
              <w:bottom w:type="dxa" w:w="80"/>
              <w:right w:type="dxa" w:w="120"/>
            </w:tcMar>
          </w:tcPr>
          <w:p>
            <w:pPr>
              <w:jc w:val="left"/>
            </w:pPr>
            <w:r>
              <w:rPr>
                <w:b w:val="false"/>
                <w:bCs w:val="false"/>
                <w:color w:val="000000"/>
                <w:sz w:val="20"/>
                <w:szCs w:val="20"/>
              </w:rPr>
              <w:t xml:space="preserve">Client final individu ou coopérative réalisant des opérations de collecte contre un paiement (plastique, etc.).</w:t>
            </w:r>
          </w:p>
        </w:tc>
      </w:tr>
      <w:tr>
        <w:tc>
          <w:tcPr>
            <w:tcW w:type="dxa" w:w="2600"/>
            <w:tcMar>
              <w:top w:type="dxa" w:w="80"/>
              <w:left w:type="dxa" w:w="120"/>
              <w:bottom w:type="dxa" w:w="80"/>
              <w:right w:type="dxa" w:w="120"/>
            </w:tcMar>
          </w:tcPr>
          <w:p>
            <w:pPr>
              <w:jc w:val="left"/>
            </w:pPr>
            <w:r>
              <w:rPr>
                <w:b w:val="false"/>
                <w:bCs w:val="false"/>
                <w:color w:val="000000"/>
                <w:sz w:val="20"/>
                <w:szCs w:val="20"/>
              </w:rPr>
              <w:t xml:space="preserve">Kiosque / Dépositaire</w:t>
            </w:r>
          </w:p>
        </w:tc>
        <w:tc>
          <w:tcPr>
            <w:tcW w:type="dxa" w:w="6600"/>
            <w:tcMar>
              <w:top w:type="dxa" w:w="80"/>
              <w:left w:type="dxa" w:w="120"/>
              <w:bottom w:type="dxa" w:w="80"/>
              <w:right w:type="dxa" w:w="120"/>
            </w:tcMar>
          </w:tcPr>
          <w:p>
            <w:pPr>
              <w:jc w:val="left"/>
            </w:pPr>
            <w:r>
              <w:rPr>
                <w:b w:val="false"/>
                <w:bCs w:val="false"/>
                <w:color w:val="000000"/>
                <w:sz w:val="20"/>
                <w:szCs w:val="20"/>
              </w:rPr>
              <w:t xml:space="preserve">Point physique de collecte et de retrait, rattaché à un Quartier.</w:t>
            </w:r>
          </w:p>
        </w:tc>
      </w:tr>
      <w:tr>
        <w:tc>
          <w:tcPr>
            <w:tcW w:type="dxa" w:w="2600"/>
            <w:tcMar>
              <w:top w:type="dxa" w:w="80"/>
              <w:left w:type="dxa" w:w="120"/>
              <w:bottom w:type="dxa" w:w="80"/>
              <w:right w:type="dxa" w:w="120"/>
            </w:tcMar>
          </w:tcPr>
          <w:p>
            <w:pPr>
              <w:jc w:val="left"/>
            </w:pPr>
            <w:r>
              <w:rPr>
                <w:b w:val="false"/>
                <w:bCs w:val="false"/>
                <w:color w:val="000000"/>
                <w:sz w:val="20"/>
                <w:szCs w:val="20"/>
              </w:rPr>
              <w:t xml:space="preserve">Agent</w:t>
            </w:r>
          </w:p>
        </w:tc>
        <w:tc>
          <w:tcPr>
            <w:tcW w:type="dxa" w:w="6600"/>
            <w:tcMar>
              <w:top w:type="dxa" w:w="80"/>
              <w:left w:type="dxa" w:w="120"/>
              <w:bottom w:type="dxa" w:w="80"/>
              <w:right w:type="dxa" w:w="120"/>
            </w:tcMar>
          </w:tcPr>
          <w:p>
            <w:pPr>
              <w:jc w:val="left"/>
            </w:pPr>
            <w:r>
              <w:rPr>
                <w:b w:val="false"/>
                <w:bCs w:val="false"/>
                <w:color w:val="000000"/>
                <w:sz w:val="20"/>
                <w:szCs w:val="20"/>
              </w:rPr>
              <w:t xml:space="preserve">Personne physique opérant sur le terrain, rattachée à une IMF / Branche / Kiosque.</w:t>
            </w:r>
          </w:p>
        </w:tc>
      </w:tr>
      <w:tr>
        <w:tc>
          <w:tcPr>
            <w:tcW w:type="dxa" w:w="2600"/>
            <w:tcMar>
              <w:top w:type="dxa" w:w="80"/>
              <w:left w:type="dxa" w:w="120"/>
              <w:bottom w:type="dxa" w:w="80"/>
              <w:right w:type="dxa" w:w="120"/>
            </w:tcMar>
          </w:tcPr>
          <w:p>
            <w:pPr>
              <w:jc w:val="left"/>
            </w:pPr>
            <w:r>
              <w:rPr>
                <w:b w:val="false"/>
                <w:bCs w:val="false"/>
                <w:color w:val="000000"/>
                <w:sz w:val="20"/>
                <w:szCs w:val="20"/>
              </w:rPr>
              <w:t xml:space="preserve">Branche</w:t>
            </w:r>
          </w:p>
        </w:tc>
        <w:tc>
          <w:tcPr>
            <w:tcW w:type="dxa" w:w="6600"/>
            <w:tcMar>
              <w:top w:type="dxa" w:w="80"/>
              <w:left w:type="dxa" w:w="120"/>
              <w:bottom w:type="dxa" w:w="80"/>
              <w:right w:type="dxa" w:w="120"/>
            </w:tcMar>
          </w:tcPr>
          <w:p>
            <w:pPr>
              <w:jc w:val="left"/>
            </w:pPr>
            <w:r>
              <w:rPr>
                <w:b w:val="false"/>
                <w:bCs w:val="false"/>
                <w:color w:val="000000"/>
                <w:sz w:val="20"/>
                <w:szCs w:val="20"/>
              </w:rPr>
              <w:t xml:space="preserve">Unité territoriale d'une IMF rattachée à une Region.</w:t>
            </w:r>
          </w:p>
        </w:tc>
      </w:tr>
      <w:tr>
        <w:tc>
          <w:tcPr>
            <w:tcW w:type="dxa" w:w="2600"/>
            <w:tcMar>
              <w:top w:type="dxa" w:w="80"/>
              <w:left w:type="dxa" w:w="120"/>
              <w:bottom w:type="dxa" w:w="80"/>
              <w:right w:type="dxa" w:w="120"/>
            </w:tcMar>
          </w:tcPr>
          <w:p>
            <w:pPr>
              <w:jc w:val="left"/>
            </w:pPr>
            <w:r>
              <w:rPr>
                <w:b w:val="false"/>
                <w:bCs w:val="false"/>
                <w:color w:val="000000"/>
                <w:sz w:val="20"/>
                <w:szCs w:val="20"/>
              </w:rPr>
              <w:t xml:space="preserve">Agence</w:t>
            </w:r>
          </w:p>
        </w:tc>
        <w:tc>
          <w:tcPr>
            <w:tcW w:type="dxa" w:w="6600"/>
            <w:tcMar>
              <w:top w:type="dxa" w:w="80"/>
              <w:left w:type="dxa" w:w="120"/>
              <w:bottom w:type="dxa" w:w="80"/>
              <w:right w:type="dxa" w:w="120"/>
            </w:tcMar>
          </w:tcPr>
          <w:p>
            <w:pPr>
              <w:jc w:val="left"/>
            </w:pPr>
            <w:r>
              <w:rPr>
                <w:b w:val="false"/>
                <w:bCs w:val="false"/>
                <w:color w:val="000000"/>
                <w:sz w:val="20"/>
                <w:szCs w:val="20"/>
              </w:rPr>
              <w:t xml:space="preserve">Déclinaison d'une Branche au niveau d'une Ville.</w:t>
            </w:r>
          </w:p>
        </w:tc>
      </w:tr>
      <w:tr>
        <w:tc>
          <w:tcPr>
            <w:tcW w:type="dxa" w:w="2600"/>
            <w:tcMar>
              <w:top w:type="dxa" w:w="80"/>
              <w:left w:type="dxa" w:w="120"/>
              <w:bottom w:type="dxa" w:w="80"/>
              <w:right w:type="dxa" w:w="120"/>
            </w:tcMar>
          </w:tcPr>
          <w:p>
            <w:pPr>
              <w:jc w:val="left"/>
            </w:pPr>
            <w:r>
              <w:rPr>
                <w:b w:val="false"/>
                <w:bCs w:val="false"/>
                <w:color w:val="000000"/>
                <w:sz w:val="20"/>
                <w:szCs w:val="20"/>
              </w:rPr>
              <w:t xml:space="preserve">Product</w:t>
            </w:r>
          </w:p>
        </w:tc>
        <w:tc>
          <w:tcPr>
            <w:tcW w:type="dxa" w:w="6600"/>
            <w:tcMar>
              <w:top w:type="dxa" w:w="80"/>
              <w:left w:type="dxa" w:w="120"/>
              <w:bottom w:type="dxa" w:w="80"/>
              <w:right w:type="dxa" w:w="120"/>
            </w:tcMar>
          </w:tcPr>
          <w:p>
            <w:pPr>
              <w:jc w:val="left"/>
            </w:pPr>
            <w:r>
              <w:rPr>
                <w:b w:val="false"/>
                <w:bCs w:val="false"/>
                <w:color w:val="000000"/>
                <w:sz w:val="20"/>
                <w:szCs w:val="20"/>
              </w:rPr>
              <w:t xml:space="preserve">Formule financière du catalogue : trois types Collecte (CASH, CASH_DAT, PRODUCT) et types Prêt du catalogue officiel.</w:t>
            </w:r>
          </w:p>
        </w:tc>
      </w:tr>
      <w:tr>
        <w:tc>
          <w:tcPr>
            <w:tcW w:type="dxa" w:w="2600"/>
            <w:tcMar>
              <w:top w:type="dxa" w:w="80"/>
              <w:left w:type="dxa" w:w="120"/>
              <w:bottom w:type="dxa" w:w="80"/>
              <w:right w:type="dxa" w:w="120"/>
            </w:tcMar>
          </w:tcPr>
          <w:p>
            <w:pPr>
              <w:jc w:val="left"/>
            </w:pPr>
            <w:r>
              <w:rPr>
                <w:b w:val="false"/>
                <w:bCs w:val="false"/>
                <w:color w:val="000000"/>
                <w:sz w:val="20"/>
                <w:szCs w:val="20"/>
              </w:rPr>
              <w:t xml:space="preserve">Policy</w:t>
            </w:r>
          </w:p>
        </w:tc>
        <w:tc>
          <w:tcPr>
            <w:tcW w:type="dxa" w:w="6600"/>
            <w:tcMar>
              <w:top w:type="dxa" w:w="80"/>
              <w:left w:type="dxa" w:w="120"/>
              <w:bottom w:type="dxa" w:w="80"/>
              <w:right w:type="dxa" w:w="120"/>
            </w:tcMar>
          </w:tcPr>
          <w:p>
            <w:pPr>
              <w:jc w:val="left"/>
            </w:pPr>
            <w:r>
              <w:rPr>
                <w:b w:val="false"/>
                <w:bCs w:val="false"/>
                <w:color w:val="000000"/>
                <w:sz w:val="20"/>
                <w:szCs w:val="20"/>
              </w:rPr>
              <w:t xml:space="preserve">Règles métier embarquées dans un Product : montants min/max, taux, pénalités, durées.</w:t>
            </w:r>
          </w:p>
        </w:tc>
      </w:tr>
      <w:tr>
        <w:tc>
          <w:tcPr>
            <w:tcW w:type="dxa" w:w="2600"/>
            <w:tcMar>
              <w:top w:type="dxa" w:w="80"/>
              <w:left w:type="dxa" w:w="120"/>
              <w:bottom w:type="dxa" w:w="80"/>
              <w:right w:type="dxa" w:w="120"/>
            </w:tcMar>
          </w:tcPr>
          <w:p>
            <w:pPr>
              <w:jc w:val="left"/>
            </w:pPr>
            <w:r>
              <w:rPr>
                <w:b w:val="false"/>
                <w:bCs w:val="false"/>
                <w:color w:val="000000"/>
                <w:sz w:val="20"/>
                <w:szCs w:val="20"/>
              </w:rPr>
              <w:t xml:space="preserve">MSISDN</w:t>
            </w:r>
          </w:p>
        </w:tc>
        <w:tc>
          <w:tcPr>
            <w:tcW w:type="dxa" w:w="6600"/>
            <w:tcMar>
              <w:top w:type="dxa" w:w="80"/>
              <w:left w:type="dxa" w:w="120"/>
              <w:bottom w:type="dxa" w:w="80"/>
              <w:right w:type="dxa" w:w="120"/>
            </w:tcMar>
          </w:tcPr>
          <w:p>
            <w:pPr>
              <w:jc w:val="left"/>
            </w:pPr>
            <w:r>
              <w:rPr>
                <w:b w:val="false"/>
                <w:bCs w:val="false"/>
                <w:color w:val="000000"/>
                <w:sz w:val="20"/>
                <w:szCs w:val="20"/>
              </w:rPr>
              <w:t xml:space="preserve">Numéro de téléphone mobile au format international.</w:t>
            </w:r>
          </w:p>
        </w:tc>
      </w:tr>
      <w:tr>
        <w:tc>
          <w:tcPr>
            <w:tcW w:type="dxa" w:w="2600"/>
            <w:tcMar>
              <w:top w:type="dxa" w:w="80"/>
              <w:left w:type="dxa" w:w="120"/>
              <w:bottom w:type="dxa" w:w="80"/>
              <w:right w:type="dxa" w:w="120"/>
            </w:tcMar>
          </w:tcPr>
          <w:p>
            <w:pPr>
              <w:jc w:val="left"/>
            </w:pPr>
            <w:r>
              <w:rPr>
                <w:b w:val="false"/>
                <w:bCs w:val="false"/>
                <w:color w:val="000000"/>
                <w:sz w:val="20"/>
                <w:szCs w:val="20"/>
              </w:rPr>
              <w:t xml:space="preserve">Idempotence</w:t>
            </w:r>
          </w:p>
        </w:tc>
        <w:tc>
          <w:tcPr>
            <w:tcW w:type="dxa" w:w="6600"/>
            <w:tcMar>
              <w:top w:type="dxa" w:w="80"/>
              <w:left w:type="dxa" w:w="120"/>
              <w:bottom w:type="dxa" w:w="80"/>
              <w:right w:type="dxa" w:w="120"/>
            </w:tcMar>
          </w:tcPr>
          <w:p>
            <w:pPr>
              <w:jc w:val="left"/>
            </w:pPr>
            <w:r>
              <w:rPr>
                <w:b w:val="false"/>
                <w:bCs w:val="false"/>
                <w:color w:val="000000"/>
                <w:sz w:val="20"/>
                <w:szCs w:val="20"/>
              </w:rPr>
              <w:t xml:space="preserve">Propriété garantissant qu'une exécution répétée ne produit pas d'effets dupliqués.</w:t>
            </w:r>
          </w:p>
        </w:tc>
      </w:tr>
      <w:tr>
        <w:tc>
          <w:tcPr>
            <w:tcW w:type="dxa" w:w="2600"/>
            <w:tcMar>
              <w:top w:type="dxa" w:w="80"/>
              <w:left w:type="dxa" w:w="120"/>
              <w:bottom w:type="dxa" w:w="80"/>
              <w:right w:type="dxa" w:w="120"/>
            </w:tcMar>
          </w:tcPr>
          <w:p>
            <w:pPr>
              <w:jc w:val="left"/>
            </w:pPr>
            <w:r>
              <w:rPr>
                <w:b w:val="false"/>
                <w:bCs w:val="false"/>
                <w:color w:val="000000"/>
                <w:sz w:val="20"/>
                <w:szCs w:val="20"/>
              </w:rPr>
              <w:t xml:space="preserve">Faker</w:t>
            </w:r>
          </w:p>
        </w:tc>
        <w:tc>
          <w:tcPr>
            <w:tcW w:type="dxa" w:w="6600"/>
            <w:tcMar>
              <w:top w:type="dxa" w:w="80"/>
              <w:left w:type="dxa" w:w="120"/>
              <w:bottom w:type="dxa" w:w="80"/>
              <w:right w:type="dxa" w:w="120"/>
            </w:tcMar>
          </w:tcPr>
          <w:p>
            <w:pPr>
              <w:jc w:val="left"/>
            </w:pPr>
            <w:r>
              <w:rPr>
                <w:b w:val="false"/>
                <w:bCs w:val="false"/>
                <w:color w:val="000000"/>
                <w:sz w:val="20"/>
                <w:szCs w:val="20"/>
              </w:rPr>
              <w:t xml:space="preserve">API externe fintech4esg fournissant des payloads clients et historiques crédit fictifs.</w:t>
            </w:r>
          </w:p>
        </w:tc>
      </w:tr>
      <w:tr>
        <w:tc>
          <w:tcPr>
            <w:tcW w:type="dxa" w:w="2600"/>
            <w:tcMar>
              <w:top w:type="dxa" w:w="80"/>
              <w:left w:type="dxa" w:w="120"/>
              <w:bottom w:type="dxa" w:w="80"/>
              <w:right w:type="dxa" w:w="120"/>
            </w:tcMar>
          </w:tcPr>
          <w:p>
            <w:pPr>
              <w:jc w:val="left"/>
            </w:pPr>
            <w:r>
              <w:rPr>
                <w:b w:val="false"/>
                <w:bCs w:val="false"/>
                <w:color w:val="000000"/>
                <w:sz w:val="20"/>
                <w:szCs w:val="20"/>
              </w:rPr>
              <w:t xml:space="preserve">run_id</w:t>
            </w:r>
          </w:p>
        </w:tc>
        <w:tc>
          <w:tcPr>
            <w:tcW w:type="dxa" w:w="6600"/>
            <w:tcMar>
              <w:top w:type="dxa" w:w="80"/>
              <w:left w:type="dxa" w:w="120"/>
              <w:bottom w:type="dxa" w:w="80"/>
              <w:right w:type="dxa" w:w="120"/>
            </w:tcMar>
          </w:tcPr>
          <w:p>
            <w:pPr>
              <w:jc w:val="left"/>
            </w:pPr>
            <w:r>
              <w:rPr>
                <w:b w:val="false"/>
                <w:bCs w:val="false"/>
                <w:color w:val="000000"/>
                <w:sz w:val="20"/>
                <w:szCs w:val="20"/>
              </w:rPr>
              <w:t xml:space="preserve">Identifiant de partition Faker permettant de référencer un lot de données pré-calculé.</w:t>
            </w:r>
          </w:p>
        </w:tc>
      </w:tr>
      <w:tr>
        <w:tc>
          <w:tcPr>
            <w:tcW w:type="dxa" w:w="2600"/>
            <w:shd w:fill="E8F5E9" w:val="clear"/>
            <w:tcMar>
              <w:top w:type="dxa" w:w="80"/>
              <w:left w:type="dxa" w:w="120"/>
              <w:bottom w:type="dxa" w:w="80"/>
              <w:right w:type="dxa" w:w="120"/>
            </w:tcMar>
          </w:tcPr>
          <w:p>
            <w:pPr>
              <w:jc w:val="left"/>
            </w:pPr>
            <w:r>
              <w:rPr>
                <w:b/>
                <w:bCs/>
                <w:color w:val="000000"/>
                <w:sz w:val="20"/>
                <w:szCs w:val="20"/>
              </w:rPr>
              <w:t xml:space="preserve">Profil comportemental</w:t>
            </w:r>
          </w:p>
        </w:tc>
        <w:tc>
          <w:tcPr>
            <w:tcW w:type="dxa" w:w="6600"/>
            <w:shd w:fill="E8F5E9" w:val="clear"/>
            <w:tcMar>
              <w:top w:type="dxa" w:w="80"/>
              <w:left w:type="dxa" w:w="120"/>
              <w:bottom w:type="dxa" w:w="80"/>
              <w:right w:type="dxa" w:w="120"/>
            </w:tcMar>
          </w:tcPr>
          <w:p>
            <w:pPr>
              <w:jc w:val="left"/>
            </w:pPr>
            <w:r>
              <w:rPr>
                <w:b/>
                <w:bCs/>
                <w:color w:val="000000"/>
                <w:sz w:val="20"/>
                <w:szCs w:val="20"/>
              </w:rPr>
              <w:t xml:space="preserve">AJOUT V1.2 — Trajectoire de remboursement prédite d'un client : bon payeur, retard puis paiement, défaut partiel, défaut total.</w:t>
            </w:r>
          </w:p>
        </w:tc>
      </w:tr>
      <w:tr>
        <w:tc>
          <w:tcPr>
            <w:tcW w:type="dxa" w:w="2600"/>
            <w:shd w:fill="E8F5E9" w:val="clear"/>
            <w:tcMar>
              <w:top w:type="dxa" w:w="80"/>
              <w:left w:type="dxa" w:w="120"/>
              <w:bottom w:type="dxa" w:w="80"/>
              <w:right w:type="dxa" w:w="120"/>
            </w:tcMar>
          </w:tcPr>
          <w:p>
            <w:pPr>
              <w:jc w:val="left"/>
            </w:pPr>
            <w:r>
              <w:rPr>
                <w:b/>
                <w:bCs/>
                <w:color w:val="000000"/>
                <w:sz w:val="20"/>
                <w:szCs w:val="20"/>
              </w:rPr>
              <w:t xml:space="preserve">PAR (Portfolio At Risk)</w:t>
            </w:r>
          </w:p>
        </w:tc>
        <w:tc>
          <w:tcPr>
            <w:tcW w:type="dxa" w:w="6600"/>
            <w:shd w:fill="E8F5E9" w:val="clear"/>
            <w:tcMar>
              <w:top w:type="dxa" w:w="80"/>
              <w:left w:type="dxa" w:w="120"/>
              <w:bottom w:type="dxa" w:w="80"/>
              <w:right w:type="dxa" w:w="120"/>
            </w:tcMar>
          </w:tcPr>
          <w:p>
            <w:pPr>
              <w:jc w:val="left"/>
            </w:pPr>
            <w:r>
              <w:rPr>
                <w:b/>
                <w:bCs/>
                <w:color w:val="000000"/>
                <w:sz w:val="20"/>
                <w:szCs w:val="20"/>
              </w:rPr>
              <w:t xml:space="preserve">AJOUT V1.2 — Indicateur standard de la microfinance mesurant la proportion d'un portefeuille en retard de paiement (PAR30, PAR90).</w:t>
            </w:r>
          </w:p>
        </w:tc>
      </w:tr>
      <w:tr>
        <w:tc>
          <w:tcPr>
            <w:tcW w:type="dxa" w:w="2600"/>
            <w:shd w:fill="E8F5E9" w:val="clear"/>
            <w:tcMar>
              <w:top w:type="dxa" w:w="80"/>
              <w:left w:type="dxa" w:w="120"/>
              <w:bottom w:type="dxa" w:w="80"/>
              <w:right w:type="dxa" w:w="120"/>
            </w:tcMar>
          </w:tcPr>
          <w:p>
            <w:pPr>
              <w:jc w:val="left"/>
            </w:pPr>
            <w:r>
              <w:rPr>
                <w:b/>
                <w:bCs/>
                <w:color w:val="000000"/>
                <w:sz w:val="20"/>
                <w:szCs w:val="20"/>
              </w:rPr>
              <w:t xml:space="preserve">DPD (Days Past Due)</w:t>
            </w:r>
          </w:p>
        </w:tc>
        <w:tc>
          <w:tcPr>
            <w:tcW w:type="dxa" w:w="6600"/>
            <w:shd w:fill="E8F5E9" w:val="clear"/>
            <w:tcMar>
              <w:top w:type="dxa" w:w="80"/>
              <w:left w:type="dxa" w:w="120"/>
              <w:bottom w:type="dxa" w:w="80"/>
              <w:right w:type="dxa" w:w="120"/>
            </w:tcMar>
          </w:tcPr>
          <w:p>
            <w:pPr>
              <w:jc w:val="left"/>
            </w:pPr>
            <w:r>
              <w:rPr>
                <w:b/>
                <w:bCs/>
                <w:color w:val="000000"/>
                <w:sz w:val="20"/>
                <w:szCs w:val="20"/>
              </w:rPr>
              <w:t xml:space="preserve">AJOUT V1.2 — Nombre de jours de retard d'un paiement par rapport à son échéance.</w:t>
            </w:r>
          </w:p>
        </w:tc>
      </w:tr>
    </w:tbl>
    <w:p>
      <w:pPr>
        <w:pBdr>
          <w:top w:val="single" w:color="A5D6A7" w:sz="6" w:space="4"/>
          <w:bottom w:val="single" w:color="A5D6A7" w:sz="6" w:space="4"/>
          <w:left w:val="single" w:color="4CAF50" w:sz="24" w:space="8"/>
          <w:right w:val="single" w:color="A5D6A7" w:sz="6" w:space="4"/>
        </w:pBdr>
        <w:shd w:fill="E8F5E9" w:val="clear"/>
        <w:spacing w:after="120" w:before="120"/>
      </w:pPr>
      <w:r>
        <w:rPr>
          <w:b/>
          <w:bCs/>
          <w:color w:val="4CAF50"/>
          <w:sz w:val="22"/>
          <w:szCs w:val="22"/>
        </w:rPr>
        <w:t xml:space="preserve">AJOUT V1.2 — </w:t>
      </w:r>
      <w:r>
        <w:rPr>
          <w:i/>
          <w:iCs/>
          <w:sz w:val="22"/>
          <w:szCs w:val="22"/>
        </w:rPr>
        <w:t xml:space="preserve">Le chapitre 6.5 ci-dessous formalise les cas d'utilisation métier du Loader selon la méthodologie UML. Ces cas d'utilisation décrivent les interactions structurantes entre les acteurs du système et l'outil, sans préjuger de leur implémentation technique qui sera documentée dans le Software Design Document séparé.</w:t>
      </w:r>
    </w:p>
    <w:p>
      <w:pPr>
        <w:pStyle w:val="Heading2"/>
        <w:spacing w:after="180" w:before="360"/>
      </w:pPr>
      <w:r>
        <w:rPr>
          <w:b/>
          <w:bCs/>
          <w:color w:val="6B2E9E"/>
          <w:sz w:val="26"/>
          <w:szCs w:val="26"/>
        </w:rPr>
        <w:t xml:space="preserve">6.5 Cas d'utilisation (Use Cases) — AJOUT V1.2</w:t>
      </w:r>
    </w:p>
    <w:p>
      <w:pPr>
        <w:spacing w:after="120"/>
        <w:jc w:val="both"/>
      </w:pPr>
      <w:r>
        <w:rPr>
          <w:b w:val="false"/>
          <w:bCs w:val="false"/>
          <w:i w:val="false"/>
          <w:iCs w:val="false"/>
          <w:sz w:val="22"/>
          <w:szCs w:val="22"/>
        </w:rPr>
        <w:t xml:space="preserve">Les cas d'utilisation suivants formalisent les interactions métier structurantes du Loader. Chaque cas décrit l'acteur principal, la précondition métier, le déroulement nominal, les cas alternatifs et les exceptions.</w:t>
      </w:r>
    </w:p>
    <w:p>
      <w:pPr>
        <w:pStyle w:val="Heading3"/>
        <w:spacing w:after="120" w:before="240"/>
      </w:pPr>
      <w:r>
        <w:rPr>
          <w:b/>
          <w:bCs/>
          <w:color w:val="4CAF50"/>
          <w:sz w:val="22"/>
          <w:szCs w:val="22"/>
        </w:rPr>
        <w:t xml:space="preserve">UC-01 — Attribution du profil comportemental au client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6B2E9E" w:val="clear"/>
            <w:tcMar>
              <w:top w:type="dxa" w:w="100"/>
              <w:left w:type="dxa" w:w="120"/>
              <w:bottom w:type="dxa" w:w="100"/>
              <w:right w:type="dxa" w:w="120"/>
            </w:tcMar>
          </w:tcPr>
          <w:p>
            <w:pPr>
              <w:jc w:val="center"/>
            </w:pPr>
            <w:r>
              <w:rPr>
                <w:b/>
                <w:bCs/>
                <w:color w:val="FFFFFF"/>
                <w:sz w:val="20"/>
                <w:szCs w:val="20"/>
              </w:rPr>
              <w:t xml:space="preserve">Champ</w:t>
            </w:r>
          </w:p>
        </w:tc>
        <w:tc>
          <w:tcPr>
            <w:tcW w:type="dxa" w:w="6800"/>
            <w:shd w:fill="6B2E9E" w:val="clear"/>
            <w:tcMar>
              <w:top w:type="dxa" w:w="100"/>
              <w:left w:type="dxa" w:w="120"/>
              <w:bottom w:type="dxa" w:w="100"/>
              <w:right w:type="dxa" w:w="120"/>
            </w:tcMar>
          </w:tcPr>
          <w:p>
            <w:pPr>
              <w:jc w:val="center"/>
            </w:pPr>
            <w:r>
              <w:rPr>
                <w:b/>
                <w:bCs/>
                <w:color w:val="FFFFFF"/>
                <w:sz w:val="20"/>
                <w:szCs w:val="20"/>
              </w:rPr>
              <w:t xml:space="preserve">Contenu</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Acteur principal</w:t>
            </w:r>
          </w:p>
        </w:tc>
        <w:tc>
          <w:tcPr>
            <w:tcW w:type="dxa" w:w="6800"/>
            <w:tcMar>
              <w:top w:type="dxa" w:w="80"/>
              <w:left w:type="dxa" w:w="120"/>
              <w:bottom w:type="dxa" w:w="80"/>
              <w:right w:type="dxa" w:w="120"/>
            </w:tcMar>
          </w:tcPr>
          <w:p>
            <w:pPr>
              <w:jc w:val="left"/>
            </w:pPr>
            <w:r>
              <w:rPr>
                <w:b w:val="false"/>
                <w:bCs w:val="false"/>
                <w:color w:val="000000"/>
                <w:sz w:val="20"/>
                <w:szCs w:val="20"/>
              </w:rPr>
              <w:t xml:space="preserve">Loader (dans son rôle de générateur de population)</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Précondition</w:t>
            </w:r>
          </w:p>
        </w:tc>
        <w:tc>
          <w:tcPr>
            <w:tcW w:type="dxa" w:w="6800"/>
            <w:tcMar>
              <w:top w:type="dxa" w:w="80"/>
              <w:left w:type="dxa" w:w="120"/>
              <w:bottom w:type="dxa" w:w="80"/>
              <w:right w:type="dxa" w:w="120"/>
            </w:tcMar>
          </w:tcPr>
          <w:p>
            <w:pPr>
              <w:jc w:val="left"/>
            </w:pPr>
            <w:r>
              <w:rPr>
                <w:b w:val="false"/>
                <w:bCs w:val="false"/>
                <w:color w:val="000000"/>
                <w:sz w:val="20"/>
                <w:szCs w:val="20"/>
              </w:rPr>
              <w:t xml:space="preserve">Un client vient d'être généré à partir d'un payload Faker complet.</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Déclencheur</w:t>
            </w:r>
          </w:p>
        </w:tc>
        <w:tc>
          <w:tcPr>
            <w:tcW w:type="dxa" w:w="6800"/>
            <w:tcMar>
              <w:top w:type="dxa" w:w="80"/>
              <w:left w:type="dxa" w:w="120"/>
              <w:bottom w:type="dxa" w:w="80"/>
              <w:right w:type="dxa" w:w="120"/>
            </w:tcMar>
          </w:tcPr>
          <w:p>
            <w:pPr>
              <w:jc w:val="left"/>
            </w:pPr>
            <w:r>
              <w:rPr>
                <w:b w:val="false"/>
                <w:bCs w:val="false"/>
                <w:color w:val="000000"/>
                <w:sz w:val="20"/>
                <w:szCs w:val="20"/>
              </w:rPr>
              <w:t xml:space="preserve">Création d'un nouveau CollectClient dans le pipeline de génération.</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Postcondition</w:t>
            </w:r>
          </w:p>
        </w:tc>
        <w:tc>
          <w:tcPr>
            <w:tcW w:type="dxa" w:w="6800"/>
            <w:tcMar>
              <w:top w:type="dxa" w:w="80"/>
              <w:left w:type="dxa" w:w="120"/>
              <w:bottom w:type="dxa" w:w="80"/>
              <w:right w:type="dxa" w:w="120"/>
            </w:tcMar>
          </w:tcPr>
          <w:p>
            <w:pPr>
              <w:jc w:val="left"/>
            </w:pPr>
            <w:r>
              <w:rPr>
                <w:b w:val="false"/>
                <w:bCs w:val="false"/>
                <w:color w:val="000000"/>
                <w:sz w:val="20"/>
                <w:szCs w:val="20"/>
              </w:rPr>
              <w:t xml:space="preserve">Le client possède un profil comportemental attribué parmi les quatre valeurs officielles.</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Scénario nominal</w:t>
            </w:r>
          </w:p>
        </w:tc>
        <w:tc>
          <w:tcPr>
            <w:tcW w:type="dxa" w:w="6800"/>
            <w:tcMar>
              <w:top w:type="dxa" w:w="80"/>
              <w:left w:type="dxa" w:w="120"/>
              <w:bottom w:type="dxa" w:w="80"/>
              <w:right w:type="dxa" w:w="120"/>
            </w:tcMar>
          </w:tcPr>
          <w:p>
            <w:pPr>
              <w:jc w:val="left"/>
            </w:pPr>
            <w:r>
              <w:rPr>
                <w:b w:val="false"/>
                <w:bCs w:val="false"/>
                <w:color w:val="000000"/>
                <w:sz w:val="20"/>
                <w:szCs w:val="20"/>
              </w:rPr>
              <w:t xml:space="preserve">1) Le Loader lit les caractéristiques du client. 2) Le Loader applique les règles de pondération contextuelle documentées en Annexe D. 3) Le Loader tire un profil pondéré parmi bon payeur, retard puis paiement, défaut partiel, défaut total. 4) Le profil est enregistré sur le client.</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Cas alternatif</w:t>
            </w:r>
          </w:p>
        </w:tc>
        <w:tc>
          <w:tcPr>
            <w:tcW w:type="dxa" w:w="6800"/>
            <w:tcMar>
              <w:top w:type="dxa" w:w="80"/>
              <w:left w:type="dxa" w:w="120"/>
              <w:bottom w:type="dxa" w:w="80"/>
              <w:right w:type="dxa" w:w="120"/>
            </w:tcMar>
          </w:tcPr>
          <w:p>
            <w:pPr>
              <w:jc w:val="left"/>
            </w:pPr>
            <w:r>
              <w:rPr>
                <w:b w:val="false"/>
                <w:bCs w:val="false"/>
                <w:color w:val="000000"/>
                <w:sz w:val="20"/>
                <w:szCs w:val="20"/>
              </w:rPr>
              <w:t xml:space="preserve">Si une caractéristique est absente du payload, la règle de pondération correspondante est ignorée sans erreur.</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Exception</w:t>
            </w:r>
          </w:p>
        </w:tc>
        <w:tc>
          <w:tcPr>
            <w:tcW w:type="dxa" w:w="6800"/>
            <w:tcMar>
              <w:top w:type="dxa" w:w="80"/>
              <w:left w:type="dxa" w:w="120"/>
              <w:bottom w:type="dxa" w:w="80"/>
              <w:right w:type="dxa" w:w="120"/>
            </w:tcMar>
          </w:tcPr>
          <w:p>
            <w:pPr>
              <w:jc w:val="left"/>
            </w:pPr>
            <w:r>
              <w:rPr>
                <w:b w:val="false"/>
                <w:bCs w:val="false"/>
                <w:color w:val="000000"/>
                <w:sz w:val="20"/>
                <w:szCs w:val="20"/>
              </w:rPr>
              <w:t xml:space="preserve">Si le payload client est incomplet au point de rendre l'attribution impossible, l'exécution est journalisée et le client est ignoré.</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Exigences couvertes</w:t>
            </w:r>
          </w:p>
        </w:tc>
        <w:tc>
          <w:tcPr>
            <w:tcW w:type="dxa" w:w="6800"/>
            <w:tcMar>
              <w:top w:type="dxa" w:w="80"/>
              <w:left w:type="dxa" w:w="120"/>
              <w:bottom w:type="dxa" w:w="80"/>
              <w:right w:type="dxa" w:w="120"/>
            </w:tcMar>
          </w:tcPr>
          <w:p>
            <w:pPr>
              <w:jc w:val="left"/>
            </w:pPr>
            <w:r>
              <w:rPr>
                <w:b w:val="false"/>
                <w:bCs w:val="false"/>
                <w:color w:val="000000"/>
                <w:sz w:val="20"/>
                <w:szCs w:val="20"/>
              </w:rPr>
              <w:t xml:space="preserve">EF-67, EF-68</w:t>
            </w:r>
          </w:p>
        </w:tc>
      </w:tr>
    </w:tbl>
    <w:p>
      <w:pPr>
        <w:spacing w:after="120"/>
        <w:jc w:val="both"/>
      </w:pPr>
      <w:r>
        <w:rPr>
          <w:b w:val="false"/>
          <w:bCs w:val="false"/>
          <w:i w:val="false"/>
          <w:iCs w:val="false"/>
          <w:sz w:val="22"/>
          <w:szCs w:val="22"/>
        </w:rPr>
        <w:t xml:space="preserve"/>
      </w:r>
    </w:p>
    <w:p>
      <w:pPr>
        <w:pStyle w:val="Heading3"/>
        <w:spacing w:after="120" w:before="240"/>
      </w:pPr>
      <w:r>
        <w:rPr>
          <w:b/>
          <w:bCs/>
          <w:color w:val="4CAF50"/>
          <w:sz w:val="22"/>
          <w:szCs w:val="22"/>
        </w:rPr>
        <w:t xml:space="preserve">UC-02 — Génération d'un prêt pour un client éligible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6B2E9E" w:val="clear"/>
            <w:tcMar>
              <w:top w:type="dxa" w:w="100"/>
              <w:left w:type="dxa" w:w="120"/>
              <w:bottom w:type="dxa" w:w="100"/>
              <w:right w:type="dxa" w:w="120"/>
            </w:tcMar>
          </w:tcPr>
          <w:p>
            <w:pPr>
              <w:jc w:val="center"/>
            </w:pPr>
            <w:r>
              <w:rPr>
                <w:b/>
                <w:bCs/>
                <w:color w:val="FFFFFF"/>
                <w:sz w:val="20"/>
                <w:szCs w:val="20"/>
              </w:rPr>
              <w:t xml:space="preserve">Champ</w:t>
            </w:r>
          </w:p>
        </w:tc>
        <w:tc>
          <w:tcPr>
            <w:tcW w:type="dxa" w:w="6800"/>
            <w:shd w:fill="6B2E9E" w:val="clear"/>
            <w:tcMar>
              <w:top w:type="dxa" w:w="100"/>
              <w:left w:type="dxa" w:w="120"/>
              <w:bottom w:type="dxa" w:w="100"/>
              <w:right w:type="dxa" w:w="120"/>
            </w:tcMar>
          </w:tcPr>
          <w:p>
            <w:pPr>
              <w:jc w:val="center"/>
            </w:pPr>
            <w:r>
              <w:rPr>
                <w:b/>
                <w:bCs/>
                <w:color w:val="FFFFFF"/>
                <w:sz w:val="20"/>
                <w:szCs w:val="20"/>
              </w:rPr>
              <w:t xml:space="preserve">Contenu</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Acteur principal</w:t>
            </w:r>
          </w:p>
        </w:tc>
        <w:tc>
          <w:tcPr>
            <w:tcW w:type="dxa" w:w="6800"/>
            <w:tcMar>
              <w:top w:type="dxa" w:w="80"/>
              <w:left w:type="dxa" w:w="120"/>
              <w:bottom w:type="dxa" w:w="80"/>
              <w:right w:type="dxa" w:w="120"/>
            </w:tcMar>
          </w:tcPr>
          <w:p>
            <w:pPr>
              <w:jc w:val="left"/>
            </w:pPr>
            <w:r>
              <w:rPr>
                <w:b w:val="false"/>
                <w:bCs w:val="false"/>
                <w:color w:val="000000"/>
                <w:sz w:val="20"/>
                <w:szCs w:val="20"/>
              </w:rPr>
              <w:t xml:space="preserve">Loader (dans son rôle de générateur d'historique de crédit)</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Précondition</w:t>
            </w:r>
          </w:p>
        </w:tc>
        <w:tc>
          <w:tcPr>
            <w:tcW w:type="dxa" w:w="6800"/>
            <w:tcMar>
              <w:top w:type="dxa" w:w="80"/>
              <w:left w:type="dxa" w:w="120"/>
              <w:bottom w:type="dxa" w:w="80"/>
              <w:right w:type="dxa" w:w="120"/>
            </w:tcMar>
          </w:tcPr>
          <w:p>
            <w:pPr>
              <w:jc w:val="left"/>
            </w:pPr>
            <w:r>
              <w:rPr>
                <w:b w:val="false"/>
                <w:bCs w:val="false"/>
                <w:color w:val="000000"/>
                <w:sz w:val="20"/>
                <w:szCs w:val="20"/>
              </w:rPr>
              <w:t xml:space="preserve">Le client existe, possède un profil comportemental et un segment de risque. Le catalogue produits officiel est chargé.</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Déclencheur</w:t>
            </w:r>
          </w:p>
        </w:tc>
        <w:tc>
          <w:tcPr>
            <w:tcW w:type="dxa" w:w="6800"/>
            <w:tcMar>
              <w:top w:type="dxa" w:w="80"/>
              <w:left w:type="dxa" w:w="120"/>
              <w:bottom w:type="dxa" w:w="80"/>
              <w:right w:type="dxa" w:w="120"/>
            </w:tcMar>
          </w:tcPr>
          <w:p>
            <w:pPr>
              <w:jc w:val="left"/>
            </w:pPr>
            <w:r>
              <w:rPr>
                <w:b w:val="false"/>
                <w:bCs w:val="false"/>
                <w:color w:val="000000"/>
                <w:sz w:val="20"/>
                <w:szCs w:val="20"/>
              </w:rPr>
              <w:t xml:space="preserve">Décision d'éligibilité au crédit prise pour le client.</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Postcondition</w:t>
            </w:r>
          </w:p>
        </w:tc>
        <w:tc>
          <w:tcPr>
            <w:tcW w:type="dxa" w:w="6800"/>
            <w:tcMar>
              <w:top w:type="dxa" w:w="80"/>
              <w:left w:type="dxa" w:w="120"/>
              <w:bottom w:type="dxa" w:w="80"/>
              <w:right w:type="dxa" w:w="120"/>
            </w:tcMar>
          </w:tcPr>
          <w:p>
            <w:pPr>
              <w:jc w:val="left"/>
            </w:pPr>
            <w:r>
              <w:rPr>
                <w:b w:val="false"/>
                <w:bCs w:val="false"/>
                <w:color w:val="000000"/>
                <w:sz w:val="20"/>
                <w:szCs w:val="20"/>
              </w:rPr>
              <w:t xml:space="preserve">Un prêt est créé, référencé au client, avec un montant et une durée conformes au catalogue produits.</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Scénario nominal</w:t>
            </w:r>
          </w:p>
        </w:tc>
        <w:tc>
          <w:tcPr>
            <w:tcW w:type="dxa" w:w="6800"/>
            <w:tcMar>
              <w:top w:type="dxa" w:w="80"/>
              <w:left w:type="dxa" w:w="120"/>
              <w:bottom w:type="dxa" w:w="80"/>
              <w:right w:type="dxa" w:w="120"/>
            </w:tcMar>
          </w:tcPr>
          <w:p>
            <w:pPr>
              <w:jc w:val="left"/>
            </w:pPr>
            <w:r>
              <w:rPr>
                <w:b w:val="false"/>
                <w:bCs w:val="false"/>
                <w:color w:val="000000"/>
                <w:sz w:val="20"/>
                <w:szCs w:val="20"/>
              </w:rPr>
              <w:t xml:space="preserve">1) Le Loader sélectionne les produits compatibles avec la catégorie du client (Individual ou Business). 2) Le Loader détermine la fourchette de montant selon le segment de risque du client. 3) Le Loader tire un montant dans la fourchette. 4) Le prêt est créé avec statut initial.</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Cas alternatif</w:t>
            </w:r>
          </w:p>
        </w:tc>
        <w:tc>
          <w:tcPr>
            <w:tcW w:type="dxa" w:w="6800"/>
            <w:tcMar>
              <w:top w:type="dxa" w:w="80"/>
              <w:left w:type="dxa" w:w="120"/>
              <w:bottom w:type="dxa" w:w="80"/>
              <w:right w:type="dxa" w:w="120"/>
            </w:tcMar>
          </w:tcPr>
          <w:p>
            <w:pPr>
              <w:jc w:val="left"/>
            </w:pPr>
            <w:r>
              <w:rPr>
                <w:b w:val="false"/>
                <w:bCs w:val="false"/>
                <w:color w:val="000000"/>
                <w:sz w:val="20"/>
                <w:szCs w:val="20"/>
              </w:rPr>
              <w:t xml:space="preserve">Si aucun produit ne correspond à la catégorie du client, la génération de prêt est ignorée pour ce client.</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Exception</w:t>
            </w:r>
          </w:p>
        </w:tc>
        <w:tc>
          <w:tcPr>
            <w:tcW w:type="dxa" w:w="6800"/>
            <w:tcMar>
              <w:top w:type="dxa" w:w="80"/>
              <w:left w:type="dxa" w:w="120"/>
              <w:bottom w:type="dxa" w:w="80"/>
              <w:right w:type="dxa" w:w="120"/>
            </w:tcMar>
          </w:tcPr>
          <w:p>
            <w:pPr>
              <w:jc w:val="left"/>
            </w:pPr>
            <w:r>
              <w:rPr>
                <w:b w:val="false"/>
                <w:bCs w:val="false"/>
                <w:color w:val="000000"/>
                <w:sz w:val="20"/>
                <w:szCs w:val="20"/>
              </w:rPr>
              <w:t xml:space="preserve">Si le catalogue produits est absent ou corrompu, l'exécution globale est interrompue avec journalisation explicite.</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Exigences couvertes</w:t>
            </w:r>
          </w:p>
        </w:tc>
        <w:tc>
          <w:tcPr>
            <w:tcW w:type="dxa" w:w="6800"/>
            <w:tcMar>
              <w:top w:type="dxa" w:w="80"/>
              <w:left w:type="dxa" w:w="120"/>
              <w:bottom w:type="dxa" w:w="80"/>
              <w:right w:type="dxa" w:w="120"/>
            </w:tcMar>
          </w:tcPr>
          <w:p>
            <w:pPr>
              <w:jc w:val="left"/>
            </w:pPr>
            <w:r>
              <w:rPr>
                <w:b w:val="false"/>
                <w:bCs w:val="false"/>
                <w:color w:val="000000"/>
                <w:sz w:val="20"/>
                <w:szCs w:val="20"/>
              </w:rPr>
              <w:t xml:space="preserve">EF-69, EF-70</w:t>
            </w:r>
          </w:p>
        </w:tc>
      </w:tr>
    </w:tbl>
    <w:p>
      <w:pPr>
        <w:spacing w:after="120"/>
        <w:jc w:val="both"/>
      </w:pPr>
      <w:r>
        <w:rPr>
          <w:b w:val="false"/>
          <w:bCs w:val="false"/>
          <w:i w:val="false"/>
          <w:iCs w:val="false"/>
          <w:sz w:val="22"/>
          <w:szCs w:val="22"/>
        </w:rPr>
        <w:t xml:space="preserve"/>
      </w:r>
    </w:p>
    <w:p>
      <w:pPr>
        <w:pStyle w:val="Heading3"/>
        <w:spacing w:after="120" w:before="240"/>
      </w:pPr>
      <w:r>
        <w:rPr>
          <w:b/>
          <w:bCs/>
          <w:color w:val="4CAF50"/>
          <w:sz w:val="22"/>
          <w:szCs w:val="22"/>
        </w:rPr>
        <w:t xml:space="preserve">UC-03 — Simulation du cycle de remboursement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6B2E9E" w:val="clear"/>
            <w:tcMar>
              <w:top w:type="dxa" w:w="100"/>
              <w:left w:type="dxa" w:w="120"/>
              <w:bottom w:type="dxa" w:w="100"/>
              <w:right w:type="dxa" w:w="120"/>
            </w:tcMar>
          </w:tcPr>
          <w:p>
            <w:pPr>
              <w:jc w:val="center"/>
            </w:pPr>
            <w:r>
              <w:rPr>
                <w:b/>
                <w:bCs/>
                <w:color w:val="FFFFFF"/>
                <w:sz w:val="20"/>
                <w:szCs w:val="20"/>
              </w:rPr>
              <w:t xml:space="preserve">Champ</w:t>
            </w:r>
          </w:p>
        </w:tc>
        <w:tc>
          <w:tcPr>
            <w:tcW w:type="dxa" w:w="6800"/>
            <w:shd w:fill="6B2E9E" w:val="clear"/>
            <w:tcMar>
              <w:top w:type="dxa" w:w="100"/>
              <w:left w:type="dxa" w:w="120"/>
              <w:bottom w:type="dxa" w:w="100"/>
              <w:right w:type="dxa" w:w="120"/>
            </w:tcMar>
          </w:tcPr>
          <w:p>
            <w:pPr>
              <w:jc w:val="center"/>
            </w:pPr>
            <w:r>
              <w:rPr>
                <w:b/>
                <w:bCs/>
                <w:color w:val="FFFFFF"/>
                <w:sz w:val="20"/>
                <w:szCs w:val="20"/>
              </w:rPr>
              <w:t xml:space="preserve">Contenu</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Acteur principal</w:t>
            </w:r>
          </w:p>
        </w:tc>
        <w:tc>
          <w:tcPr>
            <w:tcW w:type="dxa" w:w="6800"/>
            <w:tcMar>
              <w:top w:type="dxa" w:w="80"/>
              <w:left w:type="dxa" w:w="120"/>
              <w:bottom w:type="dxa" w:w="80"/>
              <w:right w:type="dxa" w:w="120"/>
            </w:tcMar>
          </w:tcPr>
          <w:p>
            <w:pPr>
              <w:jc w:val="left"/>
            </w:pPr>
            <w:r>
              <w:rPr>
                <w:b w:val="false"/>
                <w:bCs w:val="false"/>
                <w:color w:val="000000"/>
                <w:sz w:val="20"/>
                <w:szCs w:val="20"/>
              </w:rPr>
              <w:t xml:space="preserve">Loader (dans son rôle de simulateur comportemental)</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Précondition</w:t>
            </w:r>
          </w:p>
        </w:tc>
        <w:tc>
          <w:tcPr>
            <w:tcW w:type="dxa" w:w="6800"/>
            <w:tcMar>
              <w:top w:type="dxa" w:w="80"/>
              <w:left w:type="dxa" w:w="120"/>
              <w:bottom w:type="dxa" w:w="80"/>
              <w:right w:type="dxa" w:w="120"/>
            </w:tcMar>
          </w:tcPr>
          <w:p>
            <w:pPr>
              <w:jc w:val="left"/>
            </w:pPr>
            <w:r>
              <w:rPr>
                <w:b w:val="false"/>
                <w:bCs w:val="false"/>
                <w:color w:val="000000"/>
                <w:sz w:val="20"/>
                <w:szCs w:val="20"/>
              </w:rPr>
              <w:t xml:space="preserve">Un prêt existe avec un client possédant un profil comportemental.</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Déclencheur</w:t>
            </w:r>
          </w:p>
        </w:tc>
        <w:tc>
          <w:tcPr>
            <w:tcW w:type="dxa" w:w="6800"/>
            <w:tcMar>
              <w:top w:type="dxa" w:w="80"/>
              <w:left w:type="dxa" w:w="120"/>
              <w:bottom w:type="dxa" w:w="80"/>
              <w:right w:type="dxa" w:w="120"/>
            </w:tcMar>
          </w:tcPr>
          <w:p>
            <w:pPr>
              <w:jc w:val="left"/>
            </w:pPr>
            <w:r>
              <w:rPr>
                <w:b w:val="false"/>
                <w:bCs w:val="false"/>
                <w:color w:val="000000"/>
                <w:sz w:val="20"/>
                <w:szCs w:val="20"/>
              </w:rPr>
              <w:t xml:space="preserve">Création d'un nouveau prêt via UC-02.</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Postcondition</w:t>
            </w:r>
          </w:p>
        </w:tc>
        <w:tc>
          <w:tcPr>
            <w:tcW w:type="dxa" w:w="6800"/>
            <w:tcMar>
              <w:top w:type="dxa" w:w="80"/>
              <w:left w:type="dxa" w:w="120"/>
              <w:bottom w:type="dxa" w:w="80"/>
              <w:right w:type="dxa" w:w="120"/>
            </w:tcMar>
          </w:tcPr>
          <w:p>
            <w:pPr>
              <w:jc w:val="left"/>
            </w:pPr>
            <w:r>
              <w:rPr>
                <w:b w:val="false"/>
                <w:bCs w:val="false"/>
                <w:color w:val="000000"/>
                <w:sz w:val="20"/>
                <w:szCs w:val="20"/>
              </w:rPr>
              <w:t xml:space="preserve">Le prêt est clôturé avec un statut cohérent (remboursé, en défaut, ou en cours) et une séquence d'événements de remboursement est enregistrée.</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Scénario nominal</w:t>
            </w:r>
          </w:p>
        </w:tc>
        <w:tc>
          <w:tcPr>
            <w:tcW w:type="dxa" w:w="6800"/>
            <w:tcMar>
              <w:top w:type="dxa" w:w="80"/>
              <w:left w:type="dxa" w:w="120"/>
              <w:bottom w:type="dxa" w:w="80"/>
              <w:right w:type="dxa" w:w="120"/>
            </w:tcMar>
          </w:tcPr>
          <w:p>
            <w:pPr>
              <w:jc w:val="left"/>
            </w:pPr>
            <w:r>
              <w:rPr>
                <w:b w:val="false"/>
                <w:bCs w:val="false"/>
                <w:color w:val="000000"/>
                <w:sz w:val="20"/>
                <w:szCs w:val="20"/>
              </w:rPr>
              <w:t xml:space="preserve">1) Le Loader lit le profil comportemental du client. 2) Le Loader construit la séquence d'événements attendue pour ce profil. 3) Pour un bon payeur : trois remboursements progressifs avant échéance. Pour retard puis paiement : remboursement partiel puis complet avec retard. Pour défaut partiel : remboursement partiel puis retards croissants. Pour défaut total : aucun remboursement, jalons de retard uniquement. 4) Les événements sont horodatés rétroactivement sur les 90 derniers jours.</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Cas alternatif</w:t>
            </w:r>
          </w:p>
        </w:tc>
        <w:tc>
          <w:tcPr>
            <w:tcW w:type="dxa" w:w="6800"/>
            <w:tcMar>
              <w:top w:type="dxa" w:w="80"/>
              <w:left w:type="dxa" w:w="120"/>
              <w:bottom w:type="dxa" w:w="80"/>
              <w:right w:type="dxa" w:w="120"/>
            </w:tcMar>
          </w:tcPr>
          <w:p>
            <w:pPr>
              <w:jc w:val="left"/>
            </w:pPr>
            <w:r>
              <w:rPr>
                <w:b w:val="false"/>
                <w:bCs w:val="false"/>
                <w:color w:val="000000"/>
                <w:sz w:val="20"/>
                <w:szCs w:val="20"/>
              </w:rPr>
              <w:t xml:space="preserve">Si la compression temporelle est activée, les événements sont joués en temps réel compressé pour observation en démonstration.</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Exception</w:t>
            </w:r>
          </w:p>
        </w:tc>
        <w:tc>
          <w:tcPr>
            <w:tcW w:type="dxa" w:w="6800"/>
            <w:tcMar>
              <w:top w:type="dxa" w:w="80"/>
              <w:left w:type="dxa" w:w="120"/>
              <w:bottom w:type="dxa" w:w="80"/>
              <w:right w:type="dxa" w:w="120"/>
            </w:tcMar>
          </w:tcPr>
          <w:p>
            <w:pPr>
              <w:jc w:val="left"/>
            </w:pPr>
            <w:r>
              <w:rPr>
                <w:b w:val="false"/>
                <w:bCs w:val="false"/>
                <w:color w:val="000000"/>
                <w:sz w:val="20"/>
                <w:szCs w:val="20"/>
              </w:rPr>
              <w:t xml:space="preserve">Aucune exception métier attendue. Toute anomalie technique est journalisée.</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Exigences couvertes</w:t>
            </w:r>
          </w:p>
        </w:tc>
        <w:tc>
          <w:tcPr>
            <w:tcW w:type="dxa" w:w="6800"/>
            <w:tcMar>
              <w:top w:type="dxa" w:w="80"/>
              <w:left w:type="dxa" w:w="120"/>
              <w:bottom w:type="dxa" w:w="80"/>
              <w:right w:type="dxa" w:w="120"/>
            </w:tcMar>
          </w:tcPr>
          <w:p>
            <w:pPr>
              <w:jc w:val="left"/>
            </w:pPr>
            <w:r>
              <w:rPr>
                <w:b w:val="false"/>
                <w:bCs w:val="false"/>
                <w:color w:val="000000"/>
                <w:sz w:val="20"/>
                <w:szCs w:val="20"/>
              </w:rPr>
              <w:t xml:space="preserve">EF-70, EF-71</w:t>
            </w:r>
          </w:p>
        </w:tc>
      </w:tr>
    </w:tbl>
    <w:p>
      <w:pPr>
        <w:spacing w:after="120"/>
        <w:jc w:val="both"/>
      </w:pPr>
      <w:r>
        <w:rPr>
          <w:b w:val="false"/>
          <w:bCs w:val="false"/>
          <w:i w:val="false"/>
          <w:iCs w:val="false"/>
          <w:sz w:val="22"/>
          <w:szCs w:val="22"/>
        </w:rPr>
        <w:t xml:space="preserve"/>
      </w:r>
    </w:p>
    <w:p>
      <w:pPr>
        <w:pStyle w:val="Heading3"/>
        <w:spacing w:after="120" w:before="240"/>
      </w:pPr>
      <w:r>
        <w:rPr>
          <w:b/>
          <w:bCs/>
          <w:color w:val="4CAF50"/>
          <w:sz w:val="22"/>
          <w:szCs w:val="22"/>
        </w:rPr>
        <w:t xml:space="preserve">UC-04 — Alimentation du compte financier du client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6B2E9E" w:val="clear"/>
            <w:tcMar>
              <w:top w:type="dxa" w:w="100"/>
              <w:left w:type="dxa" w:w="120"/>
              <w:bottom w:type="dxa" w:w="100"/>
              <w:right w:type="dxa" w:w="120"/>
            </w:tcMar>
          </w:tcPr>
          <w:p>
            <w:pPr>
              <w:jc w:val="center"/>
            </w:pPr>
            <w:r>
              <w:rPr>
                <w:b/>
                <w:bCs/>
                <w:color w:val="FFFFFF"/>
                <w:sz w:val="20"/>
                <w:szCs w:val="20"/>
              </w:rPr>
              <w:t xml:space="preserve">Champ</w:t>
            </w:r>
          </w:p>
        </w:tc>
        <w:tc>
          <w:tcPr>
            <w:tcW w:type="dxa" w:w="6800"/>
            <w:shd w:fill="6B2E9E" w:val="clear"/>
            <w:tcMar>
              <w:top w:type="dxa" w:w="100"/>
              <w:left w:type="dxa" w:w="120"/>
              <w:bottom w:type="dxa" w:w="100"/>
              <w:right w:type="dxa" w:w="120"/>
            </w:tcMar>
          </w:tcPr>
          <w:p>
            <w:pPr>
              <w:jc w:val="center"/>
            </w:pPr>
            <w:r>
              <w:rPr>
                <w:b/>
                <w:bCs/>
                <w:color w:val="FFFFFF"/>
                <w:sz w:val="20"/>
                <w:szCs w:val="20"/>
              </w:rPr>
              <w:t xml:space="preserve">Contenu</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Acteur principal</w:t>
            </w:r>
          </w:p>
        </w:tc>
        <w:tc>
          <w:tcPr>
            <w:tcW w:type="dxa" w:w="6800"/>
            <w:tcMar>
              <w:top w:type="dxa" w:w="80"/>
              <w:left w:type="dxa" w:w="120"/>
              <w:bottom w:type="dxa" w:w="80"/>
              <w:right w:type="dxa" w:w="120"/>
            </w:tcMar>
          </w:tcPr>
          <w:p>
            <w:pPr>
              <w:jc w:val="left"/>
            </w:pPr>
            <w:r>
              <w:rPr>
                <w:b w:val="false"/>
                <w:bCs w:val="false"/>
                <w:color w:val="000000"/>
                <w:sz w:val="20"/>
                <w:szCs w:val="20"/>
              </w:rPr>
              <w:t xml:space="preserve">Loader (dans son rôle de gestionnaire des soldes)</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Précondition</w:t>
            </w:r>
          </w:p>
        </w:tc>
        <w:tc>
          <w:tcPr>
            <w:tcW w:type="dxa" w:w="6800"/>
            <w:tcMar>
              <w:top w:type="dxa" w:w="80"/>
              <w:left w:type="dxa" w:w="120"/>
              <w:bottom w:type="dxa" w:w="80"/>
              <w:right w:type="dxa" w:w="120"/>
            </w:tcMar>
          </w:tcPr>
          <w:p>
            <w:pPr>
              <w:jc w:val="left"/>
            </w:pPr>
            <w:r>
              <w:rPr>
                <w:b w:val="false"/>
                <w:bCs w:val="false"/>
                <w:color w:val="000000"/>
                <w:sz w:val="20"/>
                <w:szCs w:val="20"/>
              </w:rPr>
              <w:t xml:space="preserve">Le client existe avec un compte financier. Un événement de décaissement ou de remboursement est déclenché.</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Déclencheur</w:t>
            </w:r>
          </w:p>
        </w:tc>
        <w:tc>
          <w:tcPr>
            <w:tcW w:type="dxa" w:w="6800"/>
            <w:tcMar>
              <w:top w:type="dxa" w:w="80"/>
              <w:left w:type="dxa" w:w="120"/>
              <w:bottom w:type="dxa" w:w="80"/>
              <w:right w:type="dxa" w:w="120"/>
            </w:tcMar>
          </w:tcPr>
          <w:p>
            <w:pPr>
              <w:jc w:val="left"/>
            </w:pPr>
            <w:r>
              <w:rPr>
                <w:b w:val="false"/>
                <w:bCs w:val="false"/>
                <w:color w:val="000000"/>
                <w:sz w:val="20"/>
                <w:szCs w:val="20"/>
              </w:rPr>
              <w:t xml:space="preserve">Trois déclencheurs possibles : création du compte, décaissement d'un prêt, remboursement d'un prêt.</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Postcondition</w:t>
            </w:r>
          </w:p>
        </w:tc>
        <w:tc>
          <w:tcPr>
            <w:tcW w:type="dxa" w:w="6800"/>
            <w:tcMar>
              <w:top w:type="dxa" w:w="80"/>
              <w:left w:type="dxa" w:w="120"/>
              <w:bottom w:type="dxa" w:w="80"/>
              <w:right w:type="dxa" w:w="120"/>
            </w:tcMar>
          </w:tcPr>
          <w:p>
            <w:pPr>
              <w:jc w:val="left"/>
            </w:pPr>
            <w:r>
              <w:rPr>
                <w:b w:val="false"/>
                <w:bCs w:val="false"/>
                <w:color w:val="000000"/>
                <w:sz w:val="20"/>
                <w:szCs w:val="20"/>
              </w:rPr>
              <w:t xml:space="preserve">Le solde du compte reflète le mouvement financier attendu et son historique de transactions est mis à jour.</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Scénario nominal</w:t>
            </w:r>
          </w:p>
        </w:tc>
        <w:tc>
          <w:tcPr>
            <w:tcW w:type="dxa" w:w="6800"/>
            <w:tcMar>
              <w:top w:type="dxa" w:w="80"/>
              <w:left w:type="dxa" w:w="120"/>
              <w:bottom w:type="dxa" w:w="80"/>
              <w:right w:type="dxa" w:w="120"/>
            </w:tcMar>
          </w:tcPr>
          <w:p>
            <w:pPr>
              <w:jc w:val="left"/>
            </w:pPr>
            <w:r>
              <w:rPr>
                <w:b w:val="false"/>
                <w:bCs w:val="false"/>
                <w:color w:val="000000"/>
                <w:sz w:val="20"/>
                <w:szCs w:val="20"/>
              </w:rPr>
              <w:t xml:space="preserve">1) À la création du compte, le Loader dépose un solde initial dérivé du montant Mobile Money du payload Faker. 2) À chaque décaissement de prêt, le Loader crédite le compte du montant du capital. 3) À chaque remboursement, le Loader débite le compte du montant remboursé.</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Cas alternatif</w:t>
            </w:r>
          </w:p>
        </w:tc>
        <w:tc>
          <w:tcPr>
            <w:tcW w:type="dxa" w:w="6800"/>
            <w:tcMar>
              <w:top w:type="dxa" w:w="80"/>
              <w:left w:type="dxa" w:w="120"/>
              <w:bottom w:type="dxa" w:w="80"/>
              <w:right w:type="dxa" w:w="120"/>
            </w:tcMar>
          </w:tcPr>
          <w:p>
            <w:pPr>
              <w:jc w:val="left"/>
            </w:pPr>
            <w:r>
              <w:rPr>
                <w:b w:val="false"/>
                <w:bCs w:val="false"/>
                <w:color w:val="000000"/>
                <w:sz w:val="20"/>
                <w:szCs w:val="20"/>
              </w:rPr>
              <w:t xml:space="preserve">Aucun cas alternatif métier — la mécanique d'alimentation est déterministe.</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Exception</w:t>
            </w:r>
          </w:p>
        </w:tc>
        <w:tc>
          <w:tcPr>
            <w:tcW w:type="dxa" w:w="6800"/>
            <w:tcMar>
              <w:top w:type="dxa" w:w="80"/>
              <w:left w:type="dxa" w:w="120"/>
              <w:bottom w:type="dxa" w:w="80"/>
              <w:right w:type="dxa" w:w="120"/>
            </w:tcMar>
          </w:tcPr>
          <w:p>
            <w:pPr>
              <w:jc w:val="left"/>
            </w:pPr>
            <w:r>
              <w:rPr>
                <w:b w:val="false"/>
                <w:bCs w:val="false"/>
                <w:color w:val="000000"/>
                <w:sz w:val="20"/>
                <w:szCs w:val="20"/>
              </w:rPr>
              <w:t xml:space="preserve">Si le solde du compte ne permet pas d'honorer un débit (remboursement supérieur au solde disponible), l'événement est journalisé et le remboursement est marqué en échec (comportement cohérent avec un profil de défaut).</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Exigences couvertes</w:t>
            </w:r>
          </w:p>
        </w:tc>
        <w:tc>
          <w:tcPr>
            <w:tcW w:type="dxa" w:w="6800"/>
            <w:tcMar>
              <w:top w:type="dxa" w:w="80"/>
              <w:left w:type="dxa" w:w="120"/>
              <w:bottom w:type="dxa" w:w="80"/>
              <w:right w:type="dxa" w:w="120"/>
            </w:tcMar>
          </w:tcPr>
          <w:p>
            <w:pPr>
              <w:jc w:val="left"/>
            </w:pPr>
            <w:r>
              <w:rPr>
                <w:b w:val="false"/>
                <w:bCs w:val="false"/>
                <w:color w:val="000000"/>
                <w:sz w:val="20"/>
                <w:szCs w:val="20"/>
              </w:rPr>
              <w:t xml:space="preserve">EF-73, EF-74, EF-75</w:t>
            </w:r>
          </w:p>
        </w:tc>
      </w:tr>
    </w:tbl>
    <w:p>
      <w:pPr>
        <w:spacing w:after="120"/>
        <w:jc w:val="both"/>
      </w:pPr>
      <w:r>
        <w:rPr>
          <w:b w:val="false"/>
          <w:bCs w:val="false"/>
          <w:i w:val="false"/>
          <w:iCs w:val="false"/>
          <w:sz w:val="22"/>
          <w:szCs w:val="22"/>
        </w:rPr>
        <w:t xml:space="preserve"/>
      </w:r>
    </w:p>
    <w:p>
      <w:pPr>
        <w:pStyle w:val="Heading3"/>
        <w:spacing w:after="120" w:before="240"/>
      </w:pPr>
      <w:r>
        <w:rPr>
          <w:b/>
          <w:bCs/>
          <w:color w:val="4CAF50"/>
          <w:sz w:val="22"/>
          <w:szCs w:val="22"/>
        </w:rPr>
        <w:t xml:space="preserve">UC-05 — Production du rapport Portfolio At Risk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6B2E9E" w:val="clear"/>
            <w:tcMar>
              <w:top w:type="dxa" w:w="100"/>
              <w:left w:type="dxa" w:w="120"/>
              <w:bottom w:type="dxa" w:w="100"/>
              <w:right w:type="dxa" w:w="120"/>
            </w:tcMar>
          </w:tcPr>
          <w:p>
            <w:pPr>
              <w:jc w:val="center"/>
            </w:pPr>
            <w:r>
              <w:rPr>
                <w:b/>
                <w:bCs/>
                <w:color w:val="FFFFFF"/>
                <w:sz w:val="20"/>
                <w:szCs w:val="20"/>
              </w:rPr>
              <w:t xml:space="preserve">Champ</w:t>
            </w:r>
          </w:p>
        </w:tc>
        <w:tc>
          <w:tcPr>
            <w:tcW w:type="dxa" w:w="6800"/>
            <w:shd w:fill="6B2E9E" w:val="clear"/>
            <w:tcMar>
              <w:top w:type="dxa" w:w="100"/>
              <w:left w:type="dxa" w:w="120"/>
              <w:bottom w:type="dxa" w:w="100"/>
              <w:right w:type="dxa" w:w="120"/>
            </w:tcMar>
          </w:tcPr>
          <w:p>
            <w:pPr>
              <w:jc w:val="center"/>
            </w:pPr>
            <w:r>
              <w:rPr>
                <w:b/>
                <w:bCs/>
                <w:color w:val="FFFFFF"/>
                <w:sz w:val="20"/>
                <w:szCs w:val="20"/>
              </w:rPr>
              <w:t xml:space="preserve">Contenu</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Acteur principal</w:t>
            </w:r>
          </w:p>
        </w:tc>
        <w:tc>
          <w:tcPr>
            <w:tcW w:type="dxa" w:w="6800"/>
            <w:tcMar>
              <w:top w:type="dxa" w:w="80"/>
              <w:left w:type="dxa" w:w="120"/>
              <w:bottom w:type="dxa" w:w="80"/>
              <w:right w:type="dxa" w:w="120"/>
            </w:tcMar>
          </w:tcPr>
          <w:p>
            <w:pPr>
              <w:jc w:val="left"/>
            </w:pPr>
            <w:r>
              <w:rPr>
                <w:b w:val="false"/>
                <w:bCs w:val="false"/>
                <w:color w:val="000000"/>
                <w:sz w:val="20"/>
                <w:szCs w:val="20"/>
              </w:rPr>
              <w:t xml:space="preserve">Analyste portfolio (utilisateur final)</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Précondition</w:t>
            </w:r>
          </w:p>
        </w:tc>
        <w:tc>
          <w:tcPr>
            <w:tcW w:type="dxa" w:w="6800"/>
            <w:tcMar>
              <w:top w:type="dxa" w:w="80"/>
              <w:left w:type="dxa" w:w="120"/>
              <w:bottom w:type="dxa" w:w="80"/>
              <w:right w:type="dxa" w:w="120"/>
            </w:tcMar>
          </w:tcPr>
          <w:p>
            <w:pPr>
              <w:jc w:val="left"/>
            </w:pPr>
            <w:r>
              <w:rPr>
                <w:b w:val="false"/>
                <w:bCs w:val="false"/>
                <w:color w:val="000000"/>
                <w:sz w:val="20"/>
                <w:szCs w:val="20"/>
              </w:rPr>
              <w:t xml:space="preserve">Au moins une exécution de génération a été réalisée. Le portefeuille contient des prêts avec leur historique associé.</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Déclencheur</w:t>
            </w:r>
          </w:p>
        </w:tc>
        <w:tc>
          <w:tcPr>
            <w:tcW w:type="dxa" w:w="6800"/>
            <w:tcMar>
              <w:top w:type="dxa" w:w="80"/>
              <w:left w:type="dxa" w:w="120"/>
              <w:bottom w:type="dxa" w:w="80"/>
              <w:right w:type="dxa" w:w="120"/>
            </w:tcMar>
          </w:tcPr>
          <w:p>
            <w:pPr>
              <w:jc w:val="left"/>
            </w:pPr>
            <w:r>
              <w:rPr>
                <w:b w:val="false"/>
                <w:bCs w:val="false"/>
                <w:color w:val="000000"/>
                <w:sz w:val="20"/>
                <w:szCs w:val="20"/>
              </w:rPr>
              <w:t xml:space="preserve">Fin d'exécution du Loader, ou demande explicite de production du rapport via l'interface graphique.</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Postcondition</w:t>
            </w:r>
          </w:p>
        </w:tc>
        <w:tc>
          <w:tcPr>
            <w:tcW w:type="dxa" w:w="6800"/>
            <w:tcMar>
              <w:top w:type="dxa" w:w="80"/>
              <w:left w:type="dxa" w:w="120"/>
              <w:bottom w:type="dxa" w:w="80"/>
              <w:right w:type="dxa" w:w="120"/>
            </w:tcMar>
          </w:tcPr>
          <w:p>
            <w:pPr>
              <w:jc w:val="left"/>
            </w:pPr>
            <w:r>
              <w:rPr>
                <w:b w:val="false"/>
                <w:bCs w:val="false"/>
                <w:color w:val="000000"/>
                <w:sz w:val="20"/>
                <w:szCs w:val="20"/>
              </w:rPr>
              <w:t xml:space="preserve">Un rapport structuré est produit, contenant les indicateurs Portfolio At Risk du portefeuille.</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Scénario nominal</w:t>
            </w:r>
          </w:p>
        </w:tc>
        <w:tc>
          <w:tcPr>
            <w:tcW w:type="dxa" w:w="6800"/>
            <w:tcMar>
              <w:top w:type="dxa" w:w="80"/>
              <w:left w:type="dxa" w:w="120"/>
              <w:bottom w:type="dxa" w:w="80"/>
              <w:right w:type="dxa" w:w="120"/>
            </w:tcMar>
          </w:tcPr>
          <w:p>
            <w:pPr>
              <w:jc w:val="left"/>
            </w:pPr>
            <w:r>
              <w:rPr>
                <w:b w:val="false"/>
                <w:bCs w:val="false"/>
                <w:color w:val="000000"/>
                <w:sz w:val="20"/>
                <w:szCs w:val="20"/>
              </w:rPr>
              <w:t xml:space="preserve">1) Le Loader parcourt les prêts du portefeuille. 2) Pour chaque prêt en cours, le Loader calcule les jours de retard. 3) Le Loader agrège les prêts par bucket DPD (1, 10, 30, 60, 90 jours). 4) Le Loader calcule les taux PAR par bucket, l'encours, le montant décaissé et le taux de recouvrement. 5) Le rapport est publié.</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Cas alternatif</w:t>
            </w:r>
          </w:p>
        </w:tc>
        <w:tc>
          <w:tcPr>
            <w:tcW w:type="dxa" w:w="6800"/>
            <w:tcMar>
              <w:top w:type="dxa" w:w="80"/>
              <w:left w:type="dxa" w:w="120"/>
              <w:bottom w:type="dxa" w:w="80"/>
              <w:right w:type="dxa" w:w="120"/>
            </w:tcMar>
          </w:tcPr>
          <w:p>
            <w:pPr>
              <w:jc w:val="left"/>
            </w:pPr>
            <w:r>
              <w:rPr>
                <w:b w:val="false"/>
                <w:bCs w:val="false"/>
                <w:color w:val="000000"/>
                <w:sz w:val="20"/>
                <w:szCs w:val="20"/>
              </w:rPr>
              <w:t xml:space="preserve">Le rapport peut être filtré par pays ou par produit sur demande.</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Exception</w:t>
            </w:r>
          </w:p>
        </w:tc>
        <w:tc>
          <w:tcPr>
            <w:tcW w:type="dxa" w:w="6800"/>
            <w:tcMar>
              <w:top w:type="dxa" w:w="80"/>
              <w:left w:type="dxa" w:w="120"/>
              <w:bottom w:type="dxa" w:w="80"/>
              <w:right w:type="dxa" w:w="120"/>
            </w:tcMar>
          </w:tcPr>
          <w:p>
            <w:pPr>
              <w:jc w:val="left"/>
            </w:pPr>
            <w:r>
              <w:rPr>
                <w:b w:val="false"/>
                <w:bCs w:val="false"/>
                <w:color w:val="000000"/>
                <w:sz w:val="20"/>
                <w:szCs w:val="20"/>
              </w:rPr>
              <w:t xml:space="preserve">Si le portefeuille est vide, le rapport est produit avec des valeurs nulles et un avertissement explicite.</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Exigences couvertes</w:t>
            </w:r>
          </w:p>
        </w:tc>
        <w:tc>
          <w:tcPr>
            <w:tcW w:type="dxa" w:w="6800"/>
            <w:tcMar>
              <w:top w:type="dxa" w:w="80"/>
              <w:left w:type="dxa" w:w="120"/>
              <w:bottom w:type="dxa" w:w="80"/>
              <w:right w:type="dxa" w:w="120"/>
            </w:tcMar>
          </w:tcPr>
          <w:p>
            <w:pPr>
              <w:jc w:val="left"/>
            </w:pPr>
            <w:r>
              <w:rPr>
                <w:b w:val="false"/>
                <w:bCs w:val="false"/>
                <w:color w:val="000000"/>
                <w:sz w:val="20"/>
                <w:szCs w:val="20"/>
              </w:rPr>
              <w:t xml:space="preserve">EF-72</w:t>
            </w:r>
          </w:p>
        </w:tc>
      </w:tr>
    </w:tbl>
    <w:p>
      <w:r>
        <w:br w:type="page"/>
      </w:r>
    </w:p>
    <w:p>
      <w:pPr>
        <w:pStyle w:val="Heading1"/>
        <w:spacing w:after="240" w:before="480"/>
      </w:pPr>
      <w:r>
        <w:rPr>
          <w:b/>
          <w:bCs/>
          <w:color w:val="6B2E9E"/>
          <w:sz w:val="32"/>
          <w:szCs w:val="32"/>
        </w:rPr>
        <w:t xml:space="preserve">7. Exigences fonctionnelles</w:t>
      </w:r>
    </w:p>
    <w:p>
      <w:pPr>
        <w:spacing w:after="120"/>
        <w:jc w:val="both"/>
      </w:pPr>
      <w:r>
        <w:rPr>
          <w:b w:val="false"/>
          <w:bCs w:val="false"/>
          <w:i w:val="false"/>
          <w:iCs w:val="false"/>
          <w:sz w:val="22"/>
          <w:szCs w:val="22"/>
        </w:rPr>
        <w:t xml:space="preserve">Chaque exigence est numérotée, atomique et testable. La priorité MoSCoW est indiquée : M (Must — obligatoire), S (Should — recommandé), C (Could — souhaité).</w:t>
      </w:r>
    </w:p>
    <w:p>
      <w:pPr>
        <w:pStyle w:val="Heading2"/>
        <w:spacing w:after="180" w:before="360"/>
      </w:pPr>
      <w:r>
        <w:rPr>
          <w:b/>
          <w:bCs/>
          <w:color w:val="6B2E9E"/>
          <w:sz w:val="26"/>
          <w:szCs w:val="26"/>
        </w:rPr>
        <w:t xml:space="preserve">7.1 Module Géographie (EF-01 à EF-09)</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7000"/>
        <w:gridCol w:w="1200"/>
      </w:tblGrid>
      <w:tr>
        <w:trPr>
          <w:tblHeader/>
        </w:trPr>
        <w:tc>
          <w:tcPr>
            <w:tcW w:type="dxa" w:w="1000"/>
            <w:shd w:fill="6B2E9E" w:val="clear"/>
            <w:tcMar>
              <w:top w:type="dxa" w:w="100"/>
              <w:left w:type="dxa" w:w="120"/>
              <w:bottom w:type="dxa" w:w="100"/>
              <w:right w:type="dxa" w:w="120"/>
            </w:tcMar>
          </w:tcPr>
          <w:p>
            <w:pPr>
              <w:jc w:val="center"/>
            </w:pPr>
            <w:r>
              <w:rPr>
                <w:b/>
                <w:bCs/>
                <w:color w:val="FFFFFF"/>
                <w:sz w:val="20"/>
                <w:szCs w:val="20"/>
              </w:rPr>
              <w:t xml:space="preserve">ID</w:t>
            </w:r>
          </w:p>
        </w:tc>
        <w:tc>
          <w:tcPr>
            <w:tcW w:type="dxa" w:w="7000"/>
            <w:shd w:fill="6B2E9E" w:val="clear"/>
            <w:tcMar>
              <w:top w:type="dxa" w:w="100"/>
              <w:left w:type="dxa" w:w="120"/>
              <w:bottom w:type="dxa" w:w="100"/>
              <w:right w:type="dxa" w:w="120"/>
            </w:tcMar>
          </w:tcPr>
          <w:p>
            <w:pPr>
              <w:jc w:val="center"/>
            </w:pPr>
            <w:r>
              <w:rPr>
                <w:b/>
                <w:bCs/>
                <w:color w:val="FFFFFF"/>
                <w:sz w:val="20"/>
                <w:szCs w:val="20"/>
              </w:rPr>
              <w:t xml:space="preserve">Exigence</w:t>
            </w:r>
          </w:p>
        </w:tc>
        <w:tc>
          <w:tcPr>
            <w:tcW w:type="dxa" w:w="1200"/>
            <w:shd w:fill="6B2E9E" w:val="clear"/>
            <w:tcMar>
              <w:top w:type="dxa" w:w="100"/>
              <w:left w:type="dxa" w:w="120"/>
              <w:bottom w:type="dxa" w:w="100"/>
              <w:right w:type="dxa" w:w="120"/>
            </w:tcMar>
          </w:tcPr>
          <w:p>
            <w:pPr>
              <w:jc w:val="center"/>
            </w:pPr>
            <w:r>
              <w:rPr>
                <w:b/>
                <w:bCs/>
                <w:color w:val="FFFFFF"/>
                <w:sz w:val="20"/>
                <w:szCs w:val="20"/>
              </w:rPr>
              <w:t xml:space="preserve">Prio</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EF-01</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charger le référentiel géographique depuis un fichier structuré conforme au modèle Loader_Base_FinZuu v1.1.</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EF-02</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valider l'intégrité référentielle du référentiel : chaque Region doit avoir un Country parent, chaque City une Region, chaque District une City.</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EF-03</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associer à chaque niveau géographique ses coordonnées GPS lorsqu'elles sont disponibles dans le référentiel.</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EF-04</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DEVRAIT permettre l'extension du référentiel à de nouveaux pays par ajout de lignes dans le fichier source, sans modification de code.</w:t>
            </w:r>
          </w:p>
        </w:tc>
        <w:tc>
          <w:tcPr>
            <w:tcW w:type="dxa" w:w="1200"/>
            <w:tcMar>
              <w:top w:type="dxa" w:w="80"/>
              <w:left w:type="dxa" w:w="120"/>
              <w:bottom w:type="dxa" w:w="80"/>
              <w:right w:type="dxa" w:w="120"/>
            </w:tcMar>
          </w:tcPr>
          <w:p>
            <w:pPr>
              <w:jc w:val="left"/>
            </w:pPr>
            <w:r>
              <w:rPr>
                <w:b w:val="false"/>
                <w:bCs w:val="false"/>
                <w:color w:val="000000"/>
                <w:sz w:val="20"/>
                <w:szCs w:val="20"/>
              </w:rPr>
              <w:t xml:space="preserve">S</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EF-05</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rejeter toute demande d'opération ciblant un pays absent du référentiel.</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EF-06</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DEVRAIT afficher un rapport de couverture géographique en début d'exécution (nombre de régions, villes, quartiers utilisés).</w:t>
            </w:r>
          </w:p>
        </w:tc>
        <w:tc>
          <w:tcPr>
            <w:tcW w:type="dxa" w:w="1200"/>
            <w:tcMar>
              <w:top w:type="dxa" w:w="80"/>
              <w:left w:type="dxa" w:w="120"/>
              <w:bottom w:type="dxa" w:w="80"/>
              <w:right w:type="dxa" w:w="120"/>
            </w:tcMar>
          </w:tcPr>
          <w:p>
            <w:pPr>
              <w:jc w:val="left"/>
            </w:pPr>
            <w:r>
              <w:rPr>
                <w:b w:val="false"/>
                <w:bCs w:val="false"/>
                <w:color w:val="000000"/>
                <w:sz w:val="20"/>
                <w:szCs w:val="20"/>
              </w:rPr>
              <w:t xml:space="preserve">S</w:t>
            </w:r>
          </w:p>
        </w:tc>
      </w:tr>
    </w:tbl>
    <w:p>
      <w:pPr>
        <w:pStyle w:val="Heading2"/>
        <w:spacing w:after="180" w:before="360"/>
      </w:pPr>
      <w:r>
        <w:rPr>
          <w:b/>
          <w:bCs/>
          <w:color w:val="6B2E9E"/>
          <w:sz w:val="26"/>
          <w:szCs w:val="26"/>
        </w:rPr>
        <w:t xml:space="preserve">7.2 Module Organisation (EF-10 à EF-19)</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7000"/>
        <w:gridCol w:w="1200"/>
      </w:tblGrid>
      <w:tr>
        <w:trPr>
          <w:tblHeader/>
        </w:trPr>
        <w:tc>
          <w:tcPr>
            <w:tcW w:type="dxa" w:w="1000"/>
            <w:shd w:fill="6B2E9E" w:val="clear"/>
            <w:tcMar>
              <w:top w:type="dxa" w:w="100"/>
              <w:left w:type="dxa" w:w="120"/>
              <w:bottom w:type="dxa" w:w="100"/>
              <w:right w:type="dxa" w:w="120"/>
            </w:tcMar>
          </w:tcPr>
          <w:p>
            <w:pPr>
              <w:jc w:val="center"/>
            </w:pPr>
            <w:r>
              <w:rPr>
                <w:b/>
                <w:bCs/>
                <w:color w:val="FFFFFF"/>
                <w:sz w:val="20"/>
                <w:szCs w:val="20"/>
              </w:rPr>
              <w:t xml:space="preserve">ID</w:t>
            </w:r>
          </w:p>
        </w:tc>
        <w:tc>
          <w:tcPr>
            <w:tcW w:type="dxa" w:w="7000"/>
            <w:shd w:fill="6B2E9E" w:val="clear"/>
            <w:tcMar>
              <w:top w:type="dxa" w:w="100"/>
              <w:left w:type="dxa" w:w="120"/>
              <w:bottom w:type="dxa" w:w="100"/>
              <w:right w:type="dxa" w:w="120"/>
            </w:tcMar>
          </w:tcPr>
          <w:p>
            <w:pPr>
              <w:jc w:val="center"/>
            </w:pPr>
            <w:r>
              <w:rPr>
                <w:b/>
                <w:bCs/>
                <w:color w:val="FFFFFF"/>
                <w:sz w:val="20"/>
                <w:szCs w:val="20"/>
              </w:rPr>
              <w:t xml:space="preserve">Exigence</w:t>
            </w:r>
          </w:p>
        </w:tc>
        <w:tc>
          <w:tcPr>
            <w:tcW w:type="dxa" w:w="1200"/>
            <w:shd w:fill="6B2E9E" w:val="clear"/>
            <w:tcMar>
              <w:top w:type="dxa" w:w="100"/>
              <w:left w:type="dxa" w:w="120"/>
              <w:bottom w:type="dxa" w:w="100"/>
              <w:right w:type="dxa" w:w="120"/>
            </w:tcMar>
          </w:tcPr>
          <w:p>
            <w:pPr>
              <w:jc w:val="center"/>
            </w:pPr>
            <w:r>
              <w:rPr>
                <w:b/>
                <w:bCs/>
                <w:color w:val="FFFFFF"/>
                <w:sz w:val="20"/>
                <w:szCs w:val="20"/>
              </w:rPr>
              <w:t xml:space="preserve">Prio</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EF-10</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générer un nombre paramétrable de compagnies par pays, avec une distribution des types configurables (IMF, banque, fondation, merchant).</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EF-11</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rattacher chaque Company à une Region existante de son pays.</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EF-12</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générer trois Lenders locaux par pays et quatre Lenders institutionnels globaux (Nordic Microfinance, IFC, AFD, BAD).</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EF-13</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créer les quatre comptes financiers de chaque Lender : CAPITAL, INTEREST, PENALTY, TAXE.</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EF-14</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générer un nombre paramétrable de Branches par IMF, rattachées à une Region.</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EF-15</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générer un nombre paramétrable d'Agences par Branche, rattachées à une Ville de la Region.</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EF-16</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générer un nombre paramétrable de Kiosques par Agence, rattachés à un District de la Ville.</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EF-17</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générer un nombre paramétrable d'Agents par Kiosque.</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EF-18</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rejeter et journaliser toute tentative de création violant l'emboîtement géographique.</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EF-19</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DEVRAIT permettre de choisir le niveau de rattachement du Lender (Company, Branche, Agence) via configuration.</w:t>
            </w:r>
          </w:p>
        </w:tc>
        <w:tc>
          <w:tcPr>
            <w:tcW w:type="dxa" w:w="1200"/>
            <w:tcMar>
              <w:top w:type="dxa" w:w="80"/>
              <w:left w:type="dxa" w:w="120"/>
              <w:bottom w:type="dxa" w:w="80"/>
              <w:right w:type="dxa" w:w="120"/>
            </w:tcMar>
          </w:tcPr>
          <w:p>
            <w:pPr>
              <w:jc w:val="left"/>
            </w:pPr>
            <w:r>
              <w:rPr>
                <w:b w:val="false"/>
                <w:bCs w:val="false"/>
                <w:color w:val="000000"/>
                <w:sz w:val="20"/>
                <w:szCs w:val="20"/>
              </w:rPr>
              <w:t xml:space="preserve">S</w:t>
            </w:r>
          </w:p>
        </w:tc>
      </w:tr>
    </w:tbl>
    <w:p>
      <w:pPr>
        <w:pStyle w:val="Heading2"/>
        <w:spacing w:after="180" w:before="360"/>
      </w:pPr>
      <w:r>
        <w:rPr>
          <w:b/>
          <w:bCs/>
          <w:color w:val="6B2E9E"/>
          <w:sz w:val="26"/>
          <w:szCs w:val="26"/>
        </w:rPr>
        <w:t xml:space="preserve">7.3 Module Identités et Clients (EF-20 à EF-29)</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7000"/>
        <w:gridCol w:w="1200"/>
      </w:tblGrid>
      <w:tr>
        <w:trPr>
          <w:tblHeader/>
        </w:trPr>
        <w:tc>
          <w:tcPr>
            <w:tcW w:type="dxa" w:w="1000"/>
            <w:shd w:fill="6B2E9E" w:val="clear"/>
            <w:tcMar>
              <w:top w:type="dxa" w:w="100"/>
              <w:left w:type="dxa" w:w="120"/>
              <w:bottom w:type="dxa" w:w="100"/>
              <w:right w:type="dxa" w:w="120"/>
            </w:tcMar>
          </w:tcPr>
          <w:p>
            <w:pPr>
              <w:jc w:val="center"/>
            </w:pPr>
            <w:r>
              <w:rPr>
                <w:b/>
                <w:bCs/>
                <w:color w:val="FFFFFF"/>
                <w:sz w:val="20"/>
                <w:szCs w:val="20"/>
              </w:rPr>
              <w:t xml:space="preserve">ID</w:t>
            </w:r>
          </w:p>
        </w:tc>
        <w:tc>
          <w:tcPr>
            <w:tcW w:type="dxa" w:w="7000"/>
            <w:shd w:fill="6B2E9E" w:val="clear"/>
            <w:tcMar>
              <w:top w:type="dxa" w:w="100"/>
              <w:left w:type="dxa" w:w="120"/>
              <w:bottom w:type="dxa" w:w="100"/>
              <w:right w:type="dxa" w:w="120"/>
            </w:tcMar>
          </w:tcPr>
          <w:p>
            <w:pPr>
              <w:jc w:val="center"/>
            </w:pPr>
            <w:r>
              <w:rPr>
                <w:b/>
                <w:bCs/>
                <w:color w:val="FFFFFF"/>
                <w:sz w:val="20"/>
                <w:szCs w:val="20"/>
              </w:rPr>
              <w:t xml:space="preserve">Exigence</w:t>
            </w:r>
          </w:p>
        </w:tc>
        <w:tc>
          <w:tcPr>
            <w:tcW w:type="dxa" w:w="1200"/>
            <w:shd w:fill="6B2E9E" w:val="clear"/>
            <w:tcMar>
              <w:top w:type="dxa" w:w="100"/>
              <w:left w:type="dxa" w:w="120"/>
              <w:bottom w:type="dxa" w:w="100"/>
              <w:right w:type="dxa" w:w="120"/>
            </w:tcMar>
          </w:tcPr>
          <w:p>
            <w:pPr>
              <w:jc w:val="center"/>
            </w:pPr>
            <w:r>
              <w:rPr>
                <w:b/>
                <w:bCs/>
                <w:color w:val="FFFFFF"/>
                <w:sz w:val="20"/>
                <w:szCs w:val="20"/>
              </w:rPr>
              <w:t xml:space="preserve">Prio</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EF-20</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interroger l'API Faker pour obtenir des payloads clients complets incluant identité KYC et coordonnées géographiques.</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EF-21</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vérifier que le pays retourné par Faker correspond au pays demandé avant toute injection.</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EF-22</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respecter la distribution démographique spécifiée : 60 pour cent d'individus de moins de 25 ans, ratio deux femmes pour un homme.</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EF-23</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respecter la répartition Individual/Corporate : 80 pour cent d'individus, 20 pour cent de professionnels.</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EF-24</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rattacher 20 pour cent des professionnels au secteur agricole ; les 80 pour cent restants aux secteurs transports, commerce et services.</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EF-25</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garantir l'unicité des MSISDN générés au sein d'une même exécution.</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EF-26</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rattacher chaque client à un Kiosque existant du pays cible.</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EF-27</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valider le format du MSISDN contre le regex de l'opérateur telco du pays.</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EF-28</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DEVRAIT permettre de configurer le segment de scoring cible (ANY, LOW, MEDIUM, HIGH).</w:t>
            </w:r>
          </w:p>
        </w:tc>
        <w:tc>
          <w:tcPr>
            <w:tcW w:type="dxa" w:w="1200"/>
            <w:tcMar>
              <w:top w:type="dxa" w:w="80"/>
              <w:left w:type="dxa" w:w="120"/>
              <w:bottom w:type="dxa" w:w="80"/>
              <w:right w:type="dxa" w:w="120"/>
            </w:tcMar>
          </w:tcPr>
          <w:p>
            <w:pPr>
              <w:jc w:val="left"/>
            </w:pPr>
            <w:r>
              <w:rPr>
                <w:b w:val="false"/>
                <w:bCs w:val="false"/>
                <w:color w:val="000000"/>
                <w:sz w:val="20"/>
                <w:szCs w:val="20"/>
              </w:rPr>
              <w:t xml:space="preserve">S</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EF-29</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DEVRAIT gérer les timeouts de l'API Faker par une stratégie de nouvelle tentative avec repli.</w:t>
            </w:r>
          </w:p>
        </w:tc>
        <w:tc>
          <w:tcPr>
            <w:tcW w:type="dxa" w:w="1200"/>
            <w:tcMar>
              <w:top w:type="dxa" w:w="80"/>
              <w:left w:type="dxa" w:w="120"/>
              <w:bottom w:type="dxa" w:w="80"/>
              <w:right w:type="dxa" w:w="120"/>
            </w:tcMar>
          </w:tcPr>
          <w:p>
            <w:pPr>
              <w:jc w:val="left"/>
            </w:pPr>
            <w:r>
              <w:rPr>
                <w:b w:val="false"/>
                <w:bCs w:val="false"/>
                <w:color w:val="000000"/>
                <w:sz w:val="20"/>
                <w:szCs w:val="20"/>
              </w:rPr>
              <w:t xml:space="preserve">S</w:t>
            </w:r>
          </w:p>
        </w:tc>
      </w:tr>
    </w:tbl>
    <w:p>
      <w:pPr>
        <w:pStyle w:val="Heading2"/>
        <w:spacing w:after="180" w:before="360"/>
      </w:pPr>
      <w:r>
        <w:rPr>
          <w:b/>
          <w:bCs/>
          <w:color w:val="6B2E9E"/>
          <w:sz w:val="26"/>
          <w:szCs w:val="26"/>
        </w:rPr>
        <w:t xml:space="preserve">7.4 Module Prêt et Historique de crédit (EF-30 à EF-39)</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7000"/>
        <w:gridCol w:w="1200"/>
      </w:tblGrid>
      <w:tr>
        <w:trPr>
          <w:tblHeader/>
        </w:trPr>
        <w:tc>
          <w:tcPr>
            <w:tcW w:type="dxa" w:w="1000"/>
            <w:shd w:fill="6B2E9E" w:val="clear"/>
            <w:tcMar>
              <w:top w:type="dxa" w:w="100"/>
              <w:left w:type="dxa" w:w="120"/>
              <w:bottom w:type="dxa" w:w="100"/>
              <w:right w:type="dxa" w:w="120"/>
            </w:tcMar>
          </w:tcPr>
          <w:p>
            <w:pPr>
              <w:jc w:val="center"/>
            </w:pPr>
            <w:r>
              <w:rPr>
                <w:b/>
                <w:bCs/>
                <w:color w:val="FFFFFF"/>
                <w:sz w:val="20"/>
                <w:szCs w:val="20"/>
              </w:rPr>
              <w:t xml:space="preserve">ID</w:t>
            </w:r>
          </w:p>
        </w:tc>
        <w:tc>
          <w:tcPr>
            <w:tcW w:type="dxa" w:w="7000"/>
            <w:shd w:fill="6B2E9E" w:val="clear"/>
            <w:tcMar>
              <w:top w:type="dxa" w:w="100"/>
              <w:left w:type="dxa" w:w="120"/>
              <w:bottom w:type="dxa" w:w="100"/>
              <w:right w:type="dxa" w:w="120"/>
            </w:tcMar>
          </w:tcPr>
          <w:p>
            <w:pPr>
              <w:jc w:val="center"/>
            </w:pPr>
            <w:r>
              <w:rPr>
                <w:b/>
                <w:bCs/>
                <w:color w:val="FFFFFF"/>
                <w:sz w:val="20"/>
                <w:szCs w:val="20"/>
              </w:rPr>
              <w:t xml:space="preserve">Exigence</w:t>
            </w:r>
          </w:p>
        </w:tc>
        <w:tc>
          <w:tcPr>
            <w:tcW w:type="dxa" w:w="1200"/>
            <w:shd w:fill="6B2E9E" w:val="clear"/>
            <w:tcMar>
              <w:top w:type="dxa" w:w="100"/>
              <w:left w:type="dxa" w:w="120"/>
              <w:bottom w:type="dxa" w:w="100"/>
              <w:right w:type="dxa" w:w="120"/>
            </w:tcMar>
          </w:tcPr>
          <w:p>
            <w:pPr>
              <w:jc w:val="center"/>
            </w:pPr>
            <w:r>
              <w:rPr>
                <w:b/>
                <w:bCs/>
                <w:color w:val="FFFFFF"/>
                <w:sz w:val="20"/>
                <w:szCs w:val="20"/>
              </w:rPr>
              <w:t xml:space="preserve">Prio</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EF-30</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permettre de configurer la proportion de clients disposant d'un historique de crédit.</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EF-31</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récupérer l'historique de crédit via l'endpoint Faker /loan-history/{client_id} pour les clients concernés.</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EF-32</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gérer les cas d'absence d'historique par une entrée neutre dans le journal, sans interrompre l'exécution globale.</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EF-33</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DEVRAIT permettre de configurer la distribution cible des statuts de prêt (FINISHED, ONGOING).</w:t>
            </w:r>
          </w:p>
        </w:tc>
        <w:tc>
          <w:tcPr>
            <w:tcW w:type="dxa" w:w="1200"/>
            <w:tcMar>
              <w:top w:type="dxa" w:w="80"/>
              <w:left w:type="dxa" w:w="120"/>
              <w:bottom w:type="dxa" w:w="80"/>
              <w:right w:type="dxa" w:w="120"/>
            </w:tcMar>
          </w:tcPr>
          <w:p>
            <w:pPr>
              <w:jc w:val="left"/>
            </w:pPr>
            <w:r>
              <w:rPr>
                <w:b w:val="false"/>
                <w:bCs w:val="false"/>
                <w:color w:val="000000"/>
                <w:sz w:val="20"/>
                <w:szCs w:val="20"/>
              </w:rPr>
              <w:t xml:space="preserve">S</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EF-34</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conserver la référence externe du prêt Faker sans l'utiliser comme identifiant interne FinZuu.</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EF-35</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respecter les plafonds d'usure BEAC/COBAC (taux inférieur ou égal à 24 pour cent annuel) sur les prêts générés.</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EF-36</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interagir avec le module loan-service livré par Duhamel pour l'injection des prêts, une fois ce service disponible.</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EF-37</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DEVRAIT permettre de simuler les événements de cycle de vie du prêt : décaissement, remboursement partiel, clôture.</w:t>
            </w:r>
          </w:p>
        </w:tc>
        <w:tc>
          <w:tcPr>
            <w:tcW w:type="dxa" w:w="1200"/>
            <w:tcMar>
              <w:top w:type="dxa" w:w="80"/>
              <w:left w:type="dxa" w:w="120"/>
              <w:bottom w:type="dxa" w:w="80"/>
              <w:right w:type="dxa" w:w="120"/>
            </w:tcMar>
          </w:tcPr>
          <w:p>
            <w:pPr>
              <w:jc w:val="left"/>
            </w:pPr>
            <w:r>
              <w:rPr>
                <w:b w:val="false"/>
                <w:bCs w:val="false"/>
                <w:color w:val="000000"/>
                <w:sz w:val="20"/>
                <w:szCs w:val="20"/>
              </w:rPr>
              <w:t xml:space="preserve">S</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EF-38</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POURRAIT générer des scénarios de retard de paiement (DPD — Days Past Due) selon une distribution paramétrable.</w:t>
            </w:r>
          </w:p>
        </w:tc>
        <w:tc>
          <w:tcPr>
            <w:tcW w:type="dxa" w:w="1200"/>
            <w:tcMar>
              <w:top w:type="dxa" w:w="80"/>
              <w:left w:type="dxa" w:w="120"/>
              <w:bottom w:type="dxa" w:w="80"/>
              <w:right w:type="dxa" w:w="120"/>
            </w:tcMar>
          </w:tcPr>
          <w:p>
            <w:pPr>
              <w:jc w:val="left"/>
            </w:pPr>
            <w:r>
              <w:rPr>
                <w:b w:val="false"/>
                <w:bCs w:val="false"/>
                <w:color w:val="000000"/>
                <w:sz w:val="20"/>
                <w:szCs w:val="20"/>
              </w:rPr>
              <w:t xml:space="preserve">C</w:t>
            </w:r>
          </w:p>
        </w:tc>
      </w:tr>
    </w:tbl>
    <w:p>
      <w:pPr>
        <w:pStyle w:val="Heading2"/>
        <w:spacing w:after="180" w:before="360"/>
      </w:pPr>
      <w:r>
        <w:rPr>
          <w:b/>
          <w:bCs/>
          <w:color w:val="6B2E9E"/>
          <w:sz w:val="26"/>
          <w:szCs w:val="26"/>
        </w:rPr>
        <w:t xml:space="preserve">7.5 Module Cadence opérationnelle (EF-40 à EF-49)</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7000"/>
        <w:gridCol w:w="1200"/>
      </w:tblGrid>
      <w:tr>
        <w:trPr>
          <w:tblHeader/>
        </w:trPr>
        <w:tc>
          <w:tcPr>
            <w:tcW w:type="dxa" w:w="1000"/>
            <w:shd w:fill="6B2E9E" w:val="clear"/>
            <w:tcMar>
              <w:top w:type="dxa" w:w="100"/>
              <w:left w:type="dxa" w:w="120"/>
              <w:bottom w:type="dxa" w:w="100"/>
              <w:right w:type="dxa" w:w="120"/>
            </w:tcMar>
          </w:tcPr>
          <w:p>
            <w:pPr>
              <w:jc w:val="center"/>
            </w:pPr>
            <w:r>
              <w:rPr>
                <w:b/>
                <w:bCs/>
                <w:color w:val="FFFFFF"/>
                <w:sz w:val="20"/>
                <w:szCs w:val="20"/>
              </w:rPr>
              <w:t xml:space="preserve">ID</w:t>
            </w:r>
          </w:p>
        </w:tc>
        <w:tc>
          <w:tcPr>
            <w:tcW w:type="dxa" w:w="7000"/>
            <w:shd w:fill="6B2E9E" w:val="clear"/>
            <w:tcMar>
              <w:top w:type="dxa" w:w="100"/>
              <w:left w:type="dxa" w:w="120"/>
              <w:bottom w:type="dxa" w:w="100"/>
              <w:right w:type="dxa" w:w="120"/>
            </w:tcMar>
          </w:tcPr>
          <w:p>
            <w:pPr>
              <w:jc w:val="center"/>
            </w:pPr>
            <w:r>
              <w:rPr>
                <w:b/>
                <w:bCs/>
                <w:color w:val="FFFFFF"/>
                <w:sz w:val="20"/>
                <w:szCs w:val="20"/>
              </w:rPr>
              <w:t xml:space="preserve">Exigence</w:t>
            </w:r>
          </w:p>
        </w:tc>
        <w:tc>
          <w:tcPr>
            <w:tcW w:type="dxa" w:w="1200"/>
            <w:shd w:fill="6B2E9E" w:val="clear"/>
            <w:tcMar>
              <w:top w:type="dxa" w:w="100"/>
              <w:left w:type="dxa" w:w="120"/>
              <w:bottom w:type="dxa" w:w="100"/>
              <w:right w:type="dxa" w:w="120"/>
            </w:tcMar>
          </w:tcPr>
          <w:p>
            <w:pPr>
              <w:jc w:val="center"/>
            </w:pPr>
            <w:r>
              <w:rPr>
                <w:b/>
                <w:bCs/>
                <w:color w:val="FFFFFF"/>
                <w:sz w:val="20"/>
                <w:szCs w:val="20"/>
              </w:rPr>
              <w:t xml:space="preserve">Prio</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EF-40</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générer au minimum trois compagnies par jour ouvré en mode continu.</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EF-41</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générer dix nouvelles entrées par jour en mode continu, avec la répartition 20 pour cent compagnies et 80 pour cent individus.</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EF-42</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simuler quotidiennement des mouvements financiers par client : un à plusieurs débits et crédits selon le segment (1 à 5).</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EF-43</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simuler quotidiennement des paiements marchands P2P et Mobile Money selon les profils.</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EF-44</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simuler la création quotidienne de nouveaux comptes selon les profils segmentés.</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EF-45</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simuler quotidiennement des crédits et débits sur les comptes d'épargne.</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EF-46</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simuler au moins un prêt par jour, avec un montant dépendant du segment client.</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EF-47</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simuler des souscriptions à de nouveaux produits selon les profils.</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EF-48</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DEVRAIT permettre de basculer entre un mode continu (cron ou daemon) et un mode batch (exécution unique).</w:t>
            </w:r>
          </w:p>
        </w:tc>
        <w:tc>
          <w:tcPr>
            <w:tcW w:type="dxa" w:w="1200"/>
            <w:tcMar>
              <w:top w:type="dxa" w:w="80"/>
              <w:left w:type="dxa" w:w="120"/>
              <w:bottom w:type="dxa" w:w="80"/>
              <w:right w:type="dxa" w:w="120"/>
            </w:tcMar>
          </w:tcPr>
          <w:p>
            <w:pPr>
              <w:jc w:val="left"/>
            </w:pPr>
            <w:r>
              <w:rPr>
                <w:b w:val="false"/>
                <w:bCs w:val="false"/>
                <w:color w:val="000000"/>
                <w:sz w:val="20"/>
                <w:szCs w:val="20"/>
              </w:rPr>
              <w:t xml:space="preserve">S</w:t>
            </w:r>
          </w:p>
        </w:tc>
      </w:tr>
    </w:tbl>
    <w:p>
      <w:pPr>
        <w:pStyle w:val="Heading2"/>
        <w:spacing w:after="180" w:before="360"/>
      </w:pPr>
      <w:r>
        <w:rPr>
          <w:b/>
          <w:bCs/>
          <w:color w:val="6B2E9E"/>
          <w:sz w:val="26"/>
          <w:szCs w:val="26"/>
        </w:rPr>
        <w:t xml:space="preserve">7.6 Module Interface graphique (EF-50 à EF-59)</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7000"/>
        <w:gridCol w:w="1200"/>
      </w:tblGrid>
      <w:tr>
        <w:trPr>
          <w:tblHeader/>
        </w:trPr>
        <w:tc>
          <w:tcPr>
            <w:tcW w:type="dxa" w:w="1000"/>
            <w:shd w:fill="6B2E9E" w:val="clear"/>
            <w:tcMar>
              <w:top w:type="dxa" w:w="100"/>
              <w:left w:type="dxa" w:w="120"/>
              <w:bottom w:type="dxa" w:w="100"/>
              <w:right w:type="dxa" w:w="120"/>
            </w:tcMar>
          </w:tcPr>
          <w:p>
            <w:pPr>
              <w:jc w:val="center"/>
            </w:pPr>
            <w:r>
              <w:rPr>
                <w:b/>
                <w:bCs/>
                <w:color w:val="FFFFFF"/>
                <w:sz w:val="20"/>
                <w:szCs w:val="20"/>
              </w:rPr>
              <w:t xml:space="preserve">ID</w:t>
            </w:r>
          </w:p>
        </w:tc>
        <w:tc>
          <w:tcPr>
            <w:tcW w:type="dxa" w:w="7000"/>
            <w:shd w:fill="6B2E9E" w:val="clear"/>
            <w:tcMar>
              <w:top w:type="dxa" w:w="100"/>
              <w:left w:type="dxa" w:w="120"/>
              <w:bottom w:type="dxa" w:w="100"/>
              <w:right w:type="dxa" w:w="120"/>
            </w:tcMar>
          </w:tcPr>
          <w:p>
            <w:pPr>
              <w:jc w:val="center"/>
            </w:pPr>
            <w:r>
              <w:rPr>
                <w:b/>
                <w:bCs/>
                <w:color w:val="FFFFFF"/>
                <w:sz w:val="20"/>
                <w:szCs w:val="20"/>
              </w:rPr>
              <w:t xml:space="preserve">Exigence</w:t>
            </w:r>
          </w:p>
        </w:tc>
        <w:tc>
          <w:tcPr>
            <w:tcW w:type="dxa" w:w="1200"/>
            <w:shd w:fill="6B2E9E" w:val="clear"/>
            <w:tcMar>
              <w:top w:type="dxa" w:w="100"/>
              <w:left w:type="dxa" w:w="120"/>
              <w:bottom w:type="dxa" w:w="100"/>
              <w:right w:type="dxa" w:w="120"/>
            </w:tcMar>
          </w:tcPr>
          <w:p>
            <w:pPr>
              <w:jc w:val="center"/>
            </w:pPr>
            <w:r>
              <w:rPr>
                <w:b/>
                <w:bCs/>
                <w:color w:val="FFFFFF"/>
                <w:sz w:val="20"/>
                <w:szCs w:val="20"/>
              </w:rPr>
              <w:t xml:space="preserve">Prio</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EF-50</w:t>
            </w:r>
          </w:p>
        </w:tc>
        <w:tc>
          <w:tcPr>
            <w:tcW w:type="dxa" w:w="7000"/>
            <w:tcMar>
              <w:top w:type="dxa" w:w="80"/>
              <w:left w:type="dxa" w:w="120"/>
              <w:bottom w:type="dxa" w:w="80"/>
              <w:right w:type="dxa" w:w="120"/>
            </w:tcMar>
          </w:tcPr>
          <w:p>
            <w:pPr>
              <w:jc w:val="left"/>
            </w:pPr>
            <w:r>
              <w:rPr>
                <w:b w:val="false"/>
                <w:bCs w:val="false"/>
                <w:color w:val="000000"/>
                <w:sz w:val="20"/>
                <w:szCs w:val="20"/>
              </w:rPr>
              <w:t xml:space="preserve">L'interface DOIT permettre de configurer les volumes à générer à chaque niveau avant lancement.</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EF-51</w:t>
            </w:r>
          </w:p>
        </w:tc>
        <w:tc>
          <w:tcPr>
            <w:tcW w:type="dxa" w:w="7000"/>
            <w:tcMar>
              <w:top w:type="dxa" w:w="80"/>
              <w:left w:type="dxa" w:w="120"/>
              <w:bottom w:type="dxa" w:w="80"/>
              <w:right w:type="dxa" w:w="120"/>
            </w:tcMar>
          </w:tcPr>
          <w:p>
            <w:pPr>
              <w:jc w:val="left"/>
            </w:pPr>
            <w:r>
              <w:rPr>
                <w:b w:val="false"/>
                <w:bCs w:val="false"/>
                <w:color w:val="000000"/>
                <w:sz w:val="20"/>
                <w:szCs w:val="20"/>
              </w:rPr>
              <w:t xml:space="preserve">L'interface DOIT permettre de lancer une génération complète en une seule action.</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EF-52</w:t>
            </w:r>
          </w:p>
        </w:tc>
        <w:tc>
          <w:tcPr>
            <w:tcW w:type="dxa" w:w="7000"/>
            <w:tcMar>
              <w:top w:type="dxa" w:w="80"/>
              <w:left w:type="dxa" w:w="120"/>
              <w:bottom w:type="dxa" w:w="80"/>
              <w:right w:type="dxa" w:w="120"/>
            </w:tcMar>
          </w:tcPr>
          <w:p>
            <w:pPr>
              <w:jc w:val="left"/>
            </w:pPr>
            <w:r>
              <w:rPr>
                <w:b w:val="false"/>
                <w:bCs w:val="false"/>
                <w:color w:val="000000"/>
                <w:sz w:val="20"/>
                <w:szCs w:val="20"/>
              </w:rPr>
              <w:t xml:space="preserve">L'interface DOIT afficher une progression en temps réel par phase (géographie, organisation, identités, crédit).</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EF-53</w:t>
            </w:r>
          </w:p>
        </w:tc>
        <w:tc>
          <w:tcPr>
            <w:tcW w:type="dxa" w:w="7000"/>
            <w:tcMar>
              <w:top w:type="dxa" w:w="80"/>
              <w:left w:type="dxa" w:w="120"/>
              <w:bottom w:type="dxa" w:w="80"/>
              <w:right w:type="dxa" w:w="120"/>
            </w:tcMar>
          </w:tcPr>
          <w:p>
            <w:pPr>
              <w:jc w:val="left"/>
            </w:pPr>
            <w:r>
              <w:rPr>
                <w:b w:val="false"/>
                <w:bCs w:val="false"/>
                <w:color w:val="000000"/>
                <w:sz w:val="20"/>
                <w:szCs w:val="20"/>
              </w:rPr>
              <w:t xml:space="preserve">L'interface DOIT afficher un journal des erreurs et avertissements sans interrompre l'exécution.</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EF-54</w:t>
            </w:r>
          </w:p>
        </w:tc>
        <w:tc>
          <w:tcPr>
            <w:tcW w:type="dxa" w:w="7000"/>
            <w:tcMar>
              <w:top w:type="dxa" w:w="80"/>
              <w:left w:type="dxa" w:w="120"/>
              <w:bottom w:type="dxa" w:w="80"/>
              <w:right w:type="dxa" w:w="120"/>
            </w:tcMar>
          </w:tcPr>
          <w:p>
            <w:pPr>
              <w:jc w:val="left"/>
            </w:pPr>
            <w:r>
              <w:rPr>
                <w:b w:val="false"/>
                <w:bCs w:val="false"/>
                <w:color w:val="000000"/>
                <w:sz w:val="20"/>
                <w:szCs w:val="20"/>
              </w:rPr>
              <w:t xml:space="preserve">L'interface DOIT permettre de réinitialiser les données d'une exécution précédente identifiée par préfixe.</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EF-55</w:t>
            </w:r>
          </w:p>
        </w:tc>
        <w:tc>
          <w:tcPr>
            <w:tcW w:type="dxa" w:w="7000"/>
            <w:tcMar>
              <w:top w:type="dxa" w:w="80"/>
              <w:left w:type="dxa" w:w="120"/>
              <w:bottom w:type="dxa" w:w="80"/>
              <w:right w:type="dxa" w:w="120"/>
            </w:tcMar>
          </w:tcPr>
          <w:p>
            <w:pPr>
              <w:jc w:val="left"/>
            </w:pPr>
            <w:r>
              <w:rPr>
                <w:b w:val="false"/>
                <w:bCs w:val="false"/>
                <w:color w:val="000000"/>
                <w:sz w:val="20"/>
                <w:szCs w:val="20"/>
              </w:rPr>
              <w:t xml:space="preserve">L'interface DOIT empêcher le lancement simultané de deux générations sur le même environnement.</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EF-56</w:t>
            </w:r>
          </w:p>
        </w:tc>
        <w:tc>
          <w:tcPr>
            <w:tcW w:type="dxa" w:w="7000"/>
            <w:tcMar>
              <w:top w:type="dxa" w:w="80"/>
              <w:left w:type="dxa" w:w="120"/>
              <w:bottom w:type="dxa" w:w="80"/>
              <w:right w:type="dxa" w:w="120"/>
            </w:tcMar>
          </w:tcPr>
          <w:p>
            <w:pPr>
              <w:jc w:val="left"/>
            </w:pPr>
            <w:r>
              <w:rPr>
                <w:b w:val="false"/>
                <w:bCs w:val="false"/>
                <w:color w:val="000000"/>
                <w:sz w:val="20"/>
                <w:szCs w:val="20"/>
              </w:rPr>
              <w:t xml:space="preserve">L'interface DEVRAIT afficher une estimation du temps d'exécution avant lancement.</w:t>
            </w:r>
          </w:p>
        </w:tc>
        <w:tc>
          <w:tcPr>
            <w:tcW w:type="dxa" w:w="1200"/>
            <w:tcMar>
              <w:top w:type="dxa" w:w="80"/>
              <w:left w:type="dxa" w:w="120"/>
              <w:bottom w:type="dxa" w:w="80"/>
              <w:right w:type="dxa" w:w="120"/>
            </w:tcMar>
          </w:tcPr>
          <w:p>
            <w:pPr>
              <w:jc w:val="left"/>
            </w:pPr>
            <w:r>
              <w:rPr>
                <w:b w:val="false"/>
                <w:bCs w:val="false"/>
                <w:color w:val="000000"/>
                <w:sz w:val="20"/>
                <w:szCs w:val="20"/>
              </w:rPr>
              <w:t xml:space="preserve">S</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EF-57</w:t>
            </w:r>
          </w:p>
        </w:tc>
        <w:tc>
          <w:tcPr>
            <w:tcW w:type="dxa" w:w="7000"/>
            <w:tcMar>
              <w:top w:type="dxa" w:w="80"/>
              <w:left w:type="dxa" w:w="120"/>
              <w:bottom w:type="dxa" w:w="80"/>
              <w:right w:type="dxa" w:w="120"/>
            </w:tcMar>
          </w:tcPr>
          <w:p>
            <w:pPr>
              <w:jc w:val="left"/>
            </w:pPr>
            <w:r>
              <w:rPr>
                <w:b w:val="false"/>
                <w:bCs w:val="false"/>
                <w:color w:val="000000"/>
                <w:sz w:val="20"/>
                <w:szCs w:val="20"/>
              </w:rPr>
              <w:t xml:space="preserve">L'interface DEVRAIT être accessible depuis un navigateur web sans installation cliente.</w:t>
            </w:r>
          </w:p>
        </w:tc>
        <w:tc>
          <w:tcPr>
            <w:tcW w:type="dxa" w:w="1200"/>
            <w:tcMar>
              <w:top w:type="dxa" w:w="80"/>
              <w:left w:type="dxa" w:w="120"/>
              <w:bottom w:type="dxa" w:w="80"/>
              <w:right w:type="dxa" w:w="120"/>
            </w:tcMar>
          </w:tcPr>
          <w:p>
            <w:pPr>
              <w:jc w:val="left"/>
            </w:pPr>
            <w:r>
              <w:rPr>
                <w:b w:val="false"/>
                <w:bCs w:val="false"/>
                <w:color w:val="000000"/>
                <w:sz w:val="20"/>
                <w:szCs w:val="20"/>
              </w:rPr>
              <w:t xml:space="preserve">S</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EF-58</w:t>
            </w:r>
          </w:p>
        </w:tc>
        <w:tc>
          <w:tcPr>
            <w:tcW w:type="dxa" w:w="7000"/>
            <w:tcMar>
              <w:top w:type="dxa" w:w="80"/>
              <w:left w:type="dxa" w:w="120"/>
              <w:bottom w:type="dxa" w:w="80"/>
              <w:right w:type="dxa" w:w="120"/>
            </w:tcMar>
          </w:tcPr>
          <w:p>
            <w:pPr>
              <w:jc w:val="left"/>
            </w:pPr>
            <w:r>
              <w:rPr>
                <w:b w:val="false"/>
                <w:bCs w:val="false"/>
                <w:color w:val="000000"/>
                <w:sz w:val="20"/>
                <w:szCs w:val="20"/>
              </w:rPr>
              <w:t xml:space="preserve">L'interface POURRAIT proposer des templates de configuration prédéfinis pour les scénarios de démonstration courants.</w:t>
            </w:r>
          </w:p>
        </w:tc>
        <w:tc>
          <w:tcPr>
            <w:tcW w:type="dxa" w:w="1200"/>
            <w:tcMar>
              <w:top w:type="dxa" w:w="80"/>
              <w:left w:type="dxa" w:w="120"/>
              <w:bottom w:type="dxa" w:w="80"/>
              <w:right w:type="dxa" w:w="120"/>
            </w:tcMar>
          </w:tcPr>
          <w:p>
            <w:pPr>
              <w:jc w:val="left"/>
            </w:pPr>
            <w:r>
              <w:rPr>
                <w:b w:val="false"/>
                <w:bCs w:val="false"/>
                <w:color w:val="000000"/>
                <w:sz w:val="20"/>
                <w:szCs w:val="20"/>
              </w:rPr>
              <w:t xml:space="preserve">C</w:t>
            </w:r>
          </w:p>
        </w:tc>
      </w:tr>
    </w:tbl>
    <w:p>
      <w:pPr>
        <w:pStyle w:val="Heading2"/>
        <w:spacing w:after="180" w:before="360"/>
      </w:pPr>
      <w:r>
        <w:rPr>
          <w:b/>
          <w:bCs/>
          <w:color w:val="6B2E9E"/>
          <w:sz w:val="26"/>
          <w:szCs w:val="26"/>
        </w:rPr>
        <w:t xml:space="preserve">7.7 Module Traçabilité et Idempotence (EF-60 à EF-69)</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7000"/>
        <w:gridCol w:w="1200"/>
      </w:tblGrid>
      <w:tr>
        <w:trPr>
          <w:tblHeader/>
        </w:trPr>
        <w:tc>
          <w:tcPr>
            <w:tcW w:type="dxa" w:w="1000"/>
            <w:shd w:fill="6B2E9E" w:val="clear"/>
            <w:tcMar>
              <w:top w:type="dxa" w:w="100"/>
              <w:left w:type="dxa" w:w="120"/>
              <w:bottom w:type="dxa" w:w="100"/>
              <w:right w:type="dxa" w:w="120"/>
            </w:tcMar>
          </w:tcPr>
          <w:p>
            <w:pPr>
              <w:jc w:val="center"/>
            </w:pPr>
            <w:r>
              <w:rPr>
                <w:b/>
                <w:bCs/>
                <w:color w:val="FFFFFF"/>
                <w:sz w:val="20"/>
                <w:szCs w:val="20"/>
              </w:rPr>
              <w:t xml:space="preserve">ID</w:t>
            </w:r>
          </w:p>
        </w:tc>
        <w:tc>
          <w:tcPr>
            <w:tcW w:type="dxa" w:w="7000"/>
            <w:shd w:fill="6B2E9E" w:val="clear"/>
            <w:tcMar>
              <w:top w:type="dxa" w:w="100"/>
              <w:left w:type="dxa" w:w="120"/>
              <w:bottom w:type="dxa" w:w="100"/>
              <w:right w:type="dxa" w:w="120"/>
            </w:tcMar>
          </w:tcPr>
          <w:p>
            <w:pPr>
              <w:jc w:val="center"/>
            </w:pPr>
            <w:r>
              <w:rPr>
                <w:b/>
                <w:bCs/>
                <w:color w:val="FFFFFF"/>
                <w:sz w:val="20"/>
                <w:szCs w:val="20"/>
              </w:rPr>
              <w:t xml:space="preserve">Exigence</w:t>
            </w:r>
          </w:p>
        </w:tc>
        <w:tc>
          <w:tcPr>
            <w:tcW w:type="dxa" w:w="1200"/>
            <w:shd w:fill="6B2E9E" w:val="clear"/>
            <w:tcMar>
              <w:top w:type="dxa" w:w="100"/>
              <w:left w:type="dxa" w:w="120"/>
              <w:bottom w:type="dxa" w:w="100"/>
              <w:right w:type="dxa" w:w="120"/>
            </w:tcMar>
          </w:tcPr>
          <w:p>
            <w:pPr>
              <w:jc w:val="center"/>
            </w:pPr>
            <w:r>
              <w:rPr>
                <w:b/>
                <w:bCs/>
                <w:color w:val="FFFFFF"/>
                <w:sz w:val="20"/>
                <w:szCs w:val="20"/>
              </w:rPr>
              <w:t xml:space="preserve">Prio</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EF-60</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garantir qu'une même exécution relancée avec les mêmes paramètres ne duplique aucune entité déjà créée.</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EF-61</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conserver un journal structuré de chaque exécution : entités créées, erreurs rencontrées, durée par phase.</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EF-62</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permettre l'export du journal d'une exécution au format JSON ou CSV pour analyse ultérieure.</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EF-63</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identifier chaque donnée générée par un préfixe dédié permettant la reconnaissance et la suppression.</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EF-64</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DOIT tracer l'identifiant de l'exécution parente pour chaque entité créée.</w:t>
            </w:r>
          </w:p>
        </w:tc>
        <w:tc>
          <w:tcPr>
            <w:tcW w:type="dxa" w:w="1200"/>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EF-65</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DEVRAIT proposer une fonction de réversibilité atomique par exécution (rollback complet).</w:t>
            </w:r>
          </w:p>
        </w:tc>
        <w:tc>
          <w:tcPr>
            <w:tcW w:type="dxa" w:w="1200"/>
            <w:tcMar>
              <w:top w:type="dxa" w:w="80"/>
              <w:left w:type="dxa" w:w="120"/>
              <w:bottom w:type="dxa" w:w="80"/>
              <w:right w:type="dxa" w:w="120"/>
            </w:tcMar>
          </w:tcPr>
          <w:p>
            <w:pPr>
              <w:jc w:val="left"/>
            </w:pPr>
            <w:r>
              <w:rPr>
                <w:b w:val="false"/>
                <w:bCs w:val="false"/>
                <w:color w:val="000000"/>
                <w:sz w:val="20"/>
                <w:szCs w:val="20"/>
              </w:rPr>
              <w:t xml:space="preserve">S</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EF-66</w:t>
            </w:r>
          </w:p>
        </w:tc>
        <w:tc>
          <w:tcPr>
            <w:tcW w:type="dxa" w:w="7000"/>
            <w:tcMar>
              <w:top w:type="dxa" w:w="80"/>
              <w:left w:type="dxa" w:w="120"/>
              <w:bottom w:type="dxa" w:w="80"/>
              <w:right w:type="dxa" w:w="120"/>
            </w:tcMar>
          </w:tcPr>
          <w:p>
            <w:pPr>
              <w:jc w:val="left"/>
            </w:pPr>
            <w:r>
              <w:rPr>
                <w:b w:val="false"/>
                <w:bCs w:val="false"/>
                <w:color w:val="000000"/>
                <w:sz w:val="20"/>
                <w:szCs w:val="20"/>
              </w:rPr>
              <w:t xml:space="preserve">Le Loader DEVRAIT émettre des métriques de progression exploitables par un système externe de monitoring.</w:t>
            </w:r>
          </w:p>
        </w:tc>
        <w:tc>
          <w:tcPr>
            <w:tcW w:type="dxa" w:w="1200"/>
            <w:tcMar>
              <w:top w:type="dxa" w:w="80"/>
              <w:left w:type="dxa" w:w="120"/>
              <w:bottom w:type="dxa" w:w="80"/>
              <w:right w:type="dxa" w:w="120"/>
            </w:tcMar>
          </w:tcPr>
          <w:p>
            <w:pPr>
              <w:jc w:val="left"/>
            </w:pPr>
            <w:r>
              <w:rPr>
                <w:b w:val="false"/>
                <w:bCs w:val="false"/>
                <w:color w:val="000000"/>
                <w:sz w:val="20"/>
                <w:szCs w:val="20"/>
              </w:rPr>
              <w:t xml:space="preserve">S</w:t>
            </w:r>
          </w:p>
        </w:tc>
      </w:tr>
    </w:tbl>
    <w:p>
      <w:pPr>
        <w:pBdr>
          <w:top w:val="single" w:color="A5D6A7" w:sz="6" w:space="4"/>
          <w:bottom w:val="single" w:color="A5D6A7" w:sz="6" w:space="4"/>
          <w:left w:val="single" w:color="4CAF50" w:sz="24" w:space="8"/>
          <w:right w:val="single" w:color="A5D6A7" w:sz="6" w:space="4"/>
        </w:pBdr>
        <w:shd w:fill="E8F5E9" w:val="clear"/>
        <w:spacing w:after="120" w:before="120"/>
      </w:pPr>
      <w:r>
        <w:rPr>
          <w:b/>
          <w:bCs/>
          <w:color w:val="4CAF50"/>
          <w:sz w:val="22"/>
          <w:szCs w:val="22"/>
        </w:rPr>
        <w:t xml:space="preserve">AJOUT V1.2 — </w:t>
      </w:r>
      <w:r>
        <w:rPr>
          <w:i/>
          <w:iCs/>
          <w:sz w:val="22"/>
          <w:szCs w:val="22"/>
        </w:rPr>
        <w:t xml:space="preserve">Le module 7.8 ci-dessous est une extension apportée par la version 1.2. Il regroupe les six nouvelles exigences fonctionnelles (EF-67 à EF-72) qui intègrent la méthodologie de simulation comportementale du référent loan-simulation, permettant de produire un historique de crédit dont les indicateurs Portfolio At Risk sont crédibles et défendables devant un prospect institutionnel.</w:t>
      </w:r>
    </w:p>
    <w:p>
      <w:pPr>
        <w:pStyle w:val="Heading2"/>
        <w:spacing w:after="180" w:before="360"/>
      </w:pPr>
      <w:r>
        <w:rPr>
          <w:b/>
          <w:bCs/>
          <w:color w:val="6B2E9E"/>
          <w:sz w:val="26"/>
          <w:szCs w:val="26"/>
        </w:rPr>
        <w:t xml:space="preserve">7.8 Module Simulation comportementale (EF-67 à EF-72) — AJOUT V1.2</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7000"/>
        <w:gridCol w:w="1200"/>
      </w:tblGrid>
      <w:tr>
        <w:trPr>
          <w:tblHeader/>
        </w:trPr>
        <w:tc>
          <w:tcPr>
            <w:tcW w:type="dxa" w:w="1000"/>
            <w:shd w:fill="6B2E9E" w:val="clear"/>
            <w:tcMar>
              <w:top w:type="dxa" w:w="100"/>
              <w:left w:type="dxa" w:w="120"/>
              <w:bottom w:type="dxa" w:w="100"/>
              <w:right w:type="dxa" w:w="120"/>
            </w:tcMar>
          </w:tcPr>
          <w:p>
            <w:pPr>
              <w:jc w:val="center"/>
            </w:pPr>
            <w:r>
              <w:rPr>
                <w:b/>
                <w:bCs/>
                <w:color w:val="FFFFFF"/>
                <w:sz w:val="20"/>
                <w:szCs w:val="20"/>
              </w:rPr>
              <w:t xml:space="preserve">ID</w:t>
            </w:r>
          </w:p>
        </w:tc>
        <w:tc>
          <w:tcPr>
            <w:tcW w:type="dxa" w:w="7000"/>
            <w:shd w:fill="6B2E9E" w:val="clear"/>
            <w:tcMar>
              <w:top w:type="dxa" w:w="100"/>
              <w:left w:type="dxa" w:w="120"/>
              <w:bottom w:type="dxa" w:w="100"/>
              <w:right w:type="dxa" w:w="120"/>
            </w:tcMar>
          </w:tcPr>
          <w:p>
            <w:pPr>
              <w:jc w:val="center"/>
            </w:pPr>
            <w:r>
              <w:rPr>
                <w:b/>
                <w:bCs/>
                <w:color w:val="FFFFFF"/>
                <w:sz w:val="20"/>
                <w:szCs w:val="20"/>
              </w:rPr>
              <w:t xml:space="preserve">Exigence</w:t>
            </w:r>
          </w:p>
        </w:tc>
        <w:tc>
          <w:tcPr>
            <w:tcW w:type="dxa" w:w="1200"/>
            <w:shd w:fill="6B2E9E" w:val="clear"/>
            <w:tcMar>
              <w:top w:type="dxa" w:w="100"/>
              <w:left w:type="dxa" w:w="120"/>
              <w:bottom w:type="dxa" w:w="100"/>
              <w:right w:type="dxa" w:w="120"/>
            </w:tcMar>
          </w:tcPr>
          <w:p>
            <w:pPr>
              <w:jc w:val="center"/>
            </w:pPr>
            <w:r>
              <w:rPr>
                <w:b/>
                <w:bCs/>
                <w:color w:val="FFFFFF"/>
                <w:sz w:val="20"/>
                <w:szCs w:val="20"/>
              </w:rPr>
              <w:t xml:space="preserve">Prio</w:t>
            </w:r>
          </w:p>
        </w:tc>
      </w:tr>
      <w:tr>
        <w:tc>
          <w:tcPr>
            <w:tcW w:type="dxa" w:w="1000"/>
            <w:shd w:fill="E8F5E9" w:val="clear"/>
            <w:tcMar>
              <w:top w:type="dxa" w:w="80"/>
              <w:left w:type="dxa" w:w="120"/>
              <w:bottom w:type="dxa" w:w="80"/>
              <w:right w:type="dxa" w:w="120"/>
            </w:tcMar>
          </w:tcPr>
          <w:p>
            <w:pPr>
              <w:jc w:val="left"/>
            </w:pPr>
            <w:r>
              <w:rPr>
                <w:b/>
                <w:bCs/>
                <w:color w:val="000000"/>
                <w:sz w:val="20"/>
                <w:szCs w:val="20"/>
              </w:rPr>
              <w:t xml:space="preserve">EF-67</w:t>
            </w:r>
          </w:p>
        </w:tc>
        <w:tc>
          <w:tcPr>
            <w:tcW w:type="dxa" w:w="7000"/>
            <w:shd w:fill="E8F5E9" w:val="clear"/>
            <w:tcMar>
              <w:top w:type="dxa" w:w="80"/>
              <w:left w:type="dxa" w:w="120"/>
              <w:bottom w:type="dxa" w:w="80"/>
              <w:right w:type="dxa" w:w="120"/>
            </w:tcMar>
          </w:tcPr>
          <w:p>
            <w:pPr>
              <w:jc w:val="left"/>
            </w:pPr>
            <w:r>
              <w:rPr>
                <w:b w:val="false"/>
                <w:bCs w:val="false"/>
                <w:color w:val="000000"/>
                <w:sz w:val="20"/>
                <w:szCs w:val="20"/>
              </w:rPr>
              <w:t xml:space="preserve">Le Loader DOIT attribuer à chaque client généré un profil comportemental de remboursement parmi quatre valeurs : bon payeur, retard puis paiement, défaut partiel, défaut total. La distribution par défaut suit les poids empiriques 50/25/13/12.</w:t>
            </w:r>
          </w:p>
        </w:tc>
        <w:tc>
          <w:tcPr>
            <w:tcW w:type="dxa" w:w="1200"/>
            <w:shd w:fill="E8F5E9" w:val="clear"/>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shd w:fill="E8F5E9" w:val="clear"/>
            <w:tcMar>
              <w:top w:type="dxa" w:w="80"/>
              <w:left w:type="dxa" w:w="120"/>
              <w:bottom w:type="dxa" w:w="80"/>
              <w:right w:type="dxa" w:w="120"/>
            </w:tcMar>
          </w:tcPr>
          <w:p>
            <w:pPr>
              <w:jc w:val="left"/>
            </w:pPr>
            <w:r>
              <w:rPr>
                <w:b/>
                <w:bCs/>
                <w:color w:val="000000"/>
                <w:sz w:val="20"/>
                <w:szCs w:val="20"/>
              </w:rPr>
              <w:t xml:space="preserve">EF-68</w:t>
            </w:r>
          </w:p>
        </w:tc>
        <w:tc>
          <w:tcPr>
            <w:tcW w:type="dxa" w:w="7000"/>
            <w:shd w:fill="E8F5E9" w:val="clear"/>
            <w:tcMar>
              <w:top w:type="dxa" w:w="80"/>
              <w:left w:type="dxa" w:w="120"/>
              <w:bottom w:type="dxa" w:w="80"/>
              <w:right w:type="dxa" w:w="120"/>
            </w:tcMar>
          </w:tcPr>
          <w:p>
            <w:pPr>
              <w:jc w:val="left"/>
            </w:pPr>
            <w:r>
              <w:rPr>
                <w:b w:val="false"/>
                <w:bCs w:val="false"/>
                <w:color w:val="000000"/>
                <w:sz w:val="20"/>
                <w:szCs w:val="20"/>
              </w:rPr>
              <w:t xml:space="preserve">L'attribution du profil DOIT être ajustée dynamiquement selon les caractéristiques du client : genre, âge, segment de risque, historique de remboursement, catégorie client, solde Mobile Money, classe de risque. Les règles d'ajustement sont documentées en Annexe D.</w:t>
            </w:r>
          </w:p>
        </w:tc>
        <w:tc>
          <w:tcPr>
            <w:tcW w:type="dxa" w:w="1200"/>
            <w:shd w:fill="E8F5E9" w:val="clear"/>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shd w:fill="E8F5E9" w:val="clear"/>
            <w:tcMar>
              <w:top w:type="dxa" w:w="80"/>
              <w:left w:type="dxa" w:w="120"/>
              <w:bottom w:type="dxa" w:w="80"/>
              <w:right w:type="dxa" w:w="120"/>
            </w:tcMar>
          </w:tcPr>
          <w:p>
            <w:pPr>
              <w:jc w:val="left"/>
            </w:pPr>
            <w:r>
              <w:rPr>
                <w:b/>
                <w:bCs/>
                <w:color w:val="000000"/>
                <w:sz w:val="20"/>
                <w:szCs w:val="20"/>
              </w:rPr>
              <w:t xml:space="preserve">EF-69</w:t>
            </w:r>
          </w:p>
        </w:tc>
        <w:tc>
          <w:tcPr>
            <w:tcW w:type="dxa" w:w="7000"/>
            <w:shd w:fill="E8F5E9" w:val="clear"/>
            <w:tcMar>
              <w:top w:type="dxa" w:w="80"/>
              <w:left w:type="dxa" w:w="120"/>
              <w:bottom w:type="dxa" w:w="80"/>
              <w:right w:type="dxa" w:w="120"/>
            </w:tcMar>
          </w:tcPr>
          <w:p>
            <w:pPr>
              <w:jc w:val="left"/>
            </w:pPr>
            <w:r>
              <w:rPr>
                <w:b w:val="false"/>
                <w:bCs w:val="false"/>
                <w:color w:val="000000"/>
                <w:sz w:val="20"/>
                <w:szCs w:val="20"/>
              </w:rPr>
              <w:t xml:space="preserve">Le Loader DOIT s'appuyer sur le catalogue produits crédit officiel validé par la Direction Technique le 20 juillet 2026, couvrant les produits Nano, Macro, BNPL et ReadyToGo avec leurs segmentations par risque. Le catalogue est documenté en Annexe E.</w:t>
            </w:r>
          </w:p>
        </w:tc>
        <w:tc>
          <w:tcPr>
            <w:tcW w:type="dxa" w:w="1200"/>
            <w:shd w:fill="E8F5E9" w:val="clear"/>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shd w:fill="E8F5E9" w:val="clear"/>
            <w:tcMar>
              <w:top w:type="dxa" w:w="80"/>
              <w:left w:type="dxa" w:w="120"/>
              <w:bottom w:type="dxa" w:w="80"/>
              <w:right w:type="dxa" w:w="120"/>
            </w:tcMar>
          </w:tcPr>
          <w:p>
            <w:pPr>
              <w:jc w:val="left"/>
            </w:pPr>
            <w:r>
              <w:rPr>
                <w:b/>
                <w:bCs/>
                <w:color w:val="000000"/>
                <w:sz w:val="20"/>
                <w:szCs w:val="20"/>
              </w:rPr>
              <w:t xml:space="preserve">EF-70</w:t>
            </w:r>
          </w:p>
        </w:tc>
        <w:tc>
          <w:tcPr>
            <w:tcW w:type="dxa" w:w="7000"/>
            <w:shd w:fill="E8F5E9" w:val="clear"/>
            <w:tcMar>
              <w:top w:type="dxa" w:w="80"/>
              <w:left w:type="dxa" w:w="120"/>
              <w:bottom w:type="dxa" w:w="80"/>
              <w:right w:type="dxa" w:w="120"/>
            </w:tcMar>
          </w:tcPr>
          <w:p>
            <w:pPr>
              <w:jc w:val="left"/>
            </w:pPr>
            <w:r>
              <w:rPr>
                <w:b w:val="false"/>
                <w:bCs w:val="false"/>
                <w:color w:val="000000"/>
                <w:sz w:val="20"/>
                <w:szCs w:val="20"/>
              </w:rPr>
              <w:t xml:space="preserve">Le Loader DOIT générer un historique de cycle de vie de prêt pour chaque client éligible : création, remboursements progressifs, éventuels retards, clôture ou défaut. La séquence exacte respecte le profil comportemental attribué.</w:t>
            </w:r>
          </w:p>
        </w:tc>
        <w:tc>
          <w:tcPr>
            <w:tcW w:type="dxa" w:w="1200"/>
            <w:shd w:fill="E8F5E9" w:val="clear"/>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shd w:fill="E8F5E9" w:val="clear"/>
            <w:tcMar>
              <w:top w:type="dxa" w:w="80"/>
              <w:left w:type="dxa" w:w="120"/>
              <w:bottom w:type="dxa" w:w="80"/>
              <w:right w:type="dxa" w:w="120"/>
            </w:tcMar>
          </w:tcPr>
          <w:p>
            <w:pPr>
              <w:jc w:val="left"/>
            </w:pPr>
            <w:r>
              <w:rPr>
                <w:b/>
                <w:bCs/>
                <w:color w:val="000000"/>
                <w:sz w:val="20"/>
                <w:szCs w:val="20"/>
              </w:rPr>
              <w:t xml:space="preserve">EF-71</w:t>
            </w:r>
          </w:p>
        </w:tc>
        <w:tc>
          <w:tcPr>
            <w:tcW w:type="dxa" w:w="7000"/>
            <w:shd w:fill="E8F5E9" w:val="clear"/>
            <w:tcMar>
              <w:top w:type="dxa" w:w="80"/>
              <w:left w:type="dxa" w:w="120"/>
              <w:bottom w:type="dxa" w:w="80"/>
              <w:right w:type="dxa" w:w="120"/>
            </w:tcMar>
          </w:tcPr>
          <w:p>
            <w:pPr>
              <w:jc w:val="left"/>
            </w:pPr>
            <w:r>
              <w:rPr>
                <w:b w:val="false"/>
                <w:bCs w:val="false"/>
                <w:color w:val="000000"/>
                <w:sz w:val="20"/>
                <w:szCs w:val="20"/>
              </w:rPr>
              <w:t xml:space="preserve">Le Loader DEVRAIT permettre de configurer la compression temporelle de la simulation (durée réelle représentant un jour métier), avec trois modes : instantané, accéléré, réaliste.</w:t>
            </w:r>
          </w:p>
        </w:tc>
        <w:tc>
          <w:tcPr>
            <w:tcW w:type="dxa" w:w="1200"/>
            <w:shd w:fill="E8F5E9" w:val="clear"/>
            <w:tcMar>
              <w:top w:type="dxa" w:w="80"/>
              <w:left w:type="dxa" w:w="120"/>
              <w:bottom w:type="dxa" w:w="80"/>
              <w:right w:type="dxa" w:w="120"/>
            </w:tcMar>
          </w:tcPr>
          <w:p>
            <w:pPr>
              <w:jc w:val="left"/>
            </w:pPr>
            <w:r>
              <w:rPr>
                <w:b w:val="false"/>
                <w:bCs w:val="false"/>
                <w:color w:val="000000"/>
                <w:sz w:val="20"/>
                <w:szCs w:val="20"/>
              </w:rPr>
              <w:t xml:space="preserve">S</w:t>
            </w:r>
          </w:p>
        </w:tc>
      </w:tr>
      <w:tr>
        <w:tc>
          <w:tcPr>
            <w:tcW w:type="dxa" w:w="1000"/>
            <w:shd w:fill="E8F5E9" w:val="clear"/>
            <w:tcMar>
              <w:top w:type="dxa" w:w="80"/>
              <w:left w:type="dxa" w:w="120"/>
              <w:bottom w:type="dxa" w:w="80"/>
              <w:right w:type="dxa" w:w="120"/>
            </w:tcMar>
          </w:tcPr>
          <w:p>
            <w:pPr>
              <w:jc w:val="left"/>
            </w:pPr>
            <w:r>
              <w:rPr>
                <w:b/>
                <w:bCs/>
                <w:color w:val="000000"/>
                <w:sz w:val="20"/>
                <w:szCs w:val="20"/>
              </w:rPr>
              <w:t xml:space="preserve">EF-72</w:t>
            </w:r>
          </w:p>
        </w:tc>
        <w:tc>
          <w:tcPr>
            <w:tcW w:type="dxa" w:w="7000"/>
            <w:shd w:fill="E8F5E9" w:val="clear"/>
            <w:tcMar>
              <w:top w:type="dxa" w:w="80"/>
              <w:left w:type="dxa" w:w="120"/>
              <w:bottom w:type="dxa" w:w="80"/>
              <w:right w:type="dxa" w:w="120"/>
            </w:tcMar>
          </w:tcPr>
          <w:p>
            <w:pPr>
              <w:jc w:val="left"/>
            </w:pPr>
            <w:r>
              <w:rPr>
                <w:b w:val="false"/>
                <w:bCs w:val="false"/>
                <w:color w:val="000000"/>
                <w:sz w:val="20"/>
                <w:szCs w:val="20"/>
              </w:rPr>
              <w:t xml:space="preserve">Le Loader DOIT produire un rapport Portfolio At Risk (PAR) conforme aux standards de la microfinance : indicateurs par bucket DPD (1, 10, 30, 60, 90 jours), montants et taux, outstanding, taux de recouvrement.</w:t>
            </w:r>
          </w:p>
        </w:tc>
        <w:tc>
          <w:tcPr>
            <w:tcW w:type="dxa" w:w="1200"/>
            <w:shd w:fill="E8F5E9" w:val="clear"/>
            <w:tcMar>
              <w:top w:type="dxa" w:w="80"/>
              <w:left w:type="dxa" w:w="120"/>
              <w:bottom w:type="dxa" w:w="80"/>
              <w:right w:type="dxa" w:w="120"/>
            </w:tcMar>
          </w:tcPr>
          <w:p>
            <w:pPr>
              <w:jc w:val="left"/>
            </w:pPr>
            <w:r>
              <w:rPr>
                <w:b w:val="false"/>
                <w:bCs w:val="false"/>
                <w:color w:val="000000"/>
                <w:sz w:val="20"/>
                <w:szCs w:val="20"/>
              </w:rPr>
              <w:t xml:space="preserve">M</w:t>
            </w:r>
          </w:p>
        </w:tc>
      </w:tr>
    </w:tbl>
    <w:p>
      <w:pPr>
        <w:pBdr>
          <w:top w:val="single" w:color="A5D6A7" w:sz="6" w:space="4"/>
          <w:bottom w:val="single" w:color="A5D6A7" w:sz="6" w:space="4"/>
          <w:left w:val="single" w:color="4CAF50" w:sz="24" w:space="8"/>
          <w:right w:val="single" w:color="A5D6A7" w:sz="6" w:space="4"/>
        </w:pBdr>
        <w:shd w:fill="E8F5E9" w:val="clear"/>
        <w:spacing w:after="120" w:before="120"/>
      </w:pPr>
      <w:r>
        <w:rPr>
          <w:b/>
          <w:bCs/>
          <w:color w:val="4CAF50"/>
          <w:sz w:val="22"/>
          <w:szCs w:val="22"/>
        </w:rPr>
        <w:t xml:space="preserve">AJOUT V1.2 — </w:t>
      </w:r>
      <w:r>
        <w:rPr>
          <w:i/>
          <w:iCs/>
          <w:sz w:val="22"/>
          <w:szCs w:val="22"/>
        </w:rPr>
        <w:t xml:space="preserve">Le module 7.9 ci-dessous formalise l'alimentation des comptes financiers des clients, en cohérence avec le cycle de vie des prêts introduit au module 7.8. Cette formalisation garantit que le solde des comptes évolue de manière crédible pour les démonstrations commerciales et les tests de bout en bout.</w:t>
      </w:r>
    </w:p>
    <w:p>
      <w:pPr>
        <w:pStyle w:val="Heading2"/>
        <w:spacing w:after="180" w:before="360"/>
      </w:pPr>
      <w:r>
        <w:rPr>
          <w:b/>
          <w:bCs/>
          <w:color w:val="6B2E9E"/>
          <w:sz w:val="26"/>
          <w:szCs w:val="26"/>
        </w:rPr>
        <w:t xml:space="preserve">7.9 Module Alimentation des comptes financiers (EF-73 à EF-75) — AJOUT V1.2</w:t>
      </w:r>
    </w:p>
    <w:p>
      <w:pPr>
        <w:spacing w:after="120"/>
        <w:jc w:val="both"/>
      </w:pPr>
      <w:r>
        <w:rPr>
          <w:b w:val="false"/>
          <w:bCs w:val="false"/>
          <w:i w:val="false"/>
          <w:iCs w:val="false"/>
          <w:sz w:val="22"/>
          <w:szCs w:val="22"/>
        </w:rPr>
        <w:t xml:space="preserve">Ce module spécifie comment le solde des comptes des CollectClients est constitué et évolue au fil de la simulation. Trois voies d'alimentation sont formalisées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7000"/>
        <w:gridCol w:w="1200"/>
      </w:tblGrid>
      <w:tr>
        <w:trPr>
          <w:tblHeader/>
        </w:trPr>
        <w:tc>
          <w:tcPr>
            <w:tcW w:type="dxa" w:w="1000"/>
            <w:shd w:fill="6B2E9E" w:val="clear"/>
            <w:tcMar>
              <w:top w:type="dxa" w:w="100"/>
              <w:left w:type="dxa" w:w="120"/>
              <w:bottom w:type="dxa" w:w="100"/>
              <w:right w:type="dxa" w:w="120"/>
            </w:tcMar>
          </w:tcPr>
          <w:p>
            <w:pPr>
              <w:jc w:val="center"/>
            </w:pPr>
            <w:r>
              <w:rPr>
                <w:b/>
                <w:bCs/>
                <w:color w:val="FFFFFF"/>
                <w:sz w:val="20"/>
                <w:szCs w:val="20"/>
              </w:rPr>
              <w:t xml:space="preserve">ID</w:t>
            </w:r>
          </w:p>
        </w:tc>
        <w:tc>
          <w:tcPr>
            <w:tcW w:type="dxa" w:w="7000"/>
            <w:shd w:fill="6B2E9E" w:val="clear"/>
            <w:tcMar>
              <w:top w:type="dxa" w:w="100"/>
              <w:left w:type="dxa" w:w="120"/>
              <w:bottom w:type="dxa" w:w="100"/>
              <w:right w:type="dxa" w:w="120"/>
            </w:tcMar>
          </w:tcPr>
          <w:p>
            <w:pPr>
              <w:jc w:val="center"/>
            </w:pPr>
            <w:r>
              <w:rPr>
                <w:b/>
                <w:bCs/>
                <w:color w:val="FFFFFF"/>
                <w:sz w:val="20"/>
                <w:szCs w:val="20"/>
              </w:rPr>
              <w:t xml:space="preserve">Exigence</w:t>
            </w:r>
          </w:p>
        </w:tc>
        <w:tc>
          <w:tcPr>
            <w:tcW w:type="dxa" w:w="1200"/>
            <w:shd w:fill="6B2E9E" w:val="clear"/>
            <w:tcMar>
              <w:top w:type="dxa" w:w="100"/>
              <w:left w:type="dxa" w:w="120"/>
              <w:bottom w:type="dxa" w:w="100"/>
              <w:right w:type="dxa" w:w="120"/>
            </w:tcMar>
          </w:tcPr>
          <w:p>
            <w:pPr>
              <w:jc w:val="center"/>
            </w:pPr>
            <w:r>
              <w:rPr>
                <w:b/>
                <w:bCs/>
                <w:color w:val="FFFFFF"/>
                <w:sz w:val="20"/>
                <w:szCs w:val="20"/>
              </w:rPr>
              <w:t xml:space="preserve">Prio</w:t>
            </w:r>
          </w:p>
        </w:tc>
      </w:tr>
      <w:tr>
        <w:tc>
          <w:tcPr>
            <w:tcW w:type="dxa" w:w="1000"/>
            <w:shd w:fill="E8F5E9" w:val="clear"/>
            <w:tcMar>
              <w:top w:type="dxa" w:w="80"/>
              <w:left w:type="dxa" w:w="120"/>
              <w:bottom w:type="dxa" w:w="80"/>
              <w:right w:type="dxa" w:w="120"/>
            </w:tcMar>
          </w:tcPr>
          <w:p>
            <w:pPr>
              <w:jc w:val="left"/>
            </w:pPr>
            <w:r>
              <w:rPr>
                <w:b/>
                <w:bCs/>
                <w:color w:val="000000"/>
                <w:sz w:val="20"/>
                <w:szCs w:val="20"/>
              </w:rPr>
              <w:t xml:space="preserve">EF-73</w:t>
            </w:r>
          </w:p>
        </w:tc>
        <w:tc>
          <w:tcPr>
            <w:tcW w:type="dxa" w:w="7000"/>
            <w:shd w:fill="E8F5E9" w:val="clear"/>
            <w:tcMar>
              <w:top w:type="dxa" w:w="80"/>
              <w:left w:type="dxa" w:w="120"/>
              <w:bottom w:type="dxa" w:w="80"/>
              <w:right w:type="dxa" w:w="120"/>
            </w:tcMar>
          </w:tcPr>
          <w:p>
            <w:pPr>
              <w:jc w:val="left"/>
            </w:pPr>
            <w:r>
              <w:rPr>
                <w:b w:val="false"/>
                <w:bCs w:val="false"/>
                <w:color w:val="000000"/>
                <w:sz w:val="20"/>
                <w:szCs w:val="20"/>
              </w:rPr>
              <w:t xml:space="preserve">Le Loader DOIT doter chaque compte client d'un solde initial à sa création, dérivé du montant Mobile Money du payload Faker. Cette voie garantit que chaque client dispose d'un patrimoine cohérent avec son profil socio-économique, sans invention arbitraire de montants.</w:t>
            </w:r>
          </w:p>
        </w:tc>
        <w:tc>
          <w:tcPr>
            <w:tcW w:type="dxa" w:w="1200"/>
            <w:shd w:fill="E8F5E9" w:val="clear"/>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shd w:fill="E8F5E9" w:val="clear"/>
            <w:tcMar>
              <w:top w:type="dxa" w:w="80"/>
              <w:left w:type="dxa" w:w="120"/>
              <w:bottom w:type="dxa" w:w="80"/>
              <w:right w:type="dxa" w:w="120"/>
            </w:tcMar>
          </w:tcPr>
          <w:p>
            <w:pPr>
              <w:jc w:val="left"/>
            </w:pPr>
            <w:r>
              <w:rPr>
                <w:b/>
                <w:bCs/>
                <w:color w:val="000000"/>
                <w:sz w:val="20"/>
                <w:szCs w:val="20"/>
              </w:rPr>
              <w:t xml:space="preserve">EF-74</w:t>
            </w:r>
          </w:p>
        </w:tc>
        <w:tc>
          <w:tcPr>
            <w:tcW w:type="dxa" w:w="7000"/>
            <w:shd w:fill="E8F5E9" w:val="clear"/>
            <w:tcMar>
              <w:top w:type="dxa" w:w="80"/>
              <w:left w:type="dxa" w:w="120"/>
              <w:bottom w:type="dxa" w:w="80"/>
              <w:right w:type="dxa" w:w="120"/>
            </w:tcMar>
          </w:tcPr>
          <w:p>
            <w:pPr>
              <w:jc w:val="left"/>
            </w:pPr>
            <w:r>
              <w:rPr>
                <w:b w:val="false"/>
                <w:bCs w:val="false"/>
                <w:color w:val="000000"/>
                <w:sz w:val="20"/>
                <w:szCs w:val="20"/>
              </w:rPr>
              <w:t xml:space="preserve">Le Loader DOIT créditer le compte du client à hauteur du capital du prêt à chaque événement de décaissement. Cette voie assure la cohérence entre l'existence du prêt et la trésorerie effectivement mise à disposition du client.</w:t>
            </w:r>
          </w:p>
        </w:tc>
        <w:tc>
          <w:tcPr>
            <w:tcW w:type="dxa" w:w="1200"/>
            <w:shd w:fill="E8F5E9" w:val="clear"/>
            <w:tcMar>
              <w:top w:type="dxa" w:w="80"/>
              <w:left w:type="dxa" w:w="120"/>
              <w:bottom w:type="dxa" w:w="80"/>
              <w:right w:type="dxa" w:w="120"/>
            </w:tcMar>
          </w:tcPr>
          <w:p>
            <w:pPr>
              <w:jc w:val="left"/>
            </w:pPr>
            <w:r>
              <w:rPr>
                <w:b w:val="false"/>
                <w:bCs w:val="false"/>
                <w:color w:val="000000"/>
                <w:sz w:val="20"/>
                <w:szCs w:val="20"/>
              </w:rPr>
              <w:t xml:space="preserve">M</w:t>
            </w:r>
          </w:p>
        </w:tc>
      </w:tr>
      <w:tr>
        <w:tc>
          <w:tcPr>
            <w:tcW w:type="dxa" w:w="1000"/>
            <w:shd w:fill="E8F5E9" w:val="clear"/>
            <w:tcMar>
              <w:top w:type="dxa" w:w="80"/>
              <w:left w:type="dxa" w:w="120"/>
              <w:bottom w:type="dxa" w:w="80"/>
              <w:right w:type="dxa" w:w="120"/>
            </w:tcMar>
          </w:tcPr>
          <w:p>
            <w:pPr>
              <w:jc w:val="left"/>
            </w:pPr>
            <w:r>
              <w:rPr>
                <w:b/>
                <w:bCs/>
                <w:color w:val="000000"/>
                <w:sz w:val="20"/>
                <w:szCs w:val="20"/>
              </w:rPr>
              <w:t xml:space="preserve">EF-75</w:t>
            </w:r>
          </w:p>
        </w:tc>
        <w:tc>
          <w:tcPr>
            <w:tcW w:type="dxa" w:w="7000"/>
            <w:shd w:fill="E8F5E9" w:val="clear"/>
            <w:tcMar>
              <w:top w:type="dxa" w:w="80"/>
              <w:left w:type="dxa" w:w="120"/>
              <w:bottom w:type="dxa" w:w="80"/>
              <w:right w:type="dxa" w:w="120"/>
            </w:tcMar>
          </w:tcPr>
          <w:p>
            <w:pPr>
              <w:jc w:val="left"/>
            </w:pPr>
            <w:r>
              <w:rPr>
                <w:b w:val="false"/>
                <w:bCs w:val="false"/>
                <w:color w:val="000000"/>
                <w:sz w:val="20"/>
                <w:szCs w:val="20"/>
              </w:rPr>
              <w:t xml:space="preserve">Le Loader DOIT débiter le compte du client à hauteur du montant remboursé à chaque événement de remboursement. Cette voie garantit que le solde du compte reflète fidèlement l'historique de remboursement du client, en cohérence avec le profil comportemental attribué.</w:t>
            </w:r>
          </w:p>
        </w:tc>
        <w:tc>
          <w:tcPr>
            <w:tcW w:type="dxa" w:w="1200"/>
            <w:shd w:fill="E8F5E9" w:val="clear"/>
            <w:tcMar>
              <w:top w:type="dxa" w:w="80"/>
              <w:left w:type="dxa" w:w="120"/>
              <w:bottom w:type="dxa" w:w="80"/>
              <w:right w:type="dxa" w:w="120"/>
            </w:tcMar>
          </w:tcPr>
          <w:p>
            <w:pPr>
              <w:jc w:val="left"/>
            </w:pPr>
            <w:r>
              <w:rPr>
                <w:b w:val="false"/>
                <w:bCs w:val="false"/>
                <w:color w:val="000000"/>
                <w:sz w:val="20"/>
                <w:szCs w:val="20"/>
              </w:rPr>
              <w:t xml:space="preserve">M</w:t>
            </w:r>
          </w:p>
        </w:tc>
      </w:tr>
    </w:tbl>
    <w:p>
      <w:pPr>
        <w:spacing w:after="120"/>
        <w:jc w:val="both"/>
      </w:pPr>
      <w:r>
        <w:rPr>
          <w:b w:val="false"/>
          <w:bCs w:val="false"/>
          <w:i w:val="false"/>
          <w:iCs w:val="false"/>
          <w:sz w:val="22"/>
          <w:szCs w:val="22"/>
        </w:rPr>
        <w:t xml:space="preserve"/>
      </w:r>
    </w:p>
    <w:p>
      <w:pPr>
        <w:spacing w:after="120"/>
        <w:jc w:val="both"/>
      </w:pPr>
      <w:r>
        <w:rPr>
          <w:b w:val="false"/>
          <w:bCs w:val="false"/>
          <w:i/>
          <w:iCs/>
          <w:sz w:val="22"/>
          <w:szCs w:val="22"/>
        </w:rPr>
        <w:t xml:space="preserve">Ces trois voies opèrent de manière conjointe : à tout instant de la simulation, le solde du compte d'un client résulte de son solde initial, augmenté des décaissements de prêts et diminué des remboursements effectués. Cette invariance métier est un critère de recette (voir CR-12 en chapitre 12).</w:t>
      </w:r>
    </w:p>
    <w:p>
      <w:r>
        <w:br w:type="page"/>
      </w:r>
    </w:p>
    <w:p>
      <w:pPr>
        <w:pStyle w:val="Heading1"/>
        <w:spacing w:after="240" w:before="480"/>
      </w:pPr>
      <w:r>
        <w:rPr>
          <w:b/>
          <w:bCs/>
          <w:color w:val="6B2E9E"/>
          <w:sz w:val="32"/>
          <w:szCs w:val="32"/>
        </w:rPr>
        <w:t xml:space="preserve">8. Exigences non fonctionnelles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000"/>
      </w:tblGrid>
      <w:tr>
        <w:trPr>
          <w:tblHeader/>
        </w:trPr>
        <w:tc>
          <w:tcPr>
            <w:tcW w:type="dxa" w:w="1000"/>
            <w:shd w:fill="6B2E9E" w:val="clear"/>
            <w:tcMar>
              <w:top w:type="dxa" w:w="100"/>
              <w:left w:type="dxa" w:w="120"/>
              <w:bottom w:type="dxa" w:w="100"/>
              <w:right w:type="dxa" w:w="120"/>
            </w:tcMar>
          </w:tcPr>
          <w:p>
            <w:pPr>
              <w:jc w:val="center"/>
            </w:pPr>
            <w:r>
              <w:rPr>
                <w:b/>
                <w:bCs/>
                <w:color w:val="FFFFFF"/>
                <w:sz w:val="20"/>
                <w:szCs w:val="20"/>
              </w:rPr>
              <w:t xml:space="preserve">ID</w:t>
            </w:r>
          </w:p>
        </w:tc>
        <w:tc>
          <w:tcPr>
            <w:tcW w:type="dxa" w:w="2200"/>
            <w:shd w:fill="6B2E9E" w:val="clear"/>
            <w:tcMar>
              <w:top w:type="dxa" w:w="100"/>
              <w:left w:type="dxa" w:w="120"/>
              <w:bottom w:type="dxa" w:w="100"/>
              <w:right w:type="dxa" w:w="120"/>
            </w:tcMar>
          </w:tcPr>
          <w:p>
            <w:pPr>
              <w:jc w:val="center"/>
            </w:pPr>
            <w:r>
              <w:rPr>
                <w:b/>
                <w:bCs/>
                <w:color w:val="FFFFFF"/>
                <w:sz w:val="20"/>
                <w:szCs w:val="20"/>
              </w:rPr>
              <w:t xml:space="preserve">Catégorie</w:t>
            </w:r>
          </w:p>
        </w:tc>
        <w:tc>
          <w:tcPr>
            <w:tcW w:type="dxa" w:w="6000"/>
            <w:shd w:fill="6B2E9E" w:val="clear"/>
            <w:tcMar>
              <w:top w:type="dxa" w:w="100"/>
              <w:left w:type="dxa" w:w="120"/>
              <w:bottom w:type="dxa" w:w="100"/>
              <w:right w:type="dxa" w:w="120"/>
            </w:tcMar>
          </w:tcPr>
          <w:p>
            <w:pPr>
              <w:jc w:val="center"/>
            </w:pPr>
            <w:r>
              <w:rPr>
                <w:b/>
                <w:bCs/>
                <w:color w:val="FFFFFF"/>
                <w:sz w:val="20"/>
                <w:szCs w:val="20"/>
              </w:rPr>
              <w:t xml:space="preserve">Exigence</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ENF-01</w:t>
            </w:r>
          </w:p>
        </w:tc>
        <w:tc>
          <w:tcPr>
            <w:tcW w:type="dxa" w:w="2200"/>
            <w:tcMar>
              <w:top w:type="dxa" w:w="80"/>
              <w:left w:type="dxa" w:w="120"/>
              <w:bottom w:type="dxa" w:w="80"/>
              <w:right w:type="dxa" w:w="120"/>
            </w:tcMar>
          </w:tcPr>
          <w:p>
            <w:pPr>
              <w:jc w:val="left"/>
            </w:pPr>
            <w:r>
              <w:rPr>
                <w:b w:val="false"/>
                <w:bCs w:val="false"/>
                <w:color w:val="000000"/>
                <w:sz w:val="20"/>
                <w:szCs w:val="20"/>
              </w:rPr>
              <w:t xml:space="preserve">Performance</w:t>
            </w:r>
          </w:p>
        </w:tc>
        <w:tc>
          <w:tcPr>
            <w:tcW w:type="dxa" w:w="6000"/>
            <w:tcMar>
              <w:top w:type="dxa" w:w="80"/>
              <w:left w:type="dxa" w:w="120"/>
              <w:bottom w:type="dxa" w:w="80"/>
              <w:right w:type="dxa" w:w="120"/>
            </w:tcMar>
          </w:tcPr>
          <w:p>
            <w:pPr>
              <w:jc w:val="left"/>
            </w:pPr>
            <w:r>
              <w:rPr>
                <w:b w:val="false"/>
                <w:bCs w:val="false"/>
                <w:color w:val="000000"/>
                <w:sz w:val="20"/>
                <w:szCs w:val="20"/>
              </w:rPr>
              <w:t xml:space="preserve">La génération de 2000 clients avec vérification de leur historique de crédit DOIT s'exécuter en moins de 30 minutes sur l'infrastructure cible.</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ENF-02</w:t>
            </w:r>
          </w:p>
        </w:tc>
        <w:tc>
          <w:tcPr>
            <w:tcW w:type="dxa" w:w="2200"/>
            <w:tcMar>
              <w:top w:type="dxa" w:w="80"/>
              <w:left w:type="dxa" w:w="120"/>
              <w:bottom w:type="dxa" w:w="80"/>
              <w:right w:type="dxa" w:w="120"/>
            </w:tcMar>
          </w:tcPr>
          <w:p>
            <w:pPr>
              <w:jc w:val="left"/>
            </w:pPr>
            <w:r>
              <w:rPr>
                <w:b w:val="false"/>
                <w:bCs w:val="false"/>
                <w:color w:val="000000"/>
                <w:sz w:val="20"/>
                <w:szCs w:val="20"/>
              </w:rPr>
              <w:t xml:space="preserve">Réactivité</w:t>
            </w:r>
          </w:p>
        </w:tc>
        <w:tc>
          <w:tcPr>
            <w:tcW w:type="dxa" w:w="6000"/>
            <w:tcMar>
              <w:top w:type="dxa" w:w="80"/>
              <w:left w:type="dxa" w:w="120"/>
              <w:bottom w:type="dxa" w:w="80"/>
              <w:right w:type="dxa" w:w="120"/>
            </w:tcMar>
          </w:tcPr>
          <w:p>
            <w:pPr>
              <w:jc w:val="left"/>
            </w:pPr>
            <w:r>
              <w:rPr>
                <w:b w:val="false"/>
                <w:bCs w:val="false"/>
                <w:color w:val="000000"/>
                <w:sz w:val="20"/>
                <w:szCs w:val="20"/>
              </w:rPr>
              <w:t xml:space="preserve">L'interface graphique DOIT rester réactive pendant l'exécution ; aucun blocage supérieur à 2 secondes n'est acceptable.</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ENF-03</w:t>
            </w:r>
          </w:p>
        </w:tc>
        <w:tc>
          <w:tcPr>
            <w:tcW w:type="dxa" w:w="2200"/>
            <w:tcMar>
              <w:top w:type="dxa" w:w="80"/>
              <w:left w:type="dxa" w:w="120"/>
              <w:bottom w:type="dxa" w:w="80"/>
              <w:right w:type="dxa" w:w="120"/>
            </w:tcMar>
          </w:tcPr>
          <w:p>
            <w:pPr>
              <w:jc w:val="left"/>
            </w:pPr>
            <w:r>
              <w:rPr>
                <w:b w:val="false"/>
                <w:bCs w:val="false"/>
                <w:color w:val="000000"/>
                <w:sz w:val="20"/>
                <w:szCs w:val="20"/>
              </w:rPr>
              <w:t xml:space="preserve">Résilience</w:t>
            </w:r>
          </w:p>
        </w:tc>
        <w:tc>
          <w:tcPr>
            <w:tcW w:type="dxa" w:w="6000"/>
            <w:tcMar>
              <w:top w:type="dxa" w:w="80"/>
              <w:left w:type="dxa" w:w="120"/>
              <w:bottom w:type="dxa" w:w="80"/>
              <w:right w:type="dxa" w:w="120"/>
            </w:tcMar>
          </w:tcPr>
          <w:p>
            <w:pPr>
              <w:jc w:val="left"/>
            </w:pPr>
            <w:r>
              <w:rPr>
                <w:b w:val="false"/>
                <w:bCs w:val="false"/>
                <w:color w:val="000000"/>
                <w:sz w:val="20"/>
                <w:szCs w:val="20"/>
              </w:rPr>
              <w:t xml:space="preserve">Toute défaillance d'une source externe (timeout, 404, indisponibilité) DOIT être gérée par une stratégie de nouvelle tentative avec repli, sans interruption de l'exécution globale.</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ENF-04</w:t>
            </w:r>
          </w:p>
        </w:tc>
        <w:tc>
          <w:tcPr>
            <w:tcW w:type="dxa" w:w="2200"/>
            <w:tcMar>
              <w:top w:type="dxa" w:w="80"/>
              <w:left w:type="dxa" w:w="120"/>
              <w:bottom w:type="dxa" w:w="80"/>
              <w:right w:type="dxa" w:w="120"/>
            </w:tcMar>
          </w:tcPr>
          <w:p>
            <w:pPr>
              <w:jc w:val="left"/>
            </w:pPr>
            <w:r>
              <w:rPr>
                <w:b w:val="false"/>
                <w:bCs w:val="false"/>
                <w:color w:val="000000"/>
                <w:sz w:val="20"/>
                <w:szCs w:val="20"/>
              </w:rPr>
              <w:t xml:space="preserve">Idempotence</w:t>
            </w:r>
          </w:p>
        </w:tc>
        <w:tc>
          <w:tcPr>
            <w:tcW w:type="dxa" w:w="6000"/>
            <w:tcMar>
              <w:top w:type="dxa" w:w="80"/>
              <w:left w:type="dxa" w:w="120"/>
              <w:bottom w:type="dxa" w:w="80"/>
              <w:right w:type="dxa" w:w="120"/>
            </w:tcMar>
          </w:tcPr>
          <w:p>
            <w:pPr>
              <w:jc w:val="left"/>
            </w:pPr>
            <w:r>
              <w:rPr>
                <w:b w:val="false"/>
                <w:bCs w:val="false"/>
                <w:color w:val="000000"/>
                <w:sz w:val="20"/>
                <w:szCs w:val="20"/>
              </w:rPr>
              <w:t xml:space="preserve">Deux exécutions successives avec les mêmes paramètres NE DOIVENT produire aucun doublon.</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ENF-05</w:t>
            </w:r>
          </w:p>
        </w:tc>
        <w:tc>
          <w:tcPr>
            <w:tcW w:type="dxa" w:w="2200"/>
            <w:tcMar>
              <w:top w:type="dxa" w:w="80"/>
              <w:left w:type="dxa" w:w="120"/>
              <w:bottom w:type="dxa" w:w="80"/>
              <w:right w:type="dxa" w:w="120"/>
            </w:tcMar>
          </w:tcPr>
          <w:p>
            <w:pPr>
              <w:jc w:val="left"/>
            </w:pPr>
            <w:r>
              <w:rPr>
                <w:b w:val="false"/>
                <w:bCs w:val="false"/>
                <w:color w:val="000000"/>
                <w:sz w:val="20"/>
                <w:szCs w:val="20"/>
              </w:rPr>
              <w:t xml:space="preserve">Traçabilité</w:t>
            </w:r>
          </w:p>
        </w:tc>
        <w:tc>
          <w:tcPr>
            <w:tcW w:type="dxa" w:w="6000"/>
            <w:tcMar>
              <w:top w:type="dxa" w:w="80"/>
              <w:left w:type="dxa" w:w="120"/>
              <w:bottom w:type="dxa" w:w="80"/>
              <w:right w:type="dxa" w:w="120"/>
            </w:tcMar>
          </w:tcPr>
          <w:p>
            <w:pPr>
              <w:jc w:val="left"/>
            </w:pPr>
            <w:r>
              <w:rPr>
                <w:b w:val="false"/>
                <w:bCs w:val="false"/>
                <w:color w:val="000000"/>
                <w:sz w:val="20"/>
                <w:szCs w:val="20"/>
              </w:rPr>
              <w:t xml:space="preserve">Toute donnée générée DOIT être identifiable comme provenant du Loader et réversible.</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ENF-06</w:t>
            </w:r>
          </w:p>
        </w:tc>
        <w:tc>
          <w:tcPr>
            <w:tcW w:type="dxa" w:w="2200"/>
            <w:tcMar>
              <w:top w:type="dxa" w:w="80"/>
              <w:left w:type="dxa" w:w="120"/>
              <w:bottom w:type="dxa" w:w="80"/>
              <w:right w:type="dxa" w:w="120"/>
            </w:tcMar>
          </w:tcPr>
          <w:p>
            <w:pPr>
              <w:jc w:val="left"/>
            </w:pPr>
            <w:r>
              <w:rPr>
                <w:b w:val="false"/>
                <w:bCs w:val="false"/>
                <w:color w:val="000000"/>
                <w:sz w:val="20"/>
                <w:szCs w:val="20"/>
              </w:rPr>
              <w:t xml:space="preserve">Ergonomie</w:t>
            </w:r>
          </w:p>
        </w:tc>
        <w:tc>
          <w:tcPr>
            <w:tcW w:type="dxa" w:w="6000"/>
            <w:tcMar>
              <w:top w:type="dxa" w:w="80"/>
              <w:left w:type="dxa" w:w="120"/>
              <w:bottom w:type="dxa" w:w="80"/>
              <w:right w:type="dxa" w:w="120"/>
            </w:tcMar>
          </w:tcPr>
          <w:p>
            <w:pPr>
              <w:jc w:val="left"/>
            </w:pPr>
            <w:r>
              <w:rPr>
                <w:b w:val="false"/>
                <w:bCs w:val="false"/>
                <w:color w:val="000000"/>
                <w:sz w:val="20"/>
                <w:szCs w:val="20"/>
              </w:rPr>
              <w:t xml:space="preserve">L'interface DOIT être utilisable sans connaissance technique préalable par un membre non technique de l'équipe.</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ENF-07</w:t>
            </w:r>
          </w:p>
        </w:tc>
        <w:tc>
          <w:tcPr>
            <w:tcW w:type="dxa" w:w="2200"/>
            <w:tcMar>
              <w:top w:type="dxa" w:w="80"/>
              <w:left w:type="dxa" w:w="120"/>
              <w:bottom w:type="dxa" w:w="80"/>
              <w:right w:type="dxa" w:w="120"/>
            </w:tcMar>
          </w:tcPr>
          <w:p>
            <w:pPr>
              <w:jc w:val="left"/>
            </w:pPr>
            <w:r>
              <w:rPr>
                <w:b w:val="false"/>
                <w:bCs w:val="false"/>
                <w:color w:val="000000"/>
                <w:sz w:val="20"/>
                <w:szCs w:val="20"/>
              </w:rPr>
              <w:t xml:space="preserve">Extensibilité</w:t>
            </w:r>
          </w:p>
        </w:tc>
        <w:tc>
          <w:tcPr>
            <w:tcW w:type="dxa" w:w="6000"/>
            <w:tcMar>
              <w:top w:type="dxa" w:w="80"/>
              <w:left w:type="dxa" w:w="120"/>
              <w:bottom w:type="dxa" w:w="80"/>
              <w:right w:type="dxa" w:w="120"/>
            </w:tcMar>
          </w:tcPr>
          <w:p>
            <w:pPr>
              <w:jc w:val="left"/>
            </w:pPr>
            <w:r>
              <w:rPr>
                <w:b w:val="false"/>
                <w:bCs w:val="false"/>
                <w:color w:val="000000"/>
                <w:sz w:val="20"/>
                <w:szCs w:val="20"/>
              </w:rPr>
              <w:t xml:space="preserve">L'ajout d'un nouveau pays NE DOIT PAS nécessiter de modification du code, uniquement une extension du référentiel géographique.</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ENF-08</w:t>
            </w:r>
          </w:p>
        </w:tc>
        <w:tc>
          <w:tcPr>
            <w:tcW w:type="dxa" w:w="2200"/>
            <w:tcMar>
              <w:top w:type="dxa" w:w="80"/>
              <w:left w:type="dxa" w:w="120"/>
              <w:bottom w:type="dxa" w:w="80"/>
              <w:right w:type="dxa" w:w="120"/>
            </w:tcMar>
          </w:tcPr>
          <w:p>
            <w:pPr>
              <w:jc w:val="left"/>
            </w:pPr>
            <w:r>
              <w:rPr>
                <w:b w:val="false"/>
                <w:bCs w:val="false"/>
                <w:color w:val="000000"/>
                <w:sz w:val="20"/>
                <w:szCs w:val="20"/>
              </w:rPr>
              <w:t xml:space="preserve">Maintenabilité</w:t>
            </w:r>
          </w:p>
        </w:tc>
        <w:tc>
          <w:tcPr>
            <w:tcW w:type="dxa" w:w="6000"/>
            <w:tcMar>
              <w:top w:type="dxa" w:w="80"/>
              <w:left w:type="dxa" w:w="120"/>
              <w:bottom w:type="dxa" w:w="80"/>
              <w:right w:type="dxa" w:w="120"/>
            </w:tcMar>
          </w:tcPr>
          <w:p>
            <w:pPr>
              <w:jc w:val="left"/>
            </w:pPr>
            <w:r>
              <w:rPr>
                <w:b w:val="false"/>
                <w:bCs w:val="false"/>
                <w:color w:val="000000"/>
                <w:sz w:val="20"/>
                <w:szCs w:val="20"/>
              </w:rPr>
              <w:t xml:space="preserve">Chaque module (géographie, organisation, identité, crédit, interface) DOIT être remplaçable indépendamment sans impact sur les autres.</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ENF-09</w:t>
            </w:r>
          </w:p>
        </w:tc>
        <w:tc>
          <w:tcPr>
            <w:tcW w:type="dxa" w:w="2200"/>
            <w:tcMar>
              <w:top w:type="dxa" w:w="80"/>
              <w:left w:type="dxa" w:w="120"/>
              <w:bottom w:type="dxa" w:w="80"/>
              <w:right w:type="dxa" w:w="120"/>
            </w:tcMar>
          </w:tcPr>
          <w:p>
            <w:pPr>
              <w:jc w:val="left"/>
            </w:pPr>
            <w:r>
              <w:rPr>
                <w:b w:val="false"/>
                <w:bCs w:val="false"/>
                <w:color w:val="000000"/>
                <w:sz w:val="20"/>
                <w:szCs w:val="20"/>
              </w:rPr>
              <w:t xml:space="preserve">Confidentialité</w:t>
            </w:r>
          </w:p>
        </w:tc>
        <w:tc>
          <w:tcPr>
            <w:tcW w:type="dxa" w:w="6000"/>
            <w:tcMar>
              <w:top w:type="dxa" w:w="80"/>
              <w:left w:type="dxa" w:w="120"/>
              <w:bottom w:type="dxa" w:w="80"/>
              <w:right w:type="dxa" w:w="120"/>
            </w:tcMar>
          </w:tcPr>
          <w:p>
            <w:pPr>
              <w:jc w:val="left"/>
            </w:pPr>
            <w:r>
              <w:rPr>
                <w:b w:val="false"/>
                <w:bCs w:val="false"/>
                <w:color w:val="000000"/>
                <w:sz w:val="20"/>
                <w:szCs w:val="20"/>
              </w:rPr>
              <w:t xml:space="preserve">Les données générées étant fictives, aucune donnée personnelle réelle NE DOIT être utilisée ou produite par l'outil.</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ENF-10</w:t>
            </w:r>
          </w:p>
        </w:tc>
        <w:tc>
          <w:tcPr>
            <w:tcW w:type="dxa" w:w="2200"/>
            <w:tcMar>
              <w:top w:type="dxa" w:w="80"/>
              <w:left w:type="dxa" w:w="120"/>
              <w:bottom w:type="dxa" w:w="80"/>
              <w:right w:type="dxa" w:w="120"/>
            </w:tcMar>
          </w:tcPr>
          <w:p>
            <w:pPr>
              <w:jc w:val="left"/>
            </w:pPr>
            <w:r>
              <w:rPr>
                <w:b w:val="false"/>
                <w:bCs w:val="false"/>
                <w:color w:val="000000"/>
                <w:sz w:val="20"/>
                <w:szCs w:val="20"/>
              </w:rPr>
              <w:t xml:space="preserve">Compatibilité</w:t>
            </w:r>
          </w:p>
        </w:tc>
        <w:tc>
          <w:tcPr>
            <w:tcW w:type="dxa" w:w="6000"/>
            <w:tcMar>
              <w:top w:type="dxa" w:w="80"/>
              <w:left w:type="dxa" w:w="120"/>
              <w:bottom w:type="dxa" w:w="80"/>
              <w:right w:type="dxa" w:w="120"/>
            </w:tcMar>
          </w:tcPr>
          <w:p>
            <w:pPr>
              <w:jc w:val="left"/>
            </w:pPr>
            <w:r>
              <w:rPr>
                <w:b w:val="false"/>
                <w:bCs w:val="false"/>
                <w:color w:val="000000"/>
                <w:sz w:val="20"/>
                <w:szCs w:val="20"/>
              </w:rPr>
              <w:t xml:space="preserve">L'outil DOIT s'intégrer avec les API FinZuu existantes sans nécessiter de modification de leur contrat REST.</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ENF-11</w:t>
            </w:r>
          </w:p>
        </w:tc>
        <w:tc>
          <w:tcPr>
            <w:tcW w:type="dxa" w:w="2200"/>
            <w:tcMar>
              <w:top w:type="dxa" w:w="80"/>
              <w:left w:type="dxa" w:w="120"/>
              <w:bottom w:type="dxa" w:w="80"/>
              <w:right w:type="dxa" w:w="120"/>
            </w:tcMar>
          </w:tcPr>
          <w:p>
            <w:pPr>
              <w:jc w:val="left"/>
            </w:pPr>
            <w:r>
              <w:rPr>
                <w:b w:val="false"/>
                <w:bCs w:val="false"/>
                <w:color w:val="000000"/>
                <w:sz w:val="20"/>
                <w:szCs w:val="20"/>
              </w:rPr>
              <w:t xml:space="preserve">Déployabilité</w:t>
            </w:r>
          </w:p>
        </w:tc>
        <w:tc>
          <w:tcPr>
            <w:tcW w:type="dxa" w:w="6000"/>
            <w:tcMar>
              <w:top w:type="dxa" w:w="80"/>
              <w:left w:type="dxa" w:w="120"/>
              <w:bottom w:type="dxa" w:w="80"/>
              <w:right w:type="dxa" w:w="120"/>
            </w:tcMar>
          </w:tcPr>
          <w:p>
            <w:pPr>
              <w:jc w:val="left"/>
            </w:pPr>
            <w:r>
              <w:rPr>
                <w:b w:val="false"/>
                <w:bCs w:val="false"/>
                <w:color w:val="000000"/>
                <w:sz w:val="20"/>
                <w:szCs w:val="20"/>
              </w:rPr>
              <w:t xml:space="preserve">L'outil DOIT être déployé sur le domaine loader.fintech4esg.com avec authentification requise.</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ENF-12</w:t>
            </w:r>
          </w:p>
        </w:tc>
        <w:tc>
          <w:tcPr>
            <w:tcW w:type="dxa" w:w="2200"/>
            <w:tcMar>
              <w:top w:type="dxa" w:w="80"/>
              <w:left w:type="dxa" w:w="120"/>
              <w:bottom w:type="dxa" w:w="80"/>
              <w:right w:type="dxa" w:w="120"/>
            </w:tcMar>
          </w:tcPr>
          <w:p>
            <w:pPr>
              <w:jc w:val="left"/>
            </w:pPr>
            <w:r>
              <w:rPr>
                <w:b w:val="false"/>
                <w:bCs w:val="false"/>
                <w:color w:val="000000"/>
                <w:sz w:val="20"/>
                <w:szCs w:val="20"/>
              </w:rPr>
              <w:t xml:space="preserve">Observabilité</w:t>
            </w:r>
          </w:p>
        </w:tc>
        <w:tc>
          <w:tcPr>
            <w:tcW w:type="dxa" w:w="6000"/>
            <w:tcMar>
              <w:top w:type="dxa" w:w="80"/>
              <w:left w:type="dxa" w:w="120"/>
              <w:bottom w:type="dxa" w:w="80"/>
              <w:right w:type="dxa" w:w="120"/>
            </w:tcMar>
          </w:tcPr>
          <w:p>
            <w:pPr>
              <w:jc w:val="left"/>
            </w:pPr>
            <w:r>
              <w:rPr>
                <w:b w:val="false"/>
                <w:bCs w:val="false"/>
                <w:color w:val="000000"/>
                <w:sz w:val="20"/>
                <w:szCs w:val="20"/>
              </w:rPr>
              <w:t xml:space="preserve">L'outil DOIT émettre des logs structurés exploitables par un système centralisé de journalisation.</w:t>
            </w:r>
          </w:p>
        </w:tc>
      </w:tr>
      <w:tr>
        <w:tc>
          <w:tcPr>
            <w:tcW w:type="dxa" w:w="1000"/>
            <w:shd w:fill="E8F5E9" w:val="clear"/>
            <w:tcMar>
              <w:top w:type="dxa" w:w="80"/>
              <w:left w:type="dxa" w:w="120"/>
              <w:bottom w:type="dxa" w:w="80"/>
              <w:right w:type="dxa" w:w="120"/>
            </w:tcMar>
          </w:tcPr>
          <w:p>
            <w:pPr>
              <w:jc w:val="left"/>
            </w:pPr>
            <w:r>
              <w:rPr>
                <w:b/>
                <w:bCs/>
                <w:color w:val="000000"/>
                <w:sz w:val="20"/>
                <w:szCs w:val="20"/>
              </w:rPr>
              <w:t xml:space="preserve">ENF-13</w:t>
            </w:r>
          </w:p>
        </w:tc>
        <w:tc>
          <w:tcPr>
            <w:tcW w:type="dxa" w:w="2200"/>
            <w:shd w:fill="E8F5E9" w:val="clear"/>
            <w:tcMar>
              <w:top w:type="dxa" w:w="80"/>
              <w:left w:type="dxa" w:w="120"/>
              <w:bottom w:type="dxa" w:w="80"/>
              <w:right w:type="dxa" w:w="120"/>
            </w:tcMar>
          </w:tcPr>
          <w:p>
            <w:pPr>
              <w:jc w:val="left"/>
            </w:pPr>
            <w:r>
              <w:rPr>
                <w:b/>
                <w:bCs/>
                <w:color w:val="000000"/>
                <w:sz w:val="20"/>
                <w:szCs w:val="20"/>
              </w:rPr>
              <w:t xml:space="preserve">Réalisme statistique — AJOUT V1.2</w:t>
            </w:r>
          </w:p>
        </w:tc>
        <w:tc>
          <w:tcPr>
            <w:tcW w:type="dxa" w:w="6000"/>
            <w:shd w:fill="E8F5E9" w:val="clear"/>
            <w:tcMar>
              <w:top w:type="dxa" w:w="80"/>
              <w:left w:type="dxa" w:w="120"/>
              <w:bottom w:type="dxa" w:w="80"/>
              <w:right w:type="dxa" w:w="120"/>
            </w:tcMar>
          </w:tcPr>
          <w:p>
            <w:pPr>
              <w:jc w:val="left"/>
            </w:pPr>
            <w:r>
              <w:rPr>
                <w:b w:val="false"/>
                <w:bCs w:val="false"/>
                <w:color w:val="000000"/>
                <w:sz w:val="20"/>
                <w:szCs w:val="20"/>
              </w:rPr>
              <w:t xml:space="preserve">La distribution des profils comportementaux générés DOIT respecter les poids configurés à plus ou moins 3 pour cent sur un échantillon de 1000 clients.</w:t>
            </w:r>
          </w:p>
        </w:tc>
      </w:tr>
      <w:tr>
        <w:tc>
          <w:tcPr>
            <w:tcW w:type="dxa" w:w="1000"/>
            <w:shd w:fill="E8F5E9" w:val="clear"/>
            <w:tcMar>
              <w:top w:type="dxa" w:w="80"/>
              <w:left w:type="dxa" w:w="120"/>
              <w:bottom w:type="dxa" w:w="80"/>
              <w:right w:type="dxa" w:w="120"/>
            </w:tcMar>
          </w:tcPr>
          <w:p>
            <w:pPr>
              <w:jc w:val="left"/>
            </w:pPr>
            <w:r>
              <w:rPr>
                <w:b/>
                <w:bCs/>
                <w:color w:val="000000"/>
                <w:sz w:val="20"/>
                <w:szCs w:val="20"/>
              </w:rPr>
              <w:t xml:space="preserve">ENF-14</w:t>
            </w:r>
          </w:p>
        </w:tc>
        <w:tc>
          <w:tcPr>
            <w:tcW w:type="dxa" w:w="2200"/>
            <w:shd w:fill="E8F5E9" w:val="clear"/>
            <w:tcMar>
              <w:top w:type="dxa" w:w="80"/>
              <w:left w:type="dxa" w:w="120"/>
              <w:bottom w:type="dxa" w:w="80"/>
              <w:right w:type="dxa" w:w="120"/>
            </w:tcMar>
          </w:tcPr>
          <w:p>
            <w:pPr>
              <w:jc w:val="left"/>
            </w:pPr>
            <w:r>
              <w:rPr>
                <w:b/>
                <w:bCs/>
                <w:color w:val="000000"/>
                <w:sz w:val="20"/>
                <w:szCs w:val="20"/>
              </w:rPr>
              <w:t xml:space="preserve">Conformité microfinance — AJOUT V1.2</w:t>
            </w:r>
          </w:p>
        </w:tc>
        <w:tc>
          <w:tcPr>
            <w:tcW w:type="dxa" w:w="6000"/>
            <w:shd w:fill="E8F5E9" w:val="clear"/>
            <w:tcMar>
              <w:top w:type="dxa" w:w="80"/>
              <w:left w:type="dxa" w:w="120"/>
              <w:bottom w:type="dxa" w:w="80"/>
              <w:right w:type="dxa" w:w="120"/>
            </w:tcMar>
          </w:tcPr>
          <w:p>
            <w:pPr>
              <w:jc w:val="left"/>
            </w:pPr>
            <w:r>
              <w:rPr>
                <w:b w:val="false"/>
                <w:bCs w:val="false"/>
                <w:color w:val="000000"/>
                <w:sz w:val="20"/>
                <w:szCs w:val="20"/>
              </w:rPr>
              <w:t xml:space="preserve">Les indicateurs Portfolio At Risk produits DOIVENT respecter les seuils standards de la microfinance : PAR30 inférieur ou égal à 15 pour cent, PAR90 inférieur ou égal à 8 pour cent, taux de recouvrement supérieur ou égal à 85 pour cent, pour une distribution nominale.</w:t>
            </w:r>
          </w:p>
        </w:tc>
      </w:tr>
      <w:tr>
        <w:tc>
          <w:tcPr>
            <w:tcW w:type="dxa" w:w="1000"/>
            <w:shd w:fill="E8F5E9" w:val="clear"/>
            <w:tcMar>
              <w:top w:type="dxa" w:w="80"/>
              <w:left w:type="dxa" w:w="120"/>
              <w:bottom w:type="dxa" w:w="80"/>
              <w:right w:type="dxa" w:w="120"/>
            </w:tcMar>
          </w:tcPr>
          <w:p>
            <w:pPr>
              <w:jc w:val="left"/>
            </w:pPr>
            <w:r>
              <w:rPr>
                <w:b/>
                <w:bCs/>
                <w:color w:val="000000"/>
                <w:sz w:val="20"/>
                <w:szCs w:val="20"/>
              </w:rPr>
              <w:t xml:space="preserve">ENF-15</w:t>
            </w:r>
          </w:p>
        </w:tc>
        <w:tc>
          <w:tcPr>
            <w:tcW w:type="dxa" w:w="2200"/>
            <w:shd w:fill="E8F5E9" w:val="clear"/>
            <w:tcMar>
              <w:top w:type="dxa" w:w="80"/>
              <w:left w:type="dxa" w:w="120"/>
              <w:bottom w:type="dxa" w:w="80"/>
              <w:right w:type="dxa" w:w="120"/>
            </w:tcMar>
          </w:tcPr>
          <w:p>
            <w:pPr>
              <w:jc w:val="left"/>
            </w:pPr>
            <w:r>
              <w:rPr>
                <w:b/>
                <w:bCs/>
                <w:color w:val="000000"/>
                <w:sz w:val="20"/>
                <w:szCs w:val="20"/>
              </w:rPr>
              <w:t xml:space="preserve">Reproductibilité — AJOUT V1.2</w:t>
            </w:r>
          </w:p>
        </w:tc>
        <w:tc>
          <w:tcPr>
            <w:tcW w:type="dxa" w:w="6000"/>
            <w:shd w:fill="E8F5E9" w:val="clear"/>
            <w:tcMar>
              <w:top w:type="dxa" w:w="80"/>
              <w:left w:type="dxa" w:w="120"/>
              <w:bottom w:type="dxa" w:w="80"/>
              <w:right w:type="dxa" w:w="120"/>
            </w:tcMar>
          </w:tcPr>
          <w:p>
            <w:pPr>
              <w:jc w:val="left"/>
            </w:pPr>
            <w:r>
              <w:rPr>
                <w:b w:val="false"/>
                <w:bCs w:val="false"/>
                <w:color w:val="000000"/>
                <w:sz w:val="20"/>
                <w:szCs w:val="20"/>
              </w:rPr>
              <w:t xml:space="preserve">Deux exécutions avec les mêmes paramètres et le même identifiant de génération DOIVENT produire strictement le même écosystème (profils, prêts, séquences de remboursement).</w:t>
            </w:r>
          </w:p>
        </w:tc>
      </w:tr>
    </w:tbl>
    <w:p>
      <w:r>
        <w:br w:type="page"/>
      </w:r>
    </w:p>
    <w:p>
      <w:pPr>
        <w:pStyle w:val="Heading1"/>
        <w:spacing w:after="240" w:before="480"/>
      </w:pPr>
      <w:r>
        <w:rPr>
          <w:b/>
          <w:bCs/>
          <w:color w:val="6B2E9E"/>
          <w:sz w:val="32"/>
          <w:szCs w:val="32"/>
        </w:rPr>
        <w:t xml:space="preserve">9. Contraintes</w:t>
      </w:r>
    </w:p>
    <w:p>
      <w:pPr>
        <w:pStyle w:val="Heading2"/>
        <w:spacing w:after="180" w:before="360"/>
      </w:pPr>
      <w:r>
        <w:rPr>
          <w:b/>
          <w:bCs/>
          <w:color w:val="6B2E9E"/>
          <w:sz w:val="26"/>
          <w:szCs w:val="26"/>
        </w:rPr>
        <w:t xml:space="preserve">9.1 Contraintes techniques</w:t>
      </w:r>
    </w:p>
    <w:p>
      <w:pPr>
        <w:pStyle w:val="ListParagraph"/>
        <w:numPr>
          <w:ilvl w:val="0"/>
          <w:numId w:val="1"/>
        </w:numPr>
        <w:spacing w:after="80"/>
      </w:pPr>
      <w:r>
        <w:rPr>
          <w:b/>
          <w:bCs/>
          <w:sz w:val="22"/>
          <w:szCs w:val="22"/>
        </w:rPr>
        <w:t xml:space="preserve">CT-01 — </w:t>
      </w:r>
      <w:r>
        <w:rPr>
          <w:sz w:val="22"/>
          <w:szCs w:val="22"/>
        </w:rPr>
        <w:t xml:space="preserve">Le Loader interagit avec les services FinZuu via APISIX en HTTPS. Toute défaillance d'un service de gateway est exogène au Loader et hors de son périmètre de correction.</w:t>
      </w:r>
    </w:p>
    <w:p>
      <w:pPr>
        <w:pStyle w:val="ListParagraph"/>
        <w:numPr>
          <w:ilvl w:val="0"/>
          <w:numId w:val="1"/>
        </w:numPr>
        <w:spacing w:after="80"/>
      </w:pPr>
      <w:r>
        <w:rPr>
          <w:b/>
          <w:bCs/>
          <w:sz w:val="22"/>
          <w:szCs w:val="22"/>
        </w:rPr>
        <w:t xml:space="preserve">CT-02 — </w:t>
      </w:r>
      <w:r>
        <w:rPr>
          <w:sz w:val="22"/>
          <w:szCs w:val="22"/>
        </w:rPr>
        <w:t xml:space="preserve">Le service loan-service n'est pas livré à la date de rédaction. La partie prêt du Loader ne peut être validée qu'en mode simulé jusqu'à sa livraison.</w:t>
      </w:r>
    </w:p>
    <w:p>
      <w:pPr>
        <w:pStyle w:val="ListParagraph"/>
        <w:numPr>
          <w:ilvl w:val="0"/>
          <w:numId w:val="1"/>
        </w:numPr>
        <w:spacing w:after="80"/>
      </w:pPr>
      <w:r>
        <w:rPr>
          <w:b/>
          <w:bCs/>
          <w:sz w:val="22"/>
          <w:szCs w:val="22"/>
        </w:rPr>
        <w:t xml:space="preserve">CT-03 — </w:t>
      </w:r>
      <w:r>
        <w:rPr>
          <w:sz w:val="22"/>
          <w:szCs w:val="22"/>
        </w:rPr>
        <w:t xml:space="preserve">L'API Faker fintech4esg fonctionne avec un cache Redis déterministe. Le run_id de référence (20260620123721) est le seul lot pré-calculé disponible.</w:t>
      </w:r>
    </w:p>
    <w:p>
      <w:pPr>
        <w:pStyle w:val="ListParagraph"/>
        <w:numPr>
          <w:ilvl w:val="0"/>
          <w:numId w:val="1"/>
        </w:numPr>
        <w:spacing w:after="80"/>
      </w:pPr>
      <w:r>
        <w:rPr>
          <w:b/>
          <w:bCs/>
          <w:sz w:val="22"/>
          <w:szCs w:val="22"/>
        </w:rPr>
        <w:t xml:space="preserve">CT-04 — </w:t>
      </w:r>
      <w:r>
        <w:rPr>
          <w:sz w:val="22"/>
          <w:szCs w:val="22"/>
        </w:rPr>
        <w:t xml:space="preserve">L'API Faker ne rejette pas les filtres invalides (country_code=ZZ retourne un client au hasard). Le Loader DOIT valider les filtres avant chaque appel.</w:t>
      </w:r>
    </w:p>
    <w:p>
      <w:pPr>
        <w:pStyle w:val="Heading2"/>
        <w:spacing w:after="180" w:before="360"/>
      </w:pPr>
      <w:r>
        <w:rPr>
          <w:b/>
          <w:bCs/>
          <w:color w:val="6B2E9E"/>
          <w:sz w:val="26"/>
          <w:szCs w:val="26"/>
        </w:rPr>
        <w:t xml:space="preserve">9.2 Contraintes organisationnelles</w:t>
      </w:r>
    </w:p>
    <w:p>
      <w:pPr>
        <w:pStyle w:val="ListParagraph"/>
        <w:numPr>
          <w:ilvl w:val="0"/>
          <w:numId w:val="1"/>
        </w:numPr>
        <w:spacing w:after="80"/>
      </w:pPr>
      <w:r>
        <w:rPr>
          <w:b/>
          <w:bCs/>
          <w:sz w:val="22"/>
          <w:szCs w:val="22"/>
        </w:rPr>
        <w:t xml:space="preserve">CO-01 — </w:t>
      </w:r>
      <w:r>
        <w:rPr>
          <w:sz w:val="22"/>
          <w:szCs w:val="22"/>
        </w:rPr>
        <w:t xml:space="preserve">Le rattachement du Lender (au niveau Company, Branche, Agence ou Kiosque) DOIT être validé avec la Direction Technique avant le développement du module Organisation.</w:t>
      </w:r>
    </w:p>
    <w:p>
      <w:pPr>
        <w:pStyle w:val="ListParagraph"/>
        <w:numPr>
          <w:ilvl w:val="0"/>
          <w:numId w:val="1"/>
        </w:numPr>
        <w:spacing w:after="80"/>
      </w:pPr>
      <w:r>
        <w:rPr>
          <w:b/>
          <w:bCs/>
          <w:sz w:val="22"/>
          <w:szCs w:val="22"/>
        </w:rPr>
        <w:t xml:space="preserve">CO-02 — </w:t>
      </w:r>
      <w:r>
        <w:rPr>
          <w:sz w:val="22"/>
          <w:szCs w:val="22"/>
        </w:rPr>
        <w:t xml:space="preserve">La nomenclature des produits de crédit fait apparaître une divergence entre les documents internes (Nano/Micro/BNPL/ReadyToGo) et l'API Faker (Nano/Macro). Cette question DOIT être tranchée avant la mise en production.</w:t>
      </w:r>
    </w:p>
    <w:p>
      <w:pPr>
        <w:pStyle w:val="ListParagraph"/>
        <w:numPr>
          <w:ilvl w:val="0"/>
          <w:numId w:val="1"/>
        </w:numPr>
        <w:spacing w:after="80"/>
      </w:pPr>
      <w:r>
        <w:rPr>
          <w:b/>
          <w:bCs/>
          <w:sz w:val="22"/>
          <w:szCs w:val="22"/>
        </w:rPr>
        <w:t xml:space="preserve">CO-03 — </w:t>
      </w:r>
      <w:r>
        <w:rPr>
          <w:sz w:val="22"/>
          <w:szCs w:val="22"/>
        </w:rPr>
        <w:t xml:space="preserve">La livraison du Loader DOIT s'inscrire dans le Sprint 4 en cours, avec une première version opérationnelle avant la fin juillet 2026.</w:t>
      </w:r>
    </w:p>
    <w:p>
      <w:pPr>
        <w:pBdr>
          <w:top w:val="single" w:color="A5D6A7" w:sz="6" w:space="4"/>
          <w:bottom w:val="single" w:color="A5D6A7" w:sz="6" w:space="4"/>
          <w:left w:val="single" w:color="4CAF50" w:sz="24" w:space="8"/>
          <w:right w:val="single" w:color="A5D6A7" w:sz="6" w:space="4"/>
        </w:pBdr>
        <w:shd w:fill="E8F5E9" w:val="clear"/>
        <w:spacing w:after="120" w:before="120"/>
      </w:pPr>
      <w:r>
        <w:rPr>
          <w:b/>
          <w:bCs/>
          <w:color w:val="4CAF50"/>
          <w:sz w:val="22"/>
          <w:szCs w:val="22"/>
        </w:rPr>
        <w:t xml:space="preserve">AJOUT V1.2 — </w:t>
      </w:r>
      <w:r>
        <w:rPr>
          <w:i/>
          <w:iCs/>
          <w:sz w:val="22"/>
          <w:szCs w:val="22"/>
        </w:rPr>
        <w:t xml:space="preserve">CO-04 — La méthodologie de simulation comportementale et le catalogue produits crédit officiel ont été fournis par la Direction Technique le 20 juillet 2026. Toute évolution de ces éléments après validation du présent cahier des charges suit un processus formel de gestion de changement.</w:t>
      </w:r>
    </w:p>
    <w:p>
      <w:pPr>
        <w:pStyle w:val="Heading2"/>
        <w:spacing w:after="180" w:before="360"/>
      </w:pPr>
      <w:r>
        <w:rPr>
          <w:b/>
          <w:bCs/>
          <w:color w:val="6B2E9E"/>
          <w:sz w:val="26"/>
          <w:szCs w:val="26"/>
        </w:rPr>
        <w:t xml:space="preserve">9.3 Contraintes réglementaires</w:t>
      </w:r>
    </w:p>
    <w:p>
      <w:pPr>
        <w:pStyle w:val="ListParagraph"/>
        <w:numPr>
          <w:ilvl w:val="0"/>
          <w:numId w:val="1"/>
        </w:numPr>
        <w:spacing w:after="80"/>
      </w:pPr>
      <w:r>
        <w:rPr>
          <w:b/>
          <w:bCs/>
          <w:sz w:val="22"/>
          <w:szCs w:val="22"/>
        </w:rPr>
        <w:t xml:space="preserve">CR-01 — </w:t>
      </w:r>
      <w:r>
        <w:rPr>
          <w:sz w:val="22"/>
          <w:szCs w:val="22"/>
        </w:rPr>
        <w:t xml:space="preserve">Les taux d'intérêt générés DOIVENT rester inférieurs ou égaux au plafond d'usure en vigueur en zone CEMAC/UEMOA (24 pour cent annuel), même en environnement de test.</w:t>
      </w:r>
    </w:p>
    <w:p>
      <w:pPr>
        <w:pStyle w:val="ListParagraph"/>
        <w:numPr>
          <w:ilvl w:val="0"/>
          <w:numId w:val="1"/>
        </w:numPr>
        <w:spacing w:after="80"/>
      </w:pPr>
      <w:r>
        <w:rPr>
          <w:b/>
          <w:bCs/>
          <w:sz w:val="22"/>
          <w:szCs w:val="22"/>
        </w:rPr>
        <w:t xml:space="preserve">CR-02 — </w:t>
      </w:r>
      <w:r>
        <w:rPr>
          <w:sz w:val="22"/>
          <w:szCs w:val="22"/>
        </w:rPr>
        <w:t xml:space="preserve">Les identités générées DOIVENT être fictives et non réelles ; aucune donnée personnelle réelle ne peut être utilisée ou produite.</w:t>
      </w:r>
    </w:p>
    <w:p>
      <w:pPr>
        <w:pStyle w:val="ListParagraph"/>
        <w:numPr>
          <w:ilvl w:val="0"/>
          <w:numId w:val="1"/>
        </w:numPr>
        <w:spacing w:after="80"/>
      </w:pPr>
      <w:r>
        <w:rPr>
          <w:b/>
          <w:bCs/>
          <w:sz w:val="22"/>
          <w:szCs w:val="22"/>
        </w:rPr>
        <w:t xml:space="preserve">CR-03 — </w:t>
      </w:r>
      <w:r>
        <w:rPr>
          <w:sz w:val="22"/>
          <w:szCs w:val="22"/>
        </w:rPr>
        <w:t xml:space="preserve">Les MSISDN générés DOIVENT respecter le format régulateur de l'opérateur telco de chaque pays (ART pour CM, ARTCI pour CI, ARCEP-BF pour BF, ARTP pour SN).</w:t>
      </w:r>
    </w:p>
    <w:p>
      <w:r>
        <w:br w:type="page"/>
      </w:r>
    </w:p>
    <w:p>
      <w:pPr>
        <w:pStyle w:val="Heading1"/>
        <w:spacing w:after="240" w:before="480"/>
      </w:pPr>
      <w:r>
        <w:rPr>
          <w:b/>
          <w:bCs/>
          <w:color w:val="6B2E9E"/>
          <w:sz w:val="32"/>
          <w:szCs w:val="32"/>
        </w:rPr>
        <w:t xml:space="preserve">10. Hypothèses et risques</w:t>
      </w:r>
    </w:p>
    <w:p>
      <w:pPr>
        <w:pStyle w:val="Heading2"/>
        <w:spacing w:after="180" w:before="360"/>
      </w:pPr>
      <w:r>
        <w:rPr>
          <w:b/>
          <w:bCs/>
          <w:color w:val="6B2E9E"/>
          <w:sz w:val="26"/>
          <w:szCs w:val="26"/>
        </w:rPr>
        <w:t xml:space="preserve">10.1 Hypothèses de travail</w:t>
      </w:r>
    </w:p>
    <w:p>
      <w:pPr>
        <w:pStyle w:val="ListParagraph"/>
        <w:numPr>
          <w:ilvl w:val="0"/>
          <w:numId w:val="1"/>
        </w:numPr>
        <w:spacing w:after="80"/>
      </w:pPr>
      <w:r>
        <w:rPr>
          <w:b/>
          <w:bCs/>
          <w:sz w:val="22"/>
          <w:szCs w:val="22"/>
        </w:rPr>
        <w:t xml:space="preserve">H-01 — </w:t>
      </w:r>
      <w:r>
        <w:rPr>
          <w:sz w:val="22"/>
          <w:szCs w:val="22"/>
        </w:rPr>
        <w:t xml:space="preserve">L'environnement TEST dispose des neuf services FinZuu opérationnels et atteignables via APISIX.</w:t>
      </w:r>
    </w:p>
    <w:p>
      <w:pPr>
        <w:pStyle w:val="ListParagraph"/>
        <w:numPr>
          <w:ilvl w:val="0"/>
          <w:numId w:val="1"/>
        </w:numPr>
        <w:spacing w:after="80"/>
      </w:pPr>
      <w:r>
        <w:rPr>
          <w:b/>
          <w:bCs/>
          <w:sz w:val="22"/>
          <w:szCs w:val="22"/>
        </w:rPr>
        <w:t xml:space="preserve">H-02 — </w:t>
      </w:r>
      <w:r>
        <w:rPr>
          <w:sz w:val="22"/>
          <w:szCs w:val="22"/>
        </w:rPr>
        <w:t xml:space="preserve">L'API Faker fintech4esg reste accessible et stable dans sa version testée au 16 juillet 2026.</w:t>
      </w:r>
    </w:p>
    <w:p>
      <w:pPr>
        <w:pStyle w:val="ListParagraph"/>
        <w:numPr>
          <w:ilvl w:val="0"/>
          <w:numId w:val="1"/>
        </w:numPr>
        <w:spacing w:after="80"/>
      </w:pPr>
      <w:r>
        <w:rPr>
          <w:b/>
          <w:bCs/>
          <w:sz w:val="22"/>
          <w:szCs w:val="22"/>
        </w:rPr>
        <w:t xml:space="preserve">H-03 — </w:t>
      </w:r>
      <w:r>
        <w:rPr>
          <w:sz w:val="22"/>
          <w:szCs w:val="22"/>
        </w:rPr>
        <w:t xml:space="preserve">Le module loan-service développé par Duhamel sera livré avant la fin du sprint et exposera une API REST compatible.</w:t>
      </w:r>
    </w:p>
    <w:p>
      <w:pPr>
        <w:pStyle w:val="ListParagraph"/>
        <w:numPr>
          <w:ilvl w:val="0"/>
          <w:numId w:val="1"/>
        </w:numPr>
        <w:spacing w:after="80"/>
      </w:pPr>
      <w:r>
        <w:rPr>
          <w:b/>
          <w:bCs/>
          <w:sz w:val="22"/>
          <w:szCs w:val="22"/>
        </w:rPr>
        <w:t xml:space="preserve">H-04 — </w:t>
      </w:r>
      <w:r>
        <w:rPr>
          <w:sz w:val="22"/>
          <w:szCs w:val="22"/>
        </w:rPr>
        <w:t xml:space="preserve">L'infrastructure cible loader.fintech4esg.com sera provisionnée et accessible avant le lancement de la production.</w:t>
      </w:r>
    </w:p>
    <w:p>
      <w:pPr>
        <w:pStyle w:val="ListParagraph"/>
        <w:numPr>
          <w:ilvl w:val="0"/>
          <w:numId w:val="1"/>
        </w:numPr>
        <w:spacing w:after="80"/>
      </w:pPr>
      <w:r>
        <w:rPr>
          <w:b/>
          <w:bCs/>
          <w:sz w:val="22"/>
          <w:szCs w:val="22"/>
        </w:rPr>
        <w:t xml:space="preserve">H-05 — </w:t>
      </w:r>
      <w:r>
        <w:rPr>
          <w:sz w:val="22"/>
          <w:szCs w:val="22"/>
        </w:rPr>
        <w:t xml:space="preserve">Les credentiels des cinq rôles utilisateurs (ROOT, STAFF, COMPANY, CUSTOMER, GUEST) seront valides pendant toute la durée du projet.</w:t>
      </w:r>
    </w:p>
    <w:p>
      <w:pPr>
        <w:pBdr>
          <w:top w:val="single" w:color="A5D6A7" w:sz="6" w:space="4"/>
          <w:bottom w:val="single" w:color="A5D6A7" w:sz="6" w:space="4"/>
          <w:left w:val="single" w:color="4CAF50" w:sz="24" w:space="8"/>
          <w:right w:val="single" w:color="A5D6A7" w:sz="6" w:space="4"/>
        </w:pBdr>
        <w:shd w:fill="E8F5E9" w:val="clear"/>
        <w:spacing w:after="120" w:before="120"/>
      </w:pPr>
      <w:r>
        <w:rPr>
          <w:b/>
          <w:bCs/>
          <w:color w:val="4CAF50"/>
          <w:sz w:val="22"/>
          <w:szCs w:val="22"/>
        </w:rPr>
        <w:t xml:space="preserve">AJOUT V1.2 — </w:t>
      </w:r>
      <w:r>
        <w:rPr>
          <w:i/>
          <w:iCs/>
          <w:sz w:val="22"/>
          <w:szCs w:val="22"/>
        </w:rPr>
        <w:t xml:space="preserve">H-06 — Les règles empiriques de pondération des profils comportementaux fournies par le référent loan-simulation restent valides pour la population cible (microfinance en Afrique subsaharienne). Toute évolution significative du contexte métier peut nécessiter une recalibration.</w:t>
      </w:r>
    </w:p>
    <w:p>
      <w:pPr>
        <w:pStyle w:val="Heading2"/>
        <w:spacing w:after="180" w:before="360"/>
      </w:pPr>
      <w:r>
        <w:rPr>
          <w:b/>
          <w:bCs/>
          <w:color w:val="6B2E9E"/>
          <w:sz w:val="26"/>
          <w:szCs w:val="26"/>
        </w:rPr>
        <w:t xml:space="preserve">10.2 Matrice des risques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400"/>
        <w:gridCol w:w="1200"/>
        <w:gridCol w:w="3400"/>
      </w:tblGrid>
      <w:tr>
        <w:trPr>
          <w:tblHeader/>
        </w:trPr>
        <w:tc>
          <w:tcPr>
            <w:tcW w:type="dxa" w:w="800"/>
            <w:shd w:fill="6B2E9E" w:val="clear"/>
            <w:tcMar>
              <w:top w:type="dxa" w:w="100"/>
              <w:left w:type="dxa" w:w="120"/>
              <w:bottom w:type="dxa" w:w="100"/>
              <w:right w:type="dxa" w:w="120"/>
            </w:tcMar>
          </w:tcPr>
          <w:p>
            <w:pPr>
              <w:jc w:val="center"/>
            </w:pPr>
            <w:r>
              <w:rPr>
                <w:b/>
                <w:bCs/>
                <w:color w:val="FFFFFF"/>
                <w:sz w:val="20"/>
                <w:szCs w:val="20"/>
              </w:rPr>
              <w:t xml:space="preserve">ID</w:t>
            </w:r>
          </w:p>
        </w:tc>
        <w:tc>
          <w:tcPr>
            <w:tcW w:type="dxa" w:w="2400"/>
            <w:shd w:fill="6B2E9E" w:val="clear"/>
            <w:tcMar>
              <w:top w:type="dxa" w:w="100"/>
              <w:left w:type="dxa" w:w="120"/>
              <w:bottom w:type="dxa" w:w="100"/>
              <w:right w:type="dxa" w:w="120"/>
            </w:tcMar>
          </w:tcPr>
          <w:p>
            <w:pPr>
              <w:jc w:val="center"/>
            </w:pPr>
            <w:r>
              <w:rPr>
                <w:b/>
                <w:bCs/>
                <w:color w:val="FFFFFF"/>
                <w:sz w:val="20"/>
                <w:szCs w:val="20"/>
              </w:rPr>
              <w:t xml:space="preserve">Risque</w:t>
            </w:r>
          </w:p>
        </w:tc>
        <w:tc>
          <w:tcPr>
            <w:tcW w:type="dxa" w:w="1400"/>
            <w:shd w:fill="6B2E9E" w:val="clear"/>
            <w:tcMar>
              <w:top w:type="dxa" w:w="100"/>
              <w:left w:type="dxa" w:w="120"/>
              <w:bottom w:type="dxa" w:w="100"/>
              <w:right w:type="dxa" w:w="120"/>
            </w:tcMar>
          </w:tcPr>
          <w:p>
            <w:pPr>
              <w:jc w:val="center"/>
            </w:pPr>
            <w:r>
              <w:rPr>
                <w:b/>
                <w:bCs/>
                <w:color w:val="FFFFFF"/>
                <w:sz w:val="20"/>
                <w:szCs w:val="20"/>
              </w:rPr>
              <w:t xml:space="preserve">Probabilité</w:t>
            </w:r>
          </w:p>
        </w:tc>
        <w:tc>
          <w:tcPr>
            <w:tcW w:type="dxa" w:w="1200"/>
            <w:shd w:fill="6B2E9E" w:val="clear"/>
            <w:tcMar>
              <w:top w:type="dxa" w:w="100"/>
              <w:left w:type="dxa" w:w="120"/>
              <w:bottom w:type="dxa" w:w="100"/>
              <w:right w:type="dxa" w:w="120"/>
            </w:tcMar>
          </w:tcPr>
          <w:p>
            <w:pPr>
              <w:jc w:val="center"/>
            </w:pPr>
            <w:r>
              <w:rPr>
                <w:b/>
                <w:bCs/>
                <w:color w:val="FFFFFF"/>
                <w:sz w:val="20"/>
                <w:szCs w:val="20"/>
              </w:rPr>
              <w:t xml:space="preserve">Impact</w:t>
            </w:r>
          </w:p>
        </w:tc>
        <w:tc>
          <w:tcPr>
            <w:tcW w:type="dxa" w:w="3400"/>
            <w:shd w:fill="6B2E9E" w:val="clear"/>
            <w:tcMar>
              <w:top w:type="dxa" w:w="100"/>
              <w:left w:type="dxa" w:w="120"/>
              <w:bottom w:type="dxa" w:w="100"/>
              <w:right w:type="dxa" w:w="120"/>
            </w:tcMar>
          </w:tcPr>
          <w:p>
            <w:pPr>
              <w:jc w:val="center"/>
            </w:pPr>
            <w:r>
              <w:rPr>
                <w:b/>
                <w:bCs/>
                <w:color w:val="FFFFFF"/>
                <w:sz w:val="20"/>
                <w:szCs w:val="20"/>
              </w:rPr>
              <w:t xml:space="preserve">Mitigation</w:t>
            </w:r>
          </w:p>
        </w:tc>
      </w:tr>
      <w:tr>
        <w:tc>
          <w:tcPr>
            <w:tcW w:type="dxa" w:w="800"/>
            <w:tcMar>
              <w:top w:type="dxa" w:w="80"/>
              <w:left w:type="dxa" w:w="120"/>
              <w:bottom w:type="dxa" w:w="80"/>
              <w:right w:type="dxa" w:w="120"/>
            </w:tcMar>
          </w:tcPr>
          <w:p>
            <w:pPr>
              <w:jc w:val="left"/>
            </w:pPr>
            <w:r>
              <w:rPr>
                <w:b w:val="false"/>
                <w:bCs w:val="false"/>
                <w:color w:val="000000"/>
                <w:sz w:val="20"/>
                <w:szCs w:val="20"/>
              </w:rPr>
              <w:t xml:space="preserve">R-01</w:t>
            </w:r>
          </w:p>
        </w:tc>
        <w:tc>
          <w:tcPr>
            <w:tcW w:type="dxa" w:w="2400"/>
            <w:tcMar>
              <w:top w:type="dxa" w:w="80"/>
              <w:left w:type="dxa" w:w="120"/>
              <w:bottom w:type="dxa" w:w="80"/>
              <w:right w:type="dxa" w:w="120"/>
            </w:tcMar>
          </w:tcPr>
          <w:p>
            <w:pPr>
              <w:jc w:val="left"/>
            </w:pPr>
            <w:r>
              <w:rPr>
                <w:b w:val="false"/>
                <w:bCs w:val="false"/>
                <w:color w:val="000000"/>
                <w:sz w:val="20"/>
                <w:szCs w:val="20"/>
              </w:rPr>
              <w:t xml:space="preserve">Faker devient indisponible pendant une exécution</w:t>
            </w:r>
          </w:p>
        </w:tc>
        <w:tc>
          <w:tcPr>
            <w:tcW w:type="dxa" w:w="1400"/>
            <w:tcMar>
              <w:top w:type="dxa" w:w="80"/>
              <w:left w:type="dxa" w:w="120"/>
              <w:bottom w:type="dxa" w:w="80"/>
              <w:right w:type="dxa" w:w="120"/>
            </w:tcMar>
          </w:tcPr>
          <w:p>
            <w:pPr>
              <w:jc w:val="left"/>
            </w:pPr>
            <w:r>
              <w:rPr>
                <w:b w:val="false"/>
                <w:bCs w:val="false"/>
                <w:color w:val="000000"/>
                <w:sz w:val="20"/>
                <w:szCs w:val="20"/>
              </w:rPr>
              <w:t xml:space="preserve">Moyenne</w:t>
            </w:r>
          </w:p>
        </w:tc>
        <w:tc>
          <w:tcPr>
            <w:tcW w:type="dxa" w:w="1200"/>
            <w:tcMar>
              <w:top w:type="dxa" w:w="80"/>
              <w:left w:type="dxa" w:w="120"/>
              <w:bottom w:type="dxa" w:w="80"/>
              <w:right w:type="dxa" w:w="120"/>
            </w:tcMar>
          </w:tcPr>
          <w:p>
            <w:pPr>
              <w:jc w:val="left"/>
            </w:pPr>
            <w:r>
              <w:rPr>
                <w:b w:val="false"/>
                <w:bCs w:val="false"/>
                <w:color w:val="000000"/>
                <w:sz w:val="20"/>
                <w:szCs w:val="20"/>
              </w:rPr>
              <w:t xml:space="preserve">Fort</w:t>
            </w:r>
          </w:p>
        </w:tc>
        <w:tc>
          <w:tcPr>
            <w:tcW w:type="dxa" w:w="3400"/>
            <w:tcMar>
              <w:top w:type="dxa" w:w="80"/>
              <w:left w:type="dxa" w:w="120"/>
              <w:bottom w:type="dxa" w:w="80"/>
              <w:right w:type="dxa" w:w="120"/>
            </w:tcMar>
          </w:tcPr>
          <w:p>
            <w:pPr>
              <w:jc w:val="left"/>
            </w:pPr>
            <w:r>
              <w:rPr>
                <w:b w:val="false"/>
                <w:bCs w:val="false"/>
                <w:color w:val="000000"/>
                <w:sz w:val="20"/>
                <w:szCs w:val="20"/>
              </w:rPr>
              <w:t xml:space="preserve">Cache local des payloads récupérés ; stratégie de repli.</w:t>
            </w:r>
          </w:p>
        </w:tc>
      </w:tr>
      <w:tr>
        <w:tc>
          <w:tcPr>
            <w:tcW w:type="dxa" w:w="800"/>
            <w:tcMar>
              <w:top w:type="dxa" w:w="80"/>
              <w:left w:type="dxa" w:w="120"/>
              <w:bottom w:type="dxa" w:w="80"/>
              <w:right w:type="dxa" w:w="120"/>
            </w:tcMar>
          </w:tcPr>
          <w:p>
            <w:pPr>
              <w:jc w:val="left"/>
            </w:pPr>
            <w:r>
              <w:rPr>
                <w:b w:val="false"/>
                <w:bCs w:val="false"/>
                <w:color w:val="000000"/>
                <w:sz w:val="20"/>
                <w:szCs w:val="20"/>
              </w:rPr>
              <w:t xml:space="preserve">R-02</w:t>
            </w:r>
          </w:p>
        </w:tc>
        <w:tc>
          <w:tcPr>
            <w:tcW w:type="dxa" w:w="2400"/>
            <w:tcMar>
              <w:top w:type="dxa" w:w="80"/>
              <w:left w:type="dxa" w:w="120"/>
              <w:bottom w:type="dxa" w:w="80"/>
              <w:right w:type="dxa" w:w="120"/>
            </w:tcMar>
          </w:tcPr>
          <w:p>
            <w:pPr>
              <w:jc w:val="left"/>
            </w:pPr>
            <w:r>
              <w:rPr>
                <w:b w:val="false"/>
                <w:bCs w:val="false"/>
                <w:color w:val="000000"/>
                <w:sz w:val="20"/>
                <w:szCs w:val="20"/>
              </w:rPr>
              <w:t xml:space="preserve">loan-service livré en retard</w:t>
            </w:r>
          </w:p>
        </w:tc>
        <w:tc>
          <w:tcPr>
            <w:tcW w:type="dxa" w:w="1400"/>
            <w:tcMar>
              <w:top w:type="dxa" w:w="80"/>
              <w:left w:type="dxa" w:w="120"/>
              <w:bottom w:type="dxa" w:w="80"/>
              <w:right w:type="dxa" w:w="120"/>
            </w:tcMar>
          </w:tcPr>
          <w:p>
            <w:pPr>
              <w:jc w:val="left"/>
            </w:pPr>
            <w:r>
              <w:rPr>
                <w:b w:val="false"/>
                <w:bCs w:val="false"/>
                <w:color w:val="000000"/>
                <w:sz w:val="20"/>
                <w:szCs w:val="20"/>
              </w:rPr>
              <w:t xml:space="preserve">Moyenne</w:t>
            </w:r>
          </w:p>
        </w:tc>
        <w:tc>
          <w:tcPr>
            <w:tcW w:type="dxa" w:w="1200"/>
            <w:tcMar>
              <w:top w:type="dxa" w:w="80"/>
              <w:left w:type="dxa" w:w="120"/>
              <w:bottom w:type="dxa" w:w="80"/>
              <w:right w:type="dxa" w:w="120"/>
            </w:tcMar>
          </w:tcPr>
          <w:p>
            <w:pPr>
              <w:jc w:val="left"/>
            </w:pPr>
            <w:r>
              <w:rPr>
                <w:b w:val="false"/>
                <w:bCs w:val="false"/>
                <w:color w:val="000000"/>
                <w:sz w:val="20"/>
                <w:szCs w:val="20"/>
              </w:rPr>
              <w:t xml:space="preserve">Fort</w:t>
            </w:r>
          </w:p>
        </w:tc>
        <w:tc>
          <w:tcPr>
            <w:tcW w:type="dxa" w:w="3400"/>
            <w:tcMar>
              <w:top w:type="dxa" w:w="80"/>
              <w:left w:type="dxa" w:w="120"/>
              <w:bottom w:type="dxa" w:w="80"/>
              <w:right w:type="dxa" w:w="120"/>
            </w:tcMar>
          </w:tcPr>
          <w:p>
            <w:pPr>
              <w:jc w:val="left"/>
            </w:pPr>
            <w:r>
              <w:rPr>
                <w:b w:val="false"/>
                <w:bCs w:val="false"/>
                <w:color w:val="000000"/>
                <w:sz w:val="20"/>
                <w:szCs w:val="20"/>
              </w:rPr>
              <w:t xml:space="preserve">Mode simulé activé par défaut ; injection réelle différable.</w:t>
            </w:r>
          </w:p>
        </w:tc>
      </w:tr>
      <w:tr>
        <w:tc>
          <w:tcPr>
            <w:tcW w:type="dxa" w:w="800"/>
            <w:tcMar>
              <w:top w:type="dxa" w:w="80"/>
              <w:left w:type="dxa" w:w="120"/>
              <w:bottom w:type="dxa" w:w="80"/>
              <w:right w:type="dxa" w:w="120"/>
            </w:tcMar>
          </w:tcPr>
          <w:p>
            <w:pPr>
              <w:jc w:val="left"/>
            </w:pPr>
            <w:r>
              <w:rPr>
                <w:b w:val="false"/>
                <w:bCs w:val="false"/>
                <w:color w:val="000000"/>
                <w:sz w:val="20"/>
                <w:szCs w:val="20"/>
              </w:rPr>
              <w:t xml:space="preserve">R-03</w:t>
            </w:r>
          </w:p>
        </w:tc>
        <w:tc>
          <w:tcPr>
            <w:tcW w:type="dxa" w:w="2400"/>
            <w:tcMar>
              <w:top w:type="dxa" w:w="80"/>
              <w:left w:type="dxa" w:w="120"/>
              <w:bottom w:type="dxa" w:w="80"/>
              <w:right w:type="dxa" w:w="120"/>
            </w:tcMar>
          </w:tcPr>
          <w:p>
            <w:pPr>
              <w:jc w:val="left"/>
            </w:pPr>
            <w:r>
              <w:rPr>
                <w:b w:val="false"/>
                <w:bCs w:val="false"/>
                <w:color w:val="000000"/>
                <w:sz w:val="20"/>
                <w:szCs w:val="20"/>
              </w:rPr>
              <w:t xml:space="preserve">Divergence nomenclature produit (Nano/Micro/Macro)</w:t>
            </w:r>
          </w:p>
        </w:tc>
        <w:tc>
          <w:tcPr>
            <w:tcW w:type="dxa" w:w="1400"/>
            <w:tcMar>
              <w:top w:type="dxa" w:w="80"/>
              <w:left w:type="dxa" w:w="120"/>
              <w:bottom w:type="dxa" w:w="80"/>
              <w:right w:type="dxa" w:w="120"/>
            </w:tcMar>
          </w:tcPr>
          <w:p>
            <w:pPr>
              <w:jc w:val="left"/>
            </w:pPr>
            <w:r>
              <w:rPr>
                <w:b w:val="false"/>
                <w:bCs w:val="false"/>
                <w:color w:val="000000"/>
                <w:sz w:val="20"/>
                <w:szCs w:val="20"/>
              </w:rPr>
              <w:t xml:space="preserve">Élevée</w:t>
            </w:r>
          </w:p>
        </w:tc>
        <w:tc>
          <w:tcPr>
            <w:tcW w:type="dxa" w:w="1200"/>
            <w:tcMar>
              <w:top w:type="dxa" w:w="80"/>
              <w:left w:type="dxa" w:w="120"/>
              <w:bottom w:type="dxa" w:w="80"/>
              <w:right w:type="dxa" w:w="120"/>
            </w:tcMar>
          </w:tcPr>
          <w:p>
            <w:pPr>
              <w:jc w:val="left"/>
            </w:pPr>
            <w:r>
              <w:rPr>
                <w:b w:val="false"/>
                <w:bCs w:val="false"/>
                <w:color w:val="000000"/>
                <w:sz w:val="20"/>
                <w:szCs w:val="20"/>
              </w:rPr>
              <w:t xml:space="preserve">Moyen</w:t>
            </w:r>
          </w:p>
        </w:tc>
        <w:tc>
          <w:tcPr>
            <w:tcW w:type="dxa" w:w="3400"/>
            <w:tcMar>
              <w:top w:type="dxa" w:w="80"/>
              <w:left w:type="dxa" w:w="120"/>
              <w:bottom w:type="dxa" w:w="80"/>
              <w:right w:type="dxa" w:w="120"/>
            </w:tcMar>
          </w:tcPr>
          <w:p>
            <w:pPr>
              <w:jc w:val="left"/>
            </w:pPr>
            <w:r>
              <w:rPr>
                <w:b w:val="false"/>
                <w:bCs w:val="false"/>
                <w:color w:val="000000"/>
                <w:sz w:val="20"/>
                <w:szCs w:val="20"/>
              </w:rPr>
              <w:t xml:space="preserve">Question portée au meeting du 17/07 pour arbitrage. Résolue en v1.2 par le catalogue officiel Nano/Macro/BNPL/ReadyToGo.</w:t>
            </w:r>
          </w:p>
        </w:tc>
      </w:tr>
      <w:tr>
        <w:tc>
          <w:tcPr>
            <w:tcW w:type="dxa" w:w="800"/>
            <w:tcMar>
              <w:top w:type="dxa" w:w="80"/>
              <w:left w:type="dxa" w:w="120"/>
              <w:bottom w:type="dxa" w:w="80"/>
              <w:right w:type="dxa" w:w="120"/>
            </w:tcMar>
          </w:tcPr>
          <w:p>
            <w:pPr>
              <w:jc w:val="left"/>
            </w:pPr>
            <w:r>
              <w:rPr>
                <w:b w:val="false"/>
                <w:bCs w:val="false"/>
                <w:color w:val="000000"/>
                <w:sz w:val="20"/>
                <w:szCs w:val="20"/>
              </w:rPr>
              <w:t xml:space="preserve">R-04</w:t>
            </w:r>
          </w:p>
        </w:tc>
        <w:tc>
          <w:tcPr>
            <w:tcW w:type="dxa" w:w="2400"/>
            <w:tcMar>
              <w:top w:type="dxa" w:w="80"/>
              <w:left w:type="dxa" w:w="120"/>
              <w:bottom w:type="dxa" w:w="80"/>
              <w:right w:type="dxa" w:w="120"/>
            </w:tcMar>
          </w:tcPr>
          <w:p>
            <w:pPr>
              <w:jc w:val="left"/>
            </w:pPr>
            <w:r>
              <w:rPr>
                <w:b w:val="false"/>
                <w:bCs w:val="false"/>
                <w:color w:val="000000"/>
                <w:sz w:val="20"/>
                <w:szCs w:val="20"/>
              </w:rPr>
              <w:t xml:space="preserve">Volume de production supérieur aux capacités Faker</w:t>
            </w:r>
          </w:p>
        </w:tc>
        <w:tc>
          <w:tcPr>
            <w:tcW w:type="dxa" w:w="1400"/>
            <w:tcMar>
              <w:top w:type="dxa" w:w="80"/>
              <w:left w:type="dxa" w:w="120"/>
              <w:bottom w:type="dxa" w:w="80"/>
              <w:right w:type="dxa" w:w="120"/>
            </w:tcMar>
          </w:tcPr>
          <w:p>
            <w:pPr>
              <w:jc w:val="left"/>
            </w:pPr>
            <w:r>
              <w:rPr>
                <w:b w:val="false"/>
                <w:bCs w:val="false"/>
                <w:color w:val="000000"/>
                <w:sz w:val="20"/>
                <w:szCs w:val="20"/>
              </w:rPr>
              <w:t xml:space="preserve">Faible</w:t>
            </w:r>
          </w:p>
        </w:tc>
        <w:tc>
          <w:tcPr>
            <w:tcW w:type="dxa" w:w="1200"/>
            <w:tcMar>
              <w:top w:type="dxa" w:w="80"/>
              <w:left w:type="dxa" w:w="120"/>
              <w:bottom w:type="dxa" w:w="80"/>
              <w:right w:type="dxa" w:w="120"/>
            </w:tcMar>
          </w:tcPr>
          <w:p>
            <w:pPr>
              <w:jc w:val="left"/>
            </w:pPr>
            <w:r>
              <w:rPr>
                <w:b w:val="false"/>
                <w:bCs w:val="false"/>
                <w:color w:val="000000"/>
                <w:sz w:val="20"/>
                <w:szCs w:val="20"/>
              </w:rPr>
              <w:t xml:space="preserve">Moyen</w:t>
            </w:r>
          </w:p>
        </w:tc>
        <w:tc>
          <w:tcPr>
            <w:tcW w:type="dxa" w:w="3400"/>
            <w:tcMar>
              <w:top w:type="dxa" w:w="80"/>
              <w:left w:type="dxa" w:w="120"/>
              <w:bottom w:type="dxa" w:w="80"/>
              <w:right w:type="dxa" w:w="120"/>
            </w:tcMar>
          </w:tcPr>
          <w:p>
            <w:pPr>
              <w:jc w:val="left"/>
            </w:pPr>
            <w:r>
              <w:rPr>
                <w:b w:val="false"/>
                <w:bCs w:val="false"/>
                <w:color w:val="000000"/>
                <w:sz w:val="20"/>
                <w:szCs w:val="20"/>
              </w:rPr>
              <w:t xml:space="preserve">Rate limiting côté client ; batchage progressif.</w:t>
            </w:r>
          </w:p>
        </w:tc>
      </w:tr>
      <w:tr>
        <w:tc>
          <w:tcPr>
            <w:tcW w:type="dxa" w:w="800"/>
            <w:tcMar>
              <w:top w:type="dxa" w:w="80"/>
              <w:left w:type="dxa" w:w="120"/>
              <w:bottom w:type="dxa" w:w="80"/>
              <w:right w:type="dxa" w:w="120"/>
            </w:tcMar>
          </w:tcPr>
          <w:p>
            <w:pPr>
              <w:jc w:val="left"/>
            </w:pPr>
            <w:r>
              <w:rPr>
                <w:b w:val="false"/>
                <w:bCs w:val="false"/>
                <w:color w:val="000000"/>
                <w:sz w:val="20"/>
                <w:szCs w:val="20"/>
              </w:rPr>
              <w:t xml:space="preserve">R-05</w:t>
            </w:r>
          </w:p>
        </w:tc>
        <w:tc>
          <w:tcPr>
            <w:tcW w:type="dxa" w:w="2400"/>
            <w:tcMar>
              <w:top w:type="dxa" w:w="80"/>
              <w:left w:type="dxa" w:w="120"/>
              <w:bottom w:type="dxa" w:w="80"/>
              <w:right w:type="dxa" w:w="120"/>
            </w:tcMar>
          </w:tcPr>
          <w:p>
            <w:pPr>
              <w:jc w:val="left"/>
            </w:pPr>
            <w:r>
              <w:rPr>
                <w:b w:val="false"/>
                <w:bCs w:val="false"/>
                <w:color w:val="000000"/>
                <w:sz w:val="20"/>
                <w:szCs w:val="20"/>
              </w:rPr>
              <w:t xml:space="preserve">Blocage APISIX sur services amont pendant l'exécution</w:t>
            </w:r>
          </w:p>
        </w:tc>
        <w:tc>
          <w:tcPr>
            <w:tcW w:type="dxa" w:w="1400"/>
            <w:tcMar>
              <w:top w:type="dxa" w:w="80"/>
              <w:left w:type="dxa" w:w="120"/>
              <w:bottom w:type="dxa" w:w="80"/>
              <w:right w:type="dxa" w:w="120"/>
            </w:tcMar>
          </w:tcPr>
          <w:p>
            <w:pPr>
              <w:jc w:val="left"/>
            </w:pPr>
            <w:r>
              <w:rPr>
                <w:b w:val="false"/>
                <w:bCs w:val="false"/>
                <w:color w:val="000000"/>
                <w:sz w:val="20"/>
                <w:szCs w:val="20"/>
              </w:rPr>
              <w:t xml:space="preserve">Faible</w:t>
            </w:r>
          </w:p>
        </w:tc>
        <w:tc>
          <w:tcPr>
            <w:tcW w:type="dxa" w:w="1200"/>
            <w:tcMar>
              <w:top w:type="dxa" w:w="80"/>
              <w:left w:type="dxa" w:w="120"/>
              <w:bottom w:type="dxa" w:w="80"/>
              <w:right w:type="dxa" w:w="120"/>
            </w:tcMar>
          </w:tcPr>
          <w:p>
            <w:pPr>
              <w:jc w:val="left"/>
            </w:pPr>
            <w:r>
              <w:rPr>
                <w:b w:val="false"/>
                <w:bCs w:val="false"/>
                <w:color w:val="000000"/>
                <w:sz w:val="20"/>
                <w:szCs w:val="20"/>
              </w:rPr>
              <w:t xml:space="preserve">Fort</w:t>
            </w:r>
          </w:p>
        </w:tc>
        <w:tc>
          <w:tcPr>
            <w:tcW w:type="dxa" w:w="3400"/>
            <w:tcMar>
              <w:top w:type="dxa" w:w="80"/>
              <w:left w:type="dxa" w:w="120"/>
              <w:bottom w:type="dxa" w:w="80"/>
              <w:right w:type="dxa" w:w="120"/>
            </w:tcMar>
          </w:tcPr>
          <w:p>
            <w:pPr>
              <w:jc w:val="left"/>
            </w:pPr>
            <w:r>
              <w:rPr>
                <w:b w:val="false"/>
                <w:bCs w:val="false"/>
                <w:color w:val="000000"/>
                <w:sz w:val="20"/>
                <w:szCs w:val="20"/>
              </w:rPr>
              <w:t xml:space="preserve">Retry avec backoff exponentiel ; journalisation dédiée.</w:t>
            </w:r>
          </w:p>
        </w:tc>
      </w:tr>
      <w:tr>
        <w:tc>
          <w:tcPr>
            <w:tcW w:type="dxa" w:w="800"/>
            <w:tcMar>
              <w:top w:type="dxa" w:w="80"/>
              <w:left w:type="dxa" w:w="120"/>
              <w:bottom w:type="dxa" w:w="80"/>
              <w:right w:type="dxa" w:w="120"/>
            </w:tcMar>
          </w:tcPr>
          <w:p>
            <w:pPr>
              <w:jc w:val="left"/>
            </w:pPr>
            <w:r>
              <w:rPr>
                <w:b w:val="false"/>
                <w:bCs w:val="false"/>
                <w:color w:val="000000"/>
                <w:sz w:val="20"/>
                <w:szCs w:val="20"/>
              </w:rPr>
              <w:t xml:space="preserve">R-06</w:t>
            </w:r>
          </w:p>
        </w:tc>
        <w:tc>
          <w:tcPr>
            <w:tcW w:type="dxa" w:w="2400"/>
            <w:tcMar>
              <w:top w:type="dxa" w:w="80"/>
              <w:left w:type="dxa" w:w="120"/>
              <w:bottom w:type="dxa" w:w="80"/>
              <w:right w:type="dxa" w:w="120"/>
            </w:tcMar>
          </w:tcPr>
          <w:p>
            <w:pPr>
              <w:jc w:val="left"/>
            </w:pPr>
            <w:r>
              <w:rPr>
                <w:b w:val="false"/>
                <w:bCs w:val="false"/>
                <w:color w:val="000000"/>
                <w:sz w:val="20"/>
                <w:szCs w:val="20"/>
              </w:rPr>
              <w:t xml:space="preserve">Utilisation involontaire en environnement de production</w:t>
            </w:r>
          </w:p>
        </w:tc>
        <w:tc>
          <w:tcPr>
            <w:tcW w:type="dxa" w:w="1400"/>
            <w:tcMar>
              <w:top w:type="dxa" w:w="80"/>
              <w:left w:type="dxa" w:w="120"/>
              <w:bottom w:type="dxa" w:w="80"/>
              <w:right w:type="dxa" w:w="120"/>
            </w:tcMar>
          </w:tcPr>
          <w:p>
            <w:pPr>
              <w:jc w:val="left"/>
            </w:pPr>
            <w:r>
              <w:rPr>
                <w:b w:val="false"/>
                <w:bCs w:val="false"/>
                <w:color w:val="000000"/>
                <w:sz w:val="20"/>
                <w:szCs w:val="20"/>
              </w:rPr>
              <w:t xml:space="preserve">Faible</w:t>
            </w:r>
          </w:p>
        </w:tc>
        <w:tc>
          <w:tcPr>
            <w:tcW w:type="dxa" w:w="1200"/>
            <w:tcMar>
              <w:top w:type="dxa" w:w="80"/>
              <w:left w:type="dxa" w:w="120"/>
              <w:bottom w:type="dxa" w:w="80"/>
              <w:right w:type="dxa" w:w="120"/>
            </w:tcMar>
          </w:tcPr>
          <w:p>
            <w:pPr>
              <w:jc w:val="left"/>
            </w:pPr>
            <w:r>
              <w:rPr>
                <w:b w:val="false"/>
                <w:bCs w:val="false"/>
                <w:color w:val="000000"/>
                <w:sz w:val="20"/>
                <w:szCs w:val="20"/>
              </w:rPr>
              <w:t xml:space="preserve">Critique</w:t>
            </w:r>
          </w:p>
        </w:tc>
        <w:tc>
          <w:tcPr>
            <w:tcW w:type="dxa" w:w="3400"/>
            <w:tcMar>
              <w:top w:type="dxa" w:w="80"/>
              <w:left w:type="dxa" w:w="120"/>
              <w:bottom w:type="dxa" w:w="80"/>
              <w:right w:type="dxa" w:w="120"/>
            </w:tcMar>
          </w:tcPr>
          <w:p>
            <w:pPr>
              <w:jc w:val="left"/>
            </w:pPr>
            <w:r>
              <w:rPr>
                <w:b w:val="false"/>
                <w:bCs w:val="false"/>
                <w:color w:val="000000"/>
                <w:sz w:val="20"/>
                <w:szCs w:val="20"/>
              </w:rPr>
              <w:t xml:space="preserve">Vérification stricte du domaine cible ; blocage en dur.</w:t>
            </w:r>
          </w:p>
        </w:tc>
      </w:tr>
      <w:tr>
        <w:tc>
          <w:tcPr>
            <w:tcW w:type="dxa" w:w="800"/>
            <w:tcMar>
              <w:top w:type="dxa" w:w="80"/>
              <w:left w:type="dxa" w:w="120"/>
              <w:bottom w:type="dxa" w:w="80"/>
              <w:right w:type="dxa" w:w="120"/>
            </w:tcMar>
          </w:tcPr>
          <w:p>
            <w:pPr>
              <w:jc w:val="left"/>
            </w:pPr>
            <w:r>
              <w:rPr>
                <w:b w:val="false"/>
                <w:bCs w:val="false"/>
                <w:color w:val="000000"/>
                <w:sz w:val="20"/>
                <w:szCs w:val="20"/>
              </w:rPr>
              <w:t xml:space="preserve">R-07</w:t>
            </w:r>
          </w:p>
        </w:tc>
        <w:tc>
          <w:tcPr>
            <w:tcW w:type="dxa" w:w="2400"/>
            <w:tcMar>
              <w:top w:type="dxa" w:w="80"/>
              <w:left w:type="dxa" w:w="120"/>
              <w:bottom w:type="dxa" w:w="80"/>
              <w:right w:type="dxa" w:w="120"/>
            </w:tcMar>
          </w:tcPr>
          <w:p>
            <w:pPr>
              <w:jc w:val="left"/>
            </w:pPr>
            <w:r>
              <w:rPr>
                <w:b w:val="false"/>
                <w:bCs w:val="false"/>
                <w:color w:val="000000"/>
                <w:sz w:val="20"/>
                <w:szCs w:val="20"/>
              </w:rPr>
              <w:t xml:space="preserve">Doublons entre exécutions successives</w:t>
            </w:r>
          </w:p>
        </w:tc>
        <w:tc>
          <w:tcPr>
            <w:tcW w:type="dxa" w:w="1400"/>
            <w:tcMar>
              <w:top w:type="dxa" w:w="80"/>
              <w:left w:type="dxa" w:w="120"/>
              <w:bottom w:type="dxa" w:w="80"/>
              <w:right w:type="dxa" w:w="120"/>
            </w:tcMar>
          </w:tcPr>
          <w:p>
            <w:pPr>
              <w:jc w:val="left"/>
            </w:pPr>
            <w:r>
              <w:rPr>
                <w:b w:val="false"/>
                <w:bCs w:val="false"/>
                <w:color w:val="000000"/>
                <w:sz w:val="20"/>
                <w:szCs w:val="20"/>
              </w:rPr>
              <w:t xml:space="preserve">Moyenne</w:t>
            </w:r>
          </w:p>
        </w:tc>
        <w:tc>
          <w:tcPr>
            <w:tcW w:type="dxa" w:w="1200"/>
            <w:tcMar>
              <w:top w:type="dxa" w:w="80"/>
              <w:left w:type="dxa" w:w="120"/>
              <w:bottom w:type="dxa" w:w="80"/>
              <w:right w:type="dxa" w:w="120"/>
            </w:tcMar>
          </w:tcPr>
          <w:p>
            <w:pPr>
              <w:jc w:val="left"/>
            </w:pPr>
            <w:r>
              <w:rPr>
                <w:b w:val="false"/>
                <w:bCs w:val="false"/>
                <w:color w:val="000000"/>
                <w:sz w:val="20"/>
                <w:szCs w:val="20"/>
              </w:rPr>
              <w:t xml:space="preserve">Fort</w:t>
            </w:r>
          </w:p>
        </w:tc>
        <w:tc>
          <w:tcPr>
            <w:tcW w:type="dxa" w:w="3400"/>
            <w:tcMar>
              <w:top w:type="dxa" w:w="80"/>
              <w:left w:type="dxa" w:w="120"/>
              <w:bottom w:type="dxa" w:w="80"/>
              <w:right w:type="dxa" w:w="120"/>
            </w:tcMar>
          </w:tcPr>
          <w:p>
            <w:pPr>
              <w:jc w:val="left"/>
            </w:pPr>
            <w:r>
              <w:rPr>
                <w:b w:val="false"/>
                <w:bCs w:val="false"/>
                <w:color w:val="000000"/>
                <w:sz w:val="20"/>
                <w:szCs w:val="20"/>
              </w:rPr>
              <w:t xml:space="preserve">Préfixe unique par exécution ; contrôle d'idempotence.</w:t>
            </w:r>
          </w:p>
        </w:tc>
      </w:tr>
      <w:tr>
        <w:tc>
          <w:tcPr>
            <w:tcW w:type="dxa" w:w="800"/>
            <w:tcMar>
              <w:top w:type="dxa" w:w="80"/>
              <w:left w:type="dxa" w:w="120"/>
              <w:bottom w:type="dxa" w:w="80"/>
              <w:right w:type="dxa" w:w="120"/>
            </w:tcMar>
          </w:tcPr>
          <w:p>
            <w:pPr>
              <w:jc w:val="left"/>
            </w:pPr>
            <w:r>
              <w:rPr>
                <w:b w:val="false"/>
                <w:bCs w:val="false"/>
                <w:color w:val="000000"/>
                <w:sz w:val="20"/>
                <w:szCs w:val="20"/>
              </w:rPr>
              <w:t xml:space="preserve">R-08</w:t>
            </w:r>
          </w:p>
        </w:tc>
        <w:tc>
          <w:tcPr>
            <w:tcW w:type="dxa" w:w="2400"/>
            <w:tcMar>
              <w:top w:type="dxa" w:w="80"/>
              <w:left w:type="dxa" w:w="120"/>
              <w:bottom w:type="dxa" w:w="80"/>
              <w:right w:type="dxa" w:w="120"/>
            </w:tcMar>
          </w:tcPr>
          <w:p>
            <w:pPr>
              <w:jc w:val="left"/>
            </w:pPr>
            <w:r>
              <w:rPr>
                <w:b w:val="false"/>
                <w:bCs w:val="false"/>
                <w:color w:val="000000"/>
                <w:sz w:val="20"/>
                <w:szCs w:val="20"/>
              </w:rPr>
              <w:t xml:space="preserve">Non conformité plafond usure BEAC/COBAC</w:t>
            </w:r>
          </w:p>
        </w:tc>
        <w:tc>
          <w:tcPr>
            <w:tcW w:type="dxa" w:w="1400"/>
            <w:tcMar>
              <w:top w:type="dxa" w:w="80"/>
              <w:left w:type="dxa" w:w="120"/>
              <w:bottom w:type="dxa" w:w="80"/>
              <w:right w:type="dxa" w:w="120"/>
            </w:tcMar>
          </w:tcPr>
          <w:p>
            <w:pPr>
              <w:jc w:val="left"/>
            </w:pPr>
            <w:r>
              <w:rPr>
                <w:b w:val="false"/>
                <w:bCs w:val="false"/>
                <w:color w:val="000000"/>
                <w:sz w:val="20"/>
                <w:szCs w:val="20"/>
              </w:rPr>
              <w:t xml:space="preserve">Faible</w:t>
            </w:r>
          </w:p>
        </w:tc>
        <w:tc>
          <w:tcPr>
            <w:tcW w:type="dxa" w:w="1200"/>
            <w:tcMar>
              <w:top w:type="dxa" w:w="80"/>
              <w:left w:type="dxa" w:w="120"/>
              <w:bottom w:type="dxa" w:w="80"/>
              <w:right w:type="dxa" w:w="120"/>
            </w:tcMar>
          </w:tcPr>
          <w:p>
            <w:pPr>
              <w:jc w:val="left"/>
            </w:pPr>
            <w:r>
              <w:rPr>
                <w:b w:val="false"/>
                <w:bCs w:val="false"/>
                <w:color w:val="000000"/>
                <w:sz w:val="20"/>
                <w:szCs w:val="20"/>
              </w:rPr>
              <w:t xml:space="preserve">Critique</w:t>
            </w:r>
          </w:p>
        </w:tc>
        <w:tc>
          <w:tcPr>
            <w:tcW w:type="dxa" w:w="3400"/>
            <w:tcMar>
              <w:top w:type="dxa" w:w="80"/>
              <w:left w:type="dxa" w:w="120"/>
              <w:bottom w:type="dxa" w:w="80"/>
              <w:right w:type="dxa" w:w="120"/>
            </w:tcMar>
          </w:tcPr>
          <w:p>
            <w:pPr>
              <w:jc w:val="left"/>
            </w:pPr>
            <w:r>
              <w:rPr>
                <w:b w:val="false"/>
                <w:bCs w:val="false"/>
                <w:color w:val="000000"/>
                <w:sz w:val="20"/>
                <w:szCs w:val="20"/>
              </w:rPr>
              <w:t xml:space="preserve">Validation stricte des taux en amont d'injection.</w:t>
            </w:r>
          </w:p>
        </w:tc>
      </w:tr>
      <w:tr>
        <w:tc>
          <w:tcPr>
            <w:tcW w:type="dxa" w:w="800"/>
            <w:shd w:fill="E8F5E9" w:val="clear"/>
            <w:tcMar>
              <w:top w:type="dxa" w:w="80"/>
              <w:left w:type="dxa" w:w="120"/>
              <w:bottom w:type="dxa" w:w="80"/>
              <w:right w:type="dxa" w:w="120"/>
            </w:tcMar>
          </w:tcPr>
          <w:p>
            <w:pPr>
              <w:jc w:val="left"/>
            </w:pPr>
            <w:r>
              <w:rPr>
                <w:b/>
                <w:bCs/>
                <w:color w:val="000000"/>
                <w:sz w:val="20"/>
                <w:szCs w:val="20"/>
              </w:rPr>
              <w:t xml:space="preserve">R-09</w:t>
            </w:r>
          </w:p>
        </w:tc>
        <w:tc>
          <w:tcPr>
            <w:tcW w:type="dxa" w:w="2400"/>
            <w:shd w:fill="E8F5E9" w:val="clear"/>
            <w:tcMar>
              <w:top w:type="dxa" w:w="80"/>
              <w:left w:type="dxa" w:w="120"/>
              <w:bottom w:type="dxa" w:w="80"/>
              <w:right w:type="dxa" w:w="120"/>
            </w:tcMar>
          </w:tcPr>
          <w:p>
            <w:pPr>
              <w:jc w:val="left"/>
            </w:pPr>
            <w:r>
              <w:rPr>
                <w:b/>
                <w:bCs/>
                <w:color w:val="000000"/>
                <w:sz w:val="20"/>
                <w:szCs w:val="20"/>
              </w:rPr>
              <w:t xml:space="preserve">Distribution comportementale non représentative</w:t>
            </w:r>
          </w:p>
        </w:tc>
        <w:tc>
          <w:tcPr>
            <w:tcW w:type="dxa" w:w="1400"/>
            <w:shd w:fill="E8F5E9" w:val="clear"/>
            <w:tcMar>
              <w:top w:type="dxa" w:w="80"/>
              <w:left w:type="dxa" w:w="120"/>
              <w:bottom w:type="dxa" w:w="80"/>
              <w:right w:type="dxa" w:w="120"/>
            </w:tcMar>
          </w:tcPr>
          <w:p>
            <w:pPr>
              <w:jc w:val="left"/>
            </w:pPr>
            <w:r>
              <w:rPr>
                <w:b w:val="false"/>
                <w:bCs w:val="false"/>
                <w:color w:val="000000"/>
                <w:sz w:val="20"/>
                <w:szCs w:val="20"/>
              </w:rPr>
              <w:t xml:space="preserve">Moyenne</w:t>
            </w:r>
          </w:p>
        </w:tc>
        <w:tc>
          <w:tcPr>
            <w:tcW w:type="dxa" w:w="1200"/>
            <w:shd w:fill="E8F5E9" w:val="clear"/>
            <w:tcMar>
              <w:top w:type="dxa" w:w="80"/>
              <w:left w:type="dxa" w:w="120"/>
              <w:bottom w:type="dxa" w:w="80"/>
              <w:right w:type="dxa" w:w="120"/>
            </w:tcMar>
          </w:tcPr>
          <w:p>
            <w:pPr>
              <w:jc w:val="left"/>
            </w:pPr>
            <w:r>
              <w:rPr>
                <w:b w:val="false"/>
                <w:bCs w:val="false"/>
                <w:color w:val="000000"/>
                <w:sz w:val="20"/>
                <w:szCs w:val="20"/>
              </w:rPr>
              <w:t xml:space="preserve">Moyen</w:t>
            </w:r>
          </w:p>
        </w:tc>
        <w:tc>
          <w:tcPr>
            <w:tcW w:type="dxa" w:w="3400"/>
            <w:shd w:fill="E8F5E9" w:val="clear"/>
            <w:tcMar>
              <w:top w:type="dxa" w:w="80"/>
              <w:left w:type="dxa" w:w="120"/>
              <w:bottom w:type="dxa" w:w="80"/>
              <w:right w:type="dxa" w:w="120"/>
            </w:tcMar>
          </w:tcPr>
          <w:p>
            <w:pPr>
              <w:jc w:val="left"/>
            </w:pPr>
            <w:r>
              <w:rPr>
                <w:b w:val="false"/>
                <w:bCs w:val="false"/>
                <w:color w:val="000000"/>
                <w:sz w:val="20"/>
                <w:szCs w:val="20"/>
              </w:rPr>
              <w:t xml:space="preserve">AJOUT V1.2 — Contrôle statistique en fin de génération contre les poids configurés ; alerte si écart supérieur à 3 pour cent.</w:t>
            </w:r>
          </w:p>
        </w:tc>
      </w:tr>
      <w:tr>
        <w:tc>
          <w:tcPr>
            <w:tcW w:type="dxa" w:w="800"/>
            <w:shd w:fill="E8F5E9" w:val="clear"/>
            <w:tcMar>
              <w:top w:type="dxa" w:w="80"/>
              <w:left w:type="dxa" w:w="120"/>
              <w:bottom w:type="dxa" w:w="80"/>
              <w:right w:type="dxa" w:w="120"/>
            </w:tcMar>
          </w:tcPr>
          <w:p>
            <w:pPr>
              <w:jc w:val="left"/>
            </w:pPr>
            <w:r>
              <w:rPr>
                <w:b/>
                <w:bCs/>
                <w:color w:val="000000"/>
                <w:sz w:val="20"/>
                <w:szCs w:val="20"/>
              </w:rPr>
              <w:t xml:space="preserve">R-10</w:t>
            </w:r>
          </w:p>
        </w:tc>
        <w:tc>
          <w:tcPr>
            <w:tcW w:type="dxa" w:w="2400"/>
            <w:shd w:fill="E8F5E9" w:val="clear"/>
            <w:tcMar>
              <w:top w:type="dxa" w:w="80"/>
              <w:left w:type="dxa" w:w="120"/>
              <w:bottom w:type="dxa" w:w="80"/>
              <w:right w:type="dxa" w:w="120"/>
            </w:tcMar>
          </w:tcPr>
          <w:p>
            <w:pPr>
              <w:jc w:val="left"/>
            </w:pPr>
            <w:r>
              <w:rPr>
                <w:b/>
                <w:bCs/>
                <w:color w:val="000000"/>
                <w:sz w:val="20"/>
                <w:szCs w:val="20"/>
              </w:rPr>
              <w:t xml:space="preserve">PAR/DPD généré non crédible pour démonstration</w:t>
            </w:r>
          </w:p>
        </w:tc>
        <w:tc>
          <w:tcPr>
            <w:tcW w:type="dxa" w:w="1400"/>
            <w:shd w:fill="E8F5E9" w:val="clear"/>
            <w:tcMar>
              <w:top w:type="dxa" w:w="80"/>
              <w:left w:type="dxa" w:w="120"/>
              <w:bottom w:type="dxa" w:w="80"/>
              <w:right w:type="dxa" w:w="120"/>
            </w:tcMar>
          </w:tcPr>
          <w:p>
            <w:pPr>
              <w:jc w:val="left"/>
            </w:pPr>
            <w:r>
              <w:rPr>
                <w:b w:val="false"/>
                <w:bCs w:val="false"/>
                <w:color w:val="000000"/>
                <w:sz w:val="20"/>
                <w:szCs w:val="20"/>
              </w:rPr>
              <w:t xml:space="preserve">Faible</w:t>
            </w:r>
          </w:p>
        </w:tc>
        <w:tc>
          <w:tcPr>
            <w:tcW w:type="dxa" w:w="1200"/>
            <w:shd w:fill="E8F5E9" w:val="clear"/>
            <w:tcMar>
              <w:top w:type="dxa" w:w="80"/>
              <w:left w:type="dxa" w:w="120"/>
              <w:bottom w:type="dxa" w:w="80"/>
              <w:right w:type="dxa" w:w="120"/>
            </w:tcMar>
          </w:tcPr>
          <w:p>
            <w:pPr>
              <w:jc w:val="left"/>
            </w:pPr>
            <w:r>
              <w:rPr>
                <w:b w:val="false"/>
                <w:bCs w:val="false"/>
                <w:color w:val="000000"/>
                <w:sz w:val="20"/>
                <w:szCs w:val="20"/>
              </w:rPr>
              <w:t xml:space="preserve">Fort</w:t>
            </w:r>
          </w:p>
        </w:tc>
        <w:tc>
          <w:tcPr>
            <w:tcW w:type="dxa" w:w="3400"/>
            <w:shd w:fill="E8F5E9" w:val="clear"/>
            <w:tcMar>
              <w:top w:type="dxa" w:w="80"/>
              <w:left w:type="dxa" w:w="120"/>
              <w:bottom w:type="dxa" w:w="80"/>
              <w:right w:type="dxa" w:w="120"/>
            </w:tcMar>
          </w:tcPr>
          <w:p>
            <w:pPr>
              <w:jc w:val="left"/>
            </w:pPr>
            <w:r>
              <w:rPr>
                <w:b w:val="false"/>
                <w:bCs w:val="false"/>
                <w:color w:val="000000"/>
                <w:sz w:val="20"/>
                <w:szCs w:val="20"/>
              </w:rPr>
              <w:t xml:space="preserve">AJOUT V1.2 — Validation des indicateurs contre les seuils standards microfinance avant chaque démonstration commerciale.</w:t>
            </w:r>
          </w:p>
        </w:tc>
      </w:tr>
    </w:tbl>
    <w:p>
      <w:r>
        <w:br w:type="page"/>
      </w:r>
    </w:p>
    <w:p>
      <w:pPr>
        <w:pStyle w:val="Heading1"/>
        <w:spacing w:after="240" w:before="480"/>
      </w:pPr>
      <w:r>
        <w:rPr>
          <w:b/>
          <w:bCs/>
          <w:color w:val="6B2E9E"/>
          <w:sz w:val="32"/>
          <w:szCs w:val="32"/>
        </w:rPr>
        <w:t xml:space="preserve">11. Livrables et jalons</w:t>
      </w:r>
    </w:p>
    <w:p>
      <w:pPr>
        <w:pStyle w:val="Heading2"/>
        <w:spacing w:after="180" w:before="360"/>
      </w:pPr>
      <w:r>
        <w:rPr>
          <w:b/>
          <w:bCs/>
          <w:color w:val="6B2E9E"/>
          <w:sz w:val="26"/>
          <w:szCs w:val="26"/>
        </w:rPr>
        <w:t xml:space="preserve">11.1 Liste des livrables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6000"/>
        <w:gridCol w:w="2400"/>
      </w:tblGrid>
      <w:tr>
        <w:trPr>
          <w:tblHeader/>
        </w:trPr>
        <w:tc>
          <w:tcPr>
            <w:tcW w:type="dxa" w:w="800"/>
            <w:shd w:fill="6B2E9E" w:val="clear"/>
            <w:tcMar>
              <w:top w:type="dxa" w:w="100"/>
              <w:left w:type="dxa" w:w="120"/>
              <w:bottom w:type="dxa" w:w="100"/>
              <w:right w:type="dxa" w:w="120"/>
            </w:tcMar>
          </w:tcPr>
          <w:p>
            <w:pPr>
              <w:jc w:val="center"/>
            </w:pPr>
            <w:r>
              <w:rPr>
                <w:b/>
                <w:bCs/>
                <w:color w:val="FFFFFF"/>
                <w:sz w:val="20"/>
                <w:szCs w:val="20"/>
              </w:rPr>
              <w:t xml:space="preserve">ID</w:t>
            </w:r>
          </w:p>
        </w:tc>
        <w:tc>
          <w:tcPr>
            <w:tcW w:type="dxa" w:w="6000"/>
            <w:shd w:fill="6B2E9E" w:val="clear"/>
            <w:tcMar>
              <w:top w:type="dxa" w:w="100"/>
              <w:left w:type="dxa" w:w="120"/>
              <w:bottom w:type="dxa" w:w="100"/>
              <w:right w:type="dxa" w:w="120"/>
            </w:tcMar>
          </w:tcPr>
          <w:p>
            <w:pPr>
              <w:jc w:val="center"/>
            </w:pPr>
            <w:r>
              <w:rPr>
                <w:b/>
                <w:bCs/>
                <w:color w:val="FFFFFF"/>
                <w:sz w:val="20"/>
                <w:szCs w:val="20"/>
              </w:rPr>
              <w:t xml:space="preserve">Livrable</w:t>
            </w:r>
          </w:p>
        </w:tc>
        <w:tc>
          <w:tcPr>
            <w:tcW w:type="dxa" w:w="2400"/>
            <w:shd w:fill="6B2E9E" w:val="clear"/>
            <w:tcMar>
              <w:top w:type="dxa" w:w="100"/>
              <w:left w:type="dxa" w:w="120"/>
              <w:bottom w:type="dxa" w:w="100"/>
              <w:right w:type="dxa" w:w="120"/>
            </w:tcMar>
          </w:tcPr>
          <w:p>
            <w:pPr>
              <w:jc w:val="center"/>
            </w:pPr>
            <w:r>
              <w:rPr>
                <w:b/>
                <w:bCs/>
                <w:color w:val="FFFFFF"/>
                <w:sz w:val="20"/>
                <w:szCs w:val="20"/>
              </w:rPr>
              <w:t xml:space="preserve">Format</w:t>
            </w:r>
          </w:p>
        </w:tc>
      </w:tr>
      <w:tr>
        <w:tc>
          <w:tcPr>
            <w:tcW w:type="dxa" w:w="800"/>
            <w:tcMar>
              <w:top w:type="dxa" w:w="80"/>
              <w:left w:type="dxa" w:w="120"/>
              <w:bottom w:type="dxa" w:w="80"/>
              <w:right w:type="dxa" w:w="120"/>
            </w:tcMar>
          </w:tcPr>
          <w:p>
            <w:pPr>
              <w:jc w:val="left"/>
            </w:pPr>
            <w:r>
              <w:rPr>
                <w:b w:val="false"/>
                <w:bCs w:val="false"/>
                <w:color w:val="000000"/>
                <w:sz w:val="20"/>
                <w:szCs w:val="20"/>
              </w:rPr>
              <w:t xml:space="preserve">L-01</w:t>
            </w:r>
          </w:p>
        </w:tc>
        <w:tc>
          <w:tcPr>
            <w:tcW w:type="dxa" w:w="6000"/>
            <w:tcMar>
              <w:top w:type="dxa" w:w="80"/>
              <w:left w:type="dxa" w:w="120"/>
              <w:bottom w:type="dxa" w:w="80"/>
              <w:right w:type="dxa" w:w="120"/>
            </w:tcMar>
          </w:tcPr>
          <w:p>
            <w:pPr>
              <w:jc w:val="left"/>
            </w:pPr>
            <w:r>
              <w:rPr>
                <w:b w:val="false"/>
                <w:bCs w:val="false"/>
                <w:color w:val="000000"/>
                <w:sz w:val="20"/>
                <w:szCs w:val="20"/>
              </w:rPr>
              <w:t xml:space="preserve">Cahier des charges validé (le présent document)</w:t>
            </w:r>
          </w:p>
        </w:tc>
        <w:tc>
          <w:tcPr>
            <w:tcW w:type="dxa" w:w="2400"/>
            <w:tcMar>
              <w:top w:type="dxa" w:w="80"/>
              <w:left w:type="dxa" w:w="120"/>
              <w:bottom w:type="dxa" w:w="80"/>
              <w:right w:type="dxa" w:w="120"/>
            </w:tcMar>
          </w:tcPr>
          <w:p>
            <w:pPr>
              <w:jc w:val="left"/>
            </w:pPr>
            <w:r>
              <w:rPr>
                <w:b w:val="false"/>
                <w:bCs w:val="false"/>
                <w:color w:val="000000"/>
                <w:sz w:val="20"/>
                <w:szCs w:val="20"/>
              </w:rPr>
              <w:t xml:space="preserve">Word + Confluence</w:t>
            </w:r>
          </w:p>
        </w:tc>
      </w:tr>
      <w:tr>
        <w:tc>
          <w:tcPr>
            <w:tcW w:type="dxa" w:w="800"/>
            <w:tcMar>
              <w:top w:type="dxa" w:w="80"/>
              <w:left w:type="dxa" w:w="120"/>
              <w:bottom w:type="dxa" w:w="80"/>
              <w:right w:type="dxa" w:w="120"/>
            </w:tcMar>
          </w:tcPr>
          <w:p>
            <w:pPr>
              <w:jc w:val="left"/>
            </w:pPr>
            <w:r>
              <w:rPr>
                <w:b w:val="false"/>
                <w:bCs w:val="false"/>
                <w:color w:val="000000"/>
                <w:sz w:val="20"/>
                <w:szCs w:val="20"/>
              </w:rPr>
              <w:t xml:space="preserve">L-02</w:t>
            </w:r>
          </w:p>
        </w:tc>
        <w:tc>
          <w:tcPr>
            <w:tcW w:type="dxa" w:w="6000"/>
            <w:tcMar>
              <w:top w:type="dxa" w:w="80"/>
              <w:left w:type="dxa" w:w="120"/>
              <w:bottom w:type="dxa" w:w="80"/>
              <w:right w:type="dxa" w:w="120"/>
            </w:tcMar>
          </w:tcPr>
          <w:p>
            <w:pPr>
              <w:jc w:val="left"/>
            </w:pPr>
            <w:r>
              <w:rPr>
                <w:b w:val="false"/>
                <w:bCs w:val="false"/>
                <w:color w:val="000000"/>
                <w:sz w:val="20"/>
                <w:szCs w:val="20"/>
              </w:rPr>
              <w:t xml:space="preserve">Modèle de données documenté (entités, relations, contraintes)</w:t>
            </w:r>
          </w:p>
        </w:tc>
        <w:tc>
          <w:tcPr>
            <w:tcW w:type="dxa" w:w="2400"/>
            <w:tcMar>
              <w:top w:type="dxa" w:w="80"/>
              <w:left w:type="dxa" w:w="120"/>
              <w:bottom w:type="dxa" w:w="80"/>
              <w:right w:type="dxa" w:w="120"/>
            </w:tcMar>
          </w:tcPr>
          <w:p>
            <w:pPr>
              <w:jc w:val="left"/>
            </w:pPr>
            <w:r>
              <w:rPr>
                <w:b w:val="false"/>
                <w:bCs w:val="false"/>
                <w:color w:val="000000"/>
                <w:sz w:val="20"/>
                <w:szCs w:val="20"/>
              </w:rPr>
              <w:t xml:space="preserve">Confluence + PlantUML</w:t>
            </w:r>
          </w:p>
        </w:tc>
      </w:tr>
      <w:tr>
        <w:tc>
          <w:tcPr>
            <w:tcW w:type="dxa" w:w="800"/>
            <w:tcMar>
              <w:top w:type="dxa" w:w="80"/>
              <w:left w:type="dxa" w:w="120"/>
              <w:bottom w:type="dxa" w:w="80"/>
              <w:right w:type="dxa" w:w="120"/>
            </w:tcMar>
          </w:tcPr>
          <w:p>
            <w:pPr>
              <w:jc w:val="left"/>
            </w:pPr>
            <w:r>
              <w:rPr>
                <w:b w:val="false"/>
                <w:bCs w:val="false"/>
                <w:color w:val="000000"/>
                <w:sz w:val="20"/>
                <w:szCs w:val="20"/>
              </w:rPr>
              <w:t xml:space="preserve">L-03</w:t>
            </w:r>
          </w:p>
        </w:tc>
        <w:tc>
          <w:tcPr>
            <w:tcW w:type="dxa" w:w="6000"/>
            <w:tcMar>
              <w:top w:type="dxa" w:w="80"/>
              <w:left w:type="dxa" w:w="120"/>
              <w:bottom w:type="dxa" w:w="80"/>
              <w:right w:type="dxa" w:w="120"/>
            </w:tcMar>
          </w:tcPr>
          <w:p>
            <w:pPr>
              <w:jc w:val="left"/>
            </w:pPr>
            <w:r>
              <w:rPr>
                <w:b w:val="false"/>
                <w:bCs w:val="false"/>
                <w:color w:val="000000"/>
                <w:sz w:val="20"/>
                <w:szCs w:val="20"/>
              </w:rPr>
              <w:t xml:space="preserve">Référentiel géographique Loader_Base_FinZuu</w:t>
            </w:r>
          </w:p>
        </w:tc>
        <w:tc>
          <w:tcPr>
            <w:tcW w:type="dxa" w:w="2400"/>
            <w:tcMar>
              <w:top w:type="dxa" w:w="80"/>
              <w:left w:type="dxa" w:w="120"/>
              <w:bottom w:type="dxa" w:w="80"/>
              <w:right w:type="dxa" w:w="120"/>
            </w:tcMar>
          </w:tcPr>
          <w:p>
            <w:pPr>
              <w:jc w:val="left"/>
            </w:pPr>
            <w:r>
              <w:rPr>
                <w:b w:val="false"/>
                <w:bCs w:val="false"/>
                <w:color w:val="000000"/>
                <w:sz w:val="20"/>
                <w:szCs w:val="20"/>
              </w:rPr>
              <w:t xml:space="preserve">Excel v1.1</w:t>
            </w:r>
          </w:p>
        </w:tc>
      </w:tr>
      <w:tr>
        <w:tc>
          <w:tcPr>
            <w:tcW w:type="dxa" w:w="800"/>
            <w:tcMar>
              <w:top w:type="dxa" w:w="80"/>
              <w:left w:type="dxa" w:w="120"/>
              <w:bottom w:type="dxa" w:w="80"/>
              <w:right w:type="dxa" w:w="120"/>
            </w:tcMar>
          </w:tcPr>
          <w:p>
            <w:pPr>
              <w:jc w:val="left"/>
            </w:pPr>
            <w:r>
              <w:rPr>
                <w:b w:val="false"/>
                <w:bCs w:val="false"/>
                <w:color w:val="000000"/>
                <w:sz w:val="20"/>
                <w:szCs w:val="20"/>
              </w:rPr>
              <w:t xml:space="preserve">L-04</w:t>
            </w:r>
          </w:p>
        </w:tc>
        <w:tc>
          <w:tcPr>
            <w:tcW w:type="dxa" w:w="6000"/>
            <w:tcMar>
              <w:top w:type="dxa" w:w="80"/>
              <w:left w:type="dxa" w:w="120"/>
              <w:bottom w:type="dxa" w:w="80"/>
              <w:right w:type="dxa" w:w="120"/>
            </w:tcMar>
          </w:tcPr>
          <w:p>
            <w:pPr>
              <w:jc w:val="left"/>
            </w:pPr>
            <w:r>
              <w:rPr>
                <w:b w:val="false"/>
                <w:bCs w:val="false"/>
                <w:color w:val="000000"/>
                <w:sz w:val="20"/>
                <w:szCs w:val="20"/>
              </w:rPr>
              <w:t xml:space="preserve">Module Géographie (chargement + validation)</w:t>
            </w:r>
          </w:p>
        </w:tc>
        <w:tc>
          <w:tcPr>
            <w:tcW w:type="dxa" w:w="2400"/>
            <w:tcMar>
              <w:top w:type="dxa" w:w="80"/>
              <w:left w:type="dxa" w:w="120"/>
              <w:bottom w:type="dxa" w:w="80"/>
              <w:right w:type="dxa" w:w="120"/>
            </w:tcMar>
          </w:tcPr>
          <w:p>
            <w:pPr>
              <w:jc w:val="left"/>
            </w:pPr>
            <w:r>
              <w:rPr>
                <w:b w:val="false"/>
                <w:bCs w:val="false"/>
                <w:color w:val="000000"/>
                <w:sz w:val="20"/>
                <w:szCs w:val="20"/>
              </w:rPr>
              <w:t xml:space="preserve">Code source</w:t>
            </w:r>
          </w:p>
        </w:tc>
      </w:tr>
      <w:tr>
        <w:tc>
          <w:tcPr>
            <w:tcW w:type="dxa" w:w="800"/>
            <w:tcMar>
              <w:top w:type="dxa" w:w="80"/>
              <w:left w:type="dxa" w:w="120"/>
              <w:bottom w:type="dxa" w:w="80"/>
              <w:right w:type="dxa" w:w="120"/>
            </w:tcMar>
          </w:tcPr>
          <w:p>
            <w:pPr>
              <w:jc w:val="left"/>
            </w:pPr>
            <w:r>
              <w:rPr>
                <w:b w:val="false"/>
                <w:bCs w:val="false"/>
                <w:color w:val="000000"/>
                <w:sz w:val="20"/>
                <w:szCs w:val="20"/>
              </w:rPr>
              <w:t xml:space="preserve">L-05</w:t>
            </w:r>
          </w:p>
        </w:tc>
        <w:tc>
          <w:tcPr>
            <w:tcW w:type="dxa" w:w="6000"/>
            <w:tcMar>
              <w:top w:type="dxa" w:w="80"/>
              <w:left w:type="dxa" w:w="120"/>
              <w:bottom w:type="dxa" w:w="80"/>
              <w:right w:type="dxa" w:w="120"/>
            </w:tcMar>
          </w:tcPr>
          <w:p>
            <w:pPr>
              <w:jc w:val="left"/>
            </w:pPr>
            <w:r>
              <w:rPr>
                <w:b w:val="false"/>
                <w:bCs w:val="false"/>
                <w:color w:val="000000"/>
                <w:sz w:val="20"/>
                <w:szCs w:val="20"/>
              </w:rPr>
              <w:t xml:space="preserve">Module Organisation (Company, Lender, Branche, Agence, Kiosque, Agent)</w:t>
            </w:r>
          </w:p>
        </w:tc>
        <w:tc>
          <w:tcPr>
            <w:tcW w:type="dxa" w:w="2400"/>
            <w:tcMar>
              <w:top w:type="dxa" w:w="80"/>
              <w:left w:type="dxa" w:w="120"/>
              <w:bottom w:type="dxa" w:w="80"/>
              <w:right w:type="dxa" w:w="120"/>
            </w:tcMar>
          </w:tcPr>
          <w:p>
            <w:pPr>
              <w:jc w:val="left"/>
            </w:pPr>
            <w:r>
              <w:rPr>
                <w:b w:val="false"/>
                <w:bCs w:val="false"/>
                <w:color w:val="000000"/>
                <w:sz w:val="20"/>
                <w:szCs w:val="20"/>
              </w:rPr>
              <w:t xml:space="preserve">Code source</w:t>
            </w:r>
          </w:p>
        </w:tc>
      </w:tr>
      <w:tr>
        <w:tc>
          <w:tcPr>
            <w:tcW w:type="dxa" w:w="800"/>
            <w:tcMar>
              <w:top w:type="dxa" w:w="80"/>
              <w:left w:type="dxa" w:w="120"/>
              <w:bottom w:type="dxa" w:w="80"/>
              <w:right w:type="dxa" w:w="120"/>
            </w:tcMar>
          </w:tcPr>
          <w:p>
            <w:pPr>
              <w:jc w:val="left"/>
            </w:pPr>
            <w:r>
              <w:rPr>
                <w:b w:val="false"/>
                <w:bCs w:val="false"/>
                <w:color w:val="000000"/>
                <w:sz w:val="20"/>
                <w:szCs w:val="20"/>
              </w:rPr>
              <w:t xml:space="preserve">L-06</w:t>
            </w:r>
          </w:p>
        </w:tc>
        <w:tc>
          <w:tcPr>
            <w:tcW w:type="dxa" w:w="6000"/>
            <w:tcMar>
              <w:top w:type="dxa" w:w="80"/>
              <w:left w:type="dxa" w:w="120"/>
              <w:bottom w:type="dxa" w:w="80"/>
              <w:right w:type="dxa" w:w="120"/>
            </w:tcMar>
          </w:tcPr>
          <w:p>
            <w:pPr>
              <w:jc w:val="left"/>
            </w:pPr>
            <w:r>
              <w:rPr>
                <w:b w:val="false"/>
                <w:bCs w:val="false"/>
                <w:color w:val="000000"/>
                <w:sz w:val="20"/>
                <w:szCs w:val="20"/>
              </w:rPr>
              <w:t xml:space="preserve">Module Identité et Client (intégration Faker)</w:t>
            </w:r>
          </w:p>
        </w:tc>
        <w:tc>
          <w:tcPr>
            <w:tcW w:type="dxa" w:w="2400"/>
            <w:tcMar>
              <w:top w:type="dxa" w:w="80"/>
              <w:left w:type="dxa" w:w="120"/>
              <w:bottom w:type="dxa" w:w="80"/>
              <w:right w:type="dxa" w:w="120"/>
            </w:tcMar>
          </w:tcPr>
          <w:p>
            <w:pPr>
              <w:jc w:val="left"/>
            </w:pPr>
            <w:r>
              <w:rPr>
                <w:b w:val="false"/>
                <w:bCs w:val="false"/>
                <w:color w:val="000000"/>
                <w:sz w:val="20"/>
                <w:szCs w:val="20"/>
              </w:rPr>
              <w:t xml:space="preserve">Code source</w:t>
            </w:r>
          </w:p>
        </w:tc>
      </w:tr>
      <w:tr>
        <w:tc>
          <w:tcPr>
            <w:tcW w:type="dxa" w:w="800"/>
            <w:tcMar>
              <w:top w:type="dxa" w:w="80"/>
              <w:left w:type="dxa" w:w="120"/>
              <w:bottom w:type="dxa" w:w="80"/>
              <w:right w:type="dxa" w:w="120"/>
            </w:tcMar>
          </w:tcPr>
          <w:p>
            <w:pPr>
              <w:jc w:val="left"/>
            </w:pPr>
            <w:r>
              <w:rPr>
                <w:b w:val="false"/>
                <w:bCs w:val="false"/>
                <w:color w:val="000000"/>
                <w:sz w:val="20"/>
                <w:szCs w:val="20"/>
              </w:rPr>
              <w:t xml:space="preserve">L-07</w:t>
            </w:r>
          </w:p>
        </w:tc>
        <w:tc>
          <w:tcPr>
            <w:tcW w:type="dxa" w:w="6000"/>
            <w:tcMar>
              <w:top w:type="dxa" w:w="80"/>
              <w:left w:type="dxa" w:w="120"/>
              <w:bottom w:type="dxa" w:w="80"/>
              <w:right w:type="dxa" w:w="120"/>
            </w:tcMar>
          </w:tcPr>
          <w:p>
            <w:pPr>
              <w:jc w:val="left"/>
            </w:pPr>
            <w:r>
              <w:rPr>
                <w:b w:val="false"/>
                <w:bCs w:val="false"/>
                <w:color w:val="000000"/>
                <w:sz w:val="20"/>
                <w:szCs w:val="20"/>
              </w:rPr>
              <w:t xml:space="preserve">Module Prêt (intégration loan-service)</w:t>
            </w:r>
          </w:p>
        </w:tc>
        <w:tc>
          <w:tcPr>
            <w:tcW w:type="dxa" w:w="2400"/>
            <w:tcMar>
              <w:top w:type="dxa" w:w="80"/>
              <w:left w:type="dxa" w:w="120"/>
              <w:bottom w:type="dxa" w:w="80"/>
              <w:right w:type="dxa" w:w="120"/>
            </w:tcMar>
          </w:tcPr>
          <w:p>
            <w:pPr>
              <w:jc w:val="left"/>
            </w:pPr>
            <w:r>
              <w:rPr>
                <w:b w:val="false"/>
                <w:bCs w:val="false"/>
                <w:color w:val="000000"/>
                <w:sz w:val="20"/>
                <w:szCs w:val="20"/>
              </w:rPr>
              <w:t xml:space="preserve">Code source</w:t>
            </w:r>
          </w:p>
        </w:tc>
      </w:tr>
      <w:tr>
        <w:tc>
          <w:tcPr>
            <w:tcW w:type="dxa" w:w="800"/>
            <w:tcMar>
              <w:top w:type="dxa" w:w="80"/>
              <w:left w:type="dxa" w:w="120"/>
              <w:bottom w:type="dxa" w:w="80"/>
              <w:right w:type="dxa" w:w="120"/>
            </w:tcMar>
          </w:tcPr>
          <w:p>
            <w:pPr>
              <w:jc w:val="left"/>
            </w:pPr>
            <w:r>
              <w:rPr>
                <w:b w:val="false"/>
                <w:bCs w:val="false"/>
                <w:color w:val="000000"/>
                <w:sz w:val="20"/>
                <w:szCs w:val="20"/>
              </w:rPr>
              <w:t xml:space="preserve">L-08</w:t>
            </w:r>
          </w:p>
        </w:tc>
        <w:tc>
          <w:tcPr>
            <w:tcW w:type="dxa" w:w="6000"/>
            <w:tcMar>
              <w:top w:type="dxa" w:w="80"/>
              <w:left w:type="dxa" w:w="120"/>
              <w:bottom w:type="dxa" w:w="80"/>
              <w:right w:type="dxa" w:w="120"/>
            </w:tcMar>
          </w:tcPr>
          <w:p>
            <w:pPr>
              <w:jc w:val="left"/>
            </w:pPr>
            <w:r>
              <w:rPr>
                <w:b w:val="false"/>
                <w:bCs w:val="false"/>
                <w:color w:val="000000"/>
                <w:sz w:val="20"/>
                <w:szCs w:val="20"/>
              </w:rPr>
              <w:t xml:space="preserve">Interface graphique de pilotage</w:t>
            </w:r>
          </w:p>
        </w:tc>
        <w:tc>
          <w:tcPr>
            <w:tcW w:type="dxa" w:w="2400"/>
            <w:tcMar>
              <w:top w:type="dxa" w:w="80"/>
              <w:left w:type="dxa" w:w="120"/>
              <w:bottom w:type="dxa" w:w="80"/>
              <w:right w:type="dxa" w:w="120"/>
            </w:tcMar>
          </w:tcPr>
          <w:p>
            <w:pPr>
              <w:jc w:val="left"/>
            </w:pPr>
            <w:r>
              <w:rPr>
                <w:b w:val="false"/>
                <w:bCs w:val="false"/>
                <w:color w:val="000000"/>
                <w:sz w:val="20"/>
                <w:szCs w:val="20"/>
              </w:rPr>
              <w:t xml:space="preserve">Application web déployée</w:t>
            </w:r>
          </w:p>
        </w:tc>
      </w:tr>
      <w:tr>
        <w:tc>
          <w:tcPr>
            <w:tcW w:type="dxa" w:w="800"/>
            <w:tcMar>
              <w:top w:type="dxa" w:w="80"/>
              <w:left w:type="dxa" w:w="120"/>
              <w:bottom w:type="dxa" w:w="80"/>
              <w:right w:type="dxa" w:w="120"/>
            </w:tcMar>
          </w:tcPr>
          <w:p>
            <w:pPr>
              <w:jc w:val="left"/>
            </w:pPr>
            <w:r>
              <w:rPr>
                <w:b w:val="false"/>
                <w:bCs w:val="false"/>
                <w:color w:val="000000"/>
                <w:sz w:val="20"/>
                <w:szCs w:val="20"/>
              </w:rPr>
              <w:t xml:space="preserve">L-09</w:t>
            </w:r>
          </w:p>
        </w:tc>
        <w:tc>
          <w:tcPr>
            <w:tcW w:type="dxa" w:w="6000"/>
            <w:tcMar>
              <w:top w:type="dxa" w:w="80"/>
              <w:left w:type="dxa" w:w="120"/>
              <w:bottom w:type="dxa" w:w="80"/>
              <w:right w:type="dxa" w:w="120"/>
            </w:tcMar>
          </w:tcPr>
          <w:p>
            <w:pPr>
              <w:jc w:val="left"/>
            </w:pPr>
            <w:r>
              <w:rPr>
                <w:b w:val="false"/>
                <w:bCs w:val="false"/>
                <w:color w:val="000000"/>
                <w:sz w:val="20"/>
                <w:szCs w:val="20"/>
              </w:rPr>
              <w:t xml:space="preserve">Documentation utilisateur et technique</w:t>
            </w:r>
          </w:p>
        </w:tc>
        <w:tc>
          <w:tcPr>
            <w:tcW w:type="dxa" w:w="2400"/>
            <w:tcMar>
              <w:top w:type="dxa" w:w="80"/>
              <w:left w:type="dxa" w:w="120"/>
              <w:bottom w:type="dxa" w:w="80"/>
              <w:right w:type="dxa" w:w="120"/>
            </w:tcMar>
          </w:tcPr>
          <w:p>
            <w:pPr>
              <w:jc w:val="left"/>
            </w:pPr>
            <w:r>
              <w:rPr>
                <w:b w:val="false"/>
                <w:bCs w:val="false"/>
                <w:color w:val="000000"/>
                <w:sz w:val="20"/>
                <w:szCs w:val="20"/>
              </w:rPr>
              <w:t xml:space="preserve">Confluence</w:t>
            </w:r>
          </w:p>
        </w:tc>
      </w:tr>
      <w:tr>
        <w:tc>
          <w:tcPr>
            <w:tcW w:type="dxa" w:w="800"/>
            <w:tcMar>
              <w:top w:type="dxa" w:w="80"/>
              <w:left w:type="dxa" w:w="120"/>
              <w:bottom w:type="dxa" w:w="80"/>
              <w:right w:type="dxa" w:w="120"/>
            </w:tcMar>
          </w:tcPr>
          <w:p>
            <w:pPr>
              <w:jc w:val="left"/>
            </w:pPr>
            <w:r>
              <w:rPr>
                <w:b w:val="false"/>
                <w:bCs w:val="false"/>
                <w:color w:val="000000"/>
                <w:sz w:val="20"/>
                <w:szCs w:val="20"/>
              </w:rPr>
              <w:t xml:space="preserve">L-10</w:t>
            </w:r>
          </w:p>
        </w:tc>
        <w:tc>
          <w:tcPr>
            <w:tcW w:type="dxa" w:w="6000"/>
            <w:tcMar>
              <w:top w:type="dxa" w:w="80"/>
              <w:left w:type="dxa" w:w="120"/>
              <w:bottom w:type="dxa" w:w="80"/>
              <w:right w:type="dxa" w:w="120"/>
            </w:tcMar>
          </w:tcPr>
          <w:p>
            <w:pPr>
              <w:jc w:val="left"/>
            </w:pPr>
            <w:r>
              <w:rPr>
                <w:b w:val="false"/>
                <w:bCs w:val="false"/>
                <w:color w:val="000000"/>
                <w:sz w:val="20"/>
                <w:szCs w:val="20"/>
              </w:rPr>
              <w:t xml:space="preserve">Journal de tests de bout en bout sur le scénario Côte d'Ivoire</w:t>
            </w:r>
          </w:p>
        </w:tc>
        <w:tc>
          <w:tcPr>
            <w:tcW w:type="dxa" w:w="2400"/>
            <w:tcMar>
              <w:top w:type="dxa" w:w="80"/>
              <w:left w:type="dxa" w:w="120"/>
              <w:bottom w:type="dxa" w:w="80"/>
              <w:right w:type="dxa" w:w="120"/>
            </w:tcMar>
          </w:tcPr>
          <w:p>
            <w:pPr>
              <w:jc w:val="left"/>
            </w:pPr>
            <w:r>
              <w:rPr>
                <w:b w:val="false"/>
                <w:bCs w:val="false"/>
                <w:color w:val="000000"/>
                <w:sz w:val="20"/>
                <w:szCs w:val="20"/>
              </w:rPr>
              <w:t xml:space="preserve">Rapport Confluence + Allure</w:t>
            </w:r>
          </w:p>
        </w:tc>
      </w:tr>
      <w:tr>
        <w:tc>
          <w:tcPr>
            <w:tcW w:type="dxa" w:w="800"/>
            <w:shd w:fill="E8F5E9" w:val="clear"/>
            <w:tcMar>
              <w:top w:type="dxa" w:w="80"/>
              <w:left w:type="dxa" w:w="120"/>
              <w:bottom w:type="dxa" w:w="80"/>
              <w:right w:type="dxa" w:w="120"/>
            </w:tcMar>
          </w:tcPr>
          <w:p>
            <w:pPr>
              <w:jc w:val="left"/>
            </w:pPr>
            <w:r>
              <w:rPr>
                <w:b/>
                <w:bCs/>
                <w:color w:val="000000"/>
                <w:sz w:val="20"/>
                <w:szCs w:val="20"/>
              </w:rPr>
              <w:t xml:space="preserve">L-11</w:t>
            </w:r>
          </w:p>
        </w:tc>
        <w:tc>
          <w:tcPr>
            <w:tcW w:type="dxa" w:w="6000"/>
            <w:shd w:fill="E8F5E9" w:val="clear"/>
            <w:tcMar>
              <w:top w:type="dxa" w:w="80"/>
              <w:left w:type="dxa" w:w="120"/>
              <w:bottom w:type="dxa" w:w="80"/>
              <w:right w:type="dxa" w:w="120"/>
            </w:tcMar>
          </w:tcPr>
          <w:p>
            <w:pPr>
              <w:jc w:val="left"/>
            </w:pPr>
            <w:r>
              <w:rPr>
                <w:b/>
                <w:bCs/>
                <w:color w:val="000000"/>
                <w:sz w:val="20"/>
                <w:szCs w:val="20"/>
              </w:rPr>
              <w:t xml:space="preserve">Module Simulation comportementale (attribution profil, séquences de remboursement, reporting PAR/DPD) — AJOUT V1.2</w:t>
            </w:r>
          </w:p>
        </w:tc>
        <w:tc>
          <w:tcPr>
            <w:tcW w:type="dxa" w:w="2400"/>
            <w:shd w:fill="E8F5E9" w:val="clear"/>
            <w:tcMar>
              <w:top w:type="dxa" w:w="80"/>
              <w:left w:type="dxa" w:w="120"/>
              <w:bottom w:type="dxa" w:w="80"/>
              <w:right w:type="dxa" w:w="120"/>
            </w:tcMar>
          </w:tcPr>
          <w:p>
            <w:pPr>
              <w:jc w:val="left"/>
            </w:pPr>
            <w:r>
              <w:rPr>
                <w:b/>
                <w:bCs/>
                <w:color w:val="000000"/>
                <w:sz w:val="20"/>
                <w:szCs w:val="20"/>
              </w:rPr>
              <w:t xml:space="preserve">Code source + documentation</w:t>
            </w:r>
          </w:p>
        </w:tc>
      </w:tr>
      <w:tr>
        <w:tc>
          <w:tcPr>
            <w:tcW w:type="dxa" w:w="800"/>
            <w:shd w:fill="E8F5E9" w:val="clear"/>
            <w:tcMar>
              <w:top w:type="dxa" w:w="80"/>
              <w:left w:type="dxa" w:w="120"/>
              <w:bottom w:type="dxa" w:w="80"/>
              <w:right w:type="dxa" w:w="120"/>
            </w:tcMar>
          </w:tcPr>
          <w:p>
            <w:pPr>
              <w:jc w:val="left"/>
            </w:pPr>
            <w:r>
              <w:rPr>
                <w:b/>
                <w:bCs/>
                <w:color w:val="000000"/>
                <w:sz w:val="20"/>
                <w:szCs w:val="20"/>
              </w:rPr>
              <w:t xml:space="preserve">L-12</w:t>
            </w:r>
          </w:p>
        </w:tc>
        <w:tc>
          <w:tcPr>
            <w:tcW w:type="dxa" w:w="6000"/>
            <w:shd w:fill="E8F5E9" w:val="clear"/>
            <w:tcMar>
              <w:top w:type="dxa" w:w="80"/>
              <w:left w:type="dxa" w:w="120"/>
              <w:bottom w:type="dxa" w:w="80"/>
              <w:right w:type="dxa" w:w="120"/>
            </w:tcMar>
          </w:tcPr>
          <w:p>
            <w:pPr>
              <w:jc w:val="left"/>
            </w:pPr>
            <w:r>
              <w:rPr>
                <w:b/>
                <w:bCs/>
                <w:color w:val="000000"/>
                <w:sz w:val="20"/>
                <w:szCs w:val="20"/>
              </w:rPr>
              <w:t xml:space="preserve">Rapport de calibration statistique des profils comportementaux — AJOUT V1.2</w:t>
            </w:r>
          </w:p>
        </w:tc>
        <w:tc>
          <w:tcPr>
            <w:tcW w:type="dxa" w:w="2400"/>
            <w:shd w:fill="E8F5E9" w:val="clear"/>
            <w:tcMar>
              <w:top w:type="dxa" w:w="80"/>
              <w:left w:type="dxa" w:w="120"/>
              <w:bottom w:type="dxa" w:w="80"/>
              <w:right w:type="dxa" w:w="120"/>
            </w:tcMar>
          </w:tcPr>
          <w:p>
            <w:pPr>
              <w:jc w:val="left"/>
            </w:pPr>
            <w:r>
              <w:rPr>
                <w:b/>
                <w:bCs/>
                <w:color w:val="000000"/>
                <w:sz w:val="20"/>
                <w:szCs w:val="20"/>
              </w:rPr>
              <w:t xml:space="preserve">Rapport Confluence</w:t>
            </w:r>
          </w:p>
        </w:tc>
      </w:tr>
    </w:tbl>
    <w:p>
      <w:pPr>
        <w:pStyle w:val="Heading2"/>
        <w:spacing w:after="180" w:before="360"/>
      </w:pPr>
      <w:r>
        <w:rPr>
          <w:b/>
          <w:bCs/>
          <w:color w:val="6B2E9E"/>
          <w:sz w:val="26"/>
          <w:szCs w:val="26"/>
        </w:rPr>
        <w:t xml:space="preserve">11.2 Jalons du projet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2200"/>
      </w:tblGrid>
      <w:tr>
        <w:trPr>
          <w:tblHeader/>
        </w:trPr>
        <w:tc>
          <w:tcPr>
            <w:tcW w:type="dxa" w:w="1000"/>
            <w:shd w:fill="6B2E9E" w:val="clear"/>
            <w:tcMar>
              <w:top w:type="dxa" w:w="100"/>
              <w:left w:type="dxa" w:w="120"/>
              <w:bottom w:type="dxa" w:w="100"/>
              <w:right w:type="dxa" w:w="120"/>
            </w:tcMar>
          </w:tcPr>
          <w:p>
            <w:pPr>
              <w:jc w:val="center"/>
            </w:pPr>
            <w:r>
              <w:rPr>
                <w:b/>
                <w:bCs/>
                <w:color w:val="FFFFFF"/>
                <w:sz w:val="20"/>
                <w:szCs w:val="20"/>
              </w:rPr>
              <w:t xml:space="preserve">Jalon</w:t>
            </w:r>
          </w:p>
        </w:tc>
        <w:tc>
          <w:tcPr>
            <w:tcW w:type="dxa" w:w="6000"/>
            <w:shd w:fill="6B2E9E" w:val="clear"/>
            <w:tcMar>
              <w:top w:type="dxa" w:w="100"/>
              <w:left w:type="dxa" w:w="120"/>
              <w:bottom w:type="dxa" w:w="100"/>
              <w:right w:type="dxa" w:w="120"/>
            </w:tcMar>
          </w:tcPr>
          <w:p>
            <w:pPr>
              <w:jc w:val="center"/>
            </w:pPr>
            <w:r>
              <w:rPr>
                <w:b/>
                <w:bCs/>
                <w:color w:val="FFFFFF"/>
                <w:sz w:val="20"/>
                <w:szCs w:val="20"/>
              </w:rPr>
              <w:t xml:space="preserve">Description</w:t>
            </w:r>
          </w:p>
        </w:tc>
        <w:tc>
          <w:tcPr>
            <w:tcW w:type="dxa" w:w="2200"/>
            <w:shd w:fill="6B2E9E" w:val="clear"/>
            <w:tcMar>
              <w:top w:type="dxa" w:w="100"/>
              <w:left w:type="dxa" w:w="120"/>
              <w:bottom w:type="dxa" w:w="100"/>
              <w:right w:type="dxa" w:w="120"/>
            </w:tcMar>
          </w:tcPr>
          <w:p>
            <w:pPr>
              <w:jc w:val="center"/>
            </w:pPr>
            <w:r>
              <w:rPr>
                <w:b/>
                <w:bCs/>
                <w:color w:val="FFFFFF"/>
                <w:sz w:val="20"/>
                <w:szCs w:val="20"/>
              </w:rPr>
              <w:t xml:space="preserve">Date cible</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J-01</w:t>
            </w:r>
          </w:p>
        </w:tc>
        <w:tc>
          <w:tcPr>
            <w:tcW w:type="dxa" w:w="6000"/>
            <w:tcMar>
              <w:top w:type="dxa" w:w="80"/>
              <w:left w:type="dxa" w:w="120"/>
              <w:bottom w:type="dxa" w:w="80"/>
              <w:right w:type="dxa" w:w="120"/>
            </w:tcMar>
          </w:tcPr>
          <w:p>
            <w:pPr>
              <w:jc w:val="left"/>
            </w:pPr>
            <w:r>
              <w:rPr>
                <w:b w:val="false"/>
                <w:bCs w:val="false"/>
                <w:color w:val="000000"/>
                <w:sz w:val="20"/>
                <w:szCs w:val="20"/>
              </w:rPr>
              <w:t xml:space="preserve">Validation du cahier des charges par la Direction Technique</w:t>
            </w:r>
          </w:p>
        </w:tc>
        <w:tc>
          <w:tcPr>
            <w:tcW w:type="dxa" w:w="2200"/>
            <w:tcMar>
              <w:top w:type="dxa" w:w="80"/>
              <w:left w:type="dxa" w:w="120"/>
              <w:bottom w:type="dxa" w:w="80"/>
              <w:right w:type="dxa" w:w="120"/>
            </w:tcMar>
          </w:tcPr>
          <w:p>
            <w:pPr>
              <w:jc w:val="left"/>
            </w:pPr>
            <w:r>
              <w:rPr>
                <w:b w:val="false"/>
                <w:bCs w:val="false"/>
                <w:color w:val="000000"/>
                <w:sz w:val="20"/>
                <w:szCs w:val="20"/>
              </w:rPr>
              <w:t xml:space="preserve">17 juillet 2026</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J-02</w:t>
            </w:r>
          </w:p>
        </w:tc>
        <w:tc>
          <w:tcPr>
            <w:tcW w:type="dxa" w:w="6000"/>
            <w:tcMar>
              <w:top w:type="dxa" w:w="80"/>
              <w:left w:type="dxa" w:w="120"/>
              <w:bottom w:type="dxa" w:w="80"/>
              <w:right w:type="dxa" w:w="120"/>
            </w:tcMar>
          </w:tcPr>
          <w:p>
            <w:pPr>
              <w:jc w:val="left"/>
            </w:pPr>
            <w:r>
              <w:rPr>
                <w:b w:val="false"/>
                <w:bCs w:val="false"/>
                <w:color w:val="000000"/>
                <w:sz w:val="20"/>
                <w:szCs w:val="20"/>
              </w:rPr>
              <w:t xml:space="preserve">Livraison des Modules Géographie et Organisation</w:t>
            </w:r>
          </w:p>
        </w:tc>
        <w:tc>
          <w:tcPr>
            <w:tcW w:type="dxa" w:w="2200"/>
            <w:tcMar>
              <w:top w:type="dxa" w:w="80"/>
              <w:left w:type="dxa" w:w="120"/>
              <w:bottom w:type="dxa" w:w="80"/>
              <w:right w:type="dxa" w:w="120"/>
            </w:tcMar>
          </w:tcPr>
          <w:p>
            <w:pPr>
              <w:jc w:val="left"/>
            </w:pPr>
            <w:r>
              <w:rPr>
                <w:b w:val="false"/>
                <w:bCs w:val="false"/>
                <w:color w:val="000000"/>
                <w:sz w:val="20"/>
                <w:szCs w:val="20"/>
              </w:rPr>
              <w:t xml:space="preserve">22 juillet 2026</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J-03</w:t>
            </w:r>
          </w:p>
        </w:tc>
        <w:tc>
          <w:tcPr>
            <w:tcW w:type="dxa" w:w="6000"/>
            <w:tcMar>
              <w:top w:type="dxa" w:w="80"/>
              <w:left w:type="dxa" w:w="120"/>
              <w:bottom w:type="dxa" w:w="80"/>
              <w:right w:type="dxa" w:w="120"/>
            </w:tcMar>
          </w:tcPr>
          <w:p>
            <w:pPr>
              <w:jc w:val="left"/>
            </w:pPr>
            <w:r>
              <w:rPr>
                <w:b w:val="false"/>
                <w:bCs w:val="false"/>
                <w:color w:val="000000"/>
                <w:sz w:val="20"/>
                <w:szCs w:val="20"/>
              </w:rPr>
              <w:t xml:space="preserve">Intégration Faker fonctionnelle pour les Modules Identité et Client</w:t>
            </w:r>
          </w:p>
        </w:tc>
        <w:tc>
          <w:tcPr>
            <w:tcW w:type="dxa" w:w="2200"/>
            <w:tcMar>
              <w:top w:type="dxa" w:w="80"/>
              <w:left w:type="dxa" w:w="120"/>
              <w:bottom w:type="dxa" w:w="80"/>
              <w:right w:type="dxa" w:w="120"/>
            </w:tcMar>
          </w:tcPr>
          <w:p>
            <w:pPr>
              <w:jc w:val="left"/>
            </w:pPr>
            <w:r>
              <w:rPr>
                <w:b w:val="false"/>
                <w:bCs w:val="false"/>
                <w:color w:val="000000"/>
                <w:sz w:val="20"/>
                <w:szCs w:val="20"/>
              </w:rPr>
              <w:t xml:space="preserve">25 juillet 2026</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J-04</w:t>
            </w:r>
          </w:p>
        </w:tc>
        <w:tc>
          <w:tcPr>
            <w:tcW w:type="dxa" w:w="6000"/>
            <w:tcMar>
              <w:top w:type="dxa" w:w="80"/>
              <w:left w:type="dxa" w:w="120"/>
              <w:bottom w:type="dxa" w:w="80"/>
              <w:right w:type="dxa" w:w="120"/>
            </w:tcMar>
          </w:tcPr>
          <w:p>
            <w:pPr>
              <w:jc w:val="left"/>
            </w:pPr>
            <w:r>
              <w:rPr>
                <w:b w:val="false"/>
                <w:bCs w:val="false"/>
                <w:color w:val="000000"/>
                <w:sz w:val="20"/>
                <w:szCs w:val="20"/>
              </w:rPr>
              <w:t xml:space="preserve">Interface graphique de pilotage disponible en version alpha</w:t>
            </w:r>
          </w:p>
        </w:tc>
        <w:tc>
          <w:tcPr>
            <w:tcW w:type="dxa" w:w="2200"/>
            <w:tcMar>
              <w:top w:type="dxa" w:w="80"/>
              <w:left w:type="dxa" w:w="120"/>
              <w:bottom w:type="dxa" w:w="80"/>
              <w:right w:type="dxa" w:w="120"/>
            </w:tcMar>
          </w:tcPr>
          <w:p>
            <w:pPr>
              <w:jc w:val="left"/>
            </w:pPr>
            <w:r>
              <w:rPr>
                <w:b w:val="false"/>
                <w:bCs w:val="false"/>
                <w:color w:val="000000"/>
                <w:sz w:val="20"/>
                <w:szCs w:val="20"/>
              </w:rPr>
              <w:t xml:space="preserve">28 juillet 2026</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J-05</w:t>
            </w:r>
          </w:p>
        </w:tc>
        <w:tc>
          <w:tcPr>
            <w:tcW w:type="dxa" w:w="6000"/>
            <w:tcMar>
              <w:top w:type="dxa" w:w="80"/>
              <w:left w:type="dxa" w:w="120"/>
              <w:bottom w:type="dxa" w:w="80"/>
              <w:right w:type="dxa" w:w="120"/>
            </w:tcMar>
          </w:tcPr>
          <w:p>
            <w:pPr>
              <w:jc w:val="left"/>
            </w:pPr>
            <w:r>
              <w:rPr>
                <w:b w:val="false"/>
                <w:bCs w:val="false"/>
                <w:color w:val="000000"/>
                <w:sz w:val="20"/>
                <w:szCs w:val="20"/>
              </w:rPr>
              <w:t xml:space="preserve">Livraison globale du Loader v1.0 pour environnement TEST</w:t>
            </w:r>
          </w:p>
        </w:tc>
        <w:tc>
          <w:tcPr>
            <w:tcW w:type="dxa" w:w="2200"/>
            <w:tcMar>
              <w:top w:type="dxa" w:w="80"/>
              <w:left w:type="dxa" w:w="120"/>
              <w:bottom w:type="dxa" w:w="80"/>
              <w:right w:type="dxa" w:w="120"/>
            </w:tcMar>
          </w:tcPr>
          <w:p>
            <w:pPr>
              <w:jc w:val="left"/>
            </w:pPr>
            <w:r>
              <w:rPr>
                <w:b w:val="false"/>
                <w:bCs w:val="false"/>
                <w:color w:val="000000"/>
                <w:sz w:val="20"/>
                <w:szCs w:val="20"/>
              </w:rPr>
              <w:t xml:space="preserve">31 juillet 2026</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J-06</w:t>
            </w:r>
          </w:p>
        </w:tc>
        <w:tc>
          <w:tcPr>
            <w:tcW w:type="dxa" w:w="6000"/>
            <w:tcMar>
              <w:top w:type="dxa" w:w="80"/>
              <w:left w:type="dxa" w:w="120"/>
              <w:bottom w:type="dxa" w:w="80"/>
              <w:right w:type="dxa" w:w="120"/>
            </w:tcMar>
          </w:tcPr>
          <w:p>
            <w:pPr>
              <w:jc w:val="left"/>
            </w:pPr>
            <w:r>
              <w:rPr>
                <w:b w:val="false"/>
                <w:bCs w:val="false"/>
                <w:color w:val="000000"/>
                <w:sz w:val="20"/>
                <w:szCs w:val="20"/>
              </w:rPr>
              <w:t xml:space="preserve">Validation de recette et déploiement sur environnement DEMO</w:t>
            </w:r>
          </w:p>
        </w:tc>
        <w:tc>
          <w:tcPr>
            <w:tcW w:type="dxa" w:w="2200"/>
            <w:tcMar>
              <w:top w:type="dxa" w:w="80"/>
              <w:left w:type="dxa" w:w="120"/>
              <w:bottom w:type="dxa" w:w="80"/>
              <w:right w:type="dxa" w:w="120"/>
            </w:tcMar>
          </w:tcPr>
          <w:p>
            <w:pPr>
              <w:jc w:val="left"/>
            </w:pPr>
            <w:r>
              <w:rPr>
                <w:b w:val="false"/>
                <w:bCs w:val="false"/>
                <w:color w:val="000000"/>
                <w:sz w:val="20"/>
                <w:szCs w:val="20"/>
              </w:rPr>
              <w:t xml:space="preserve">Début août 2026</w:t>
            </w:r>
          </w:p>
        </w:tc>
      </w:tr>
      <w:tr>
        <w:tc>
          <w:tcPr>
            <w:tcW w:type="dxa" w:w="1000"/>
            <w:tcMar>
              <w:top w:type="dxa" w:w="80"/>
              <w:left w:type="dxa" w:w="120"/>
              <w:bottom w:type="dxa" w:w="80"/>
              <w:right w:type="dxa" w:w="120"/>
            </w:tcMar>
          </w:tcPr>
          <w:p>
            <w:pPr>
              <w:jc w:val="left"/>
            </w:pPr>
            <w:r>
              <w:rPr>
                <w:b w:val="false"/>
                <w:bCs w:val="false"/>
                <w:color w:val="000000"/>
                <w:sz w:val="20"/>
                <w:szCs w:val="20"/>
              </w:rPr>
              <w:t xml:space="preserve">J-07</w:t>
            </w:r>
          </w:p>
        </w:tc>
        <w:tc>
          <w:tcPr>
            <w:tcW w:type="dxa" w:w="6000"/>
            <w:tcMar>
              <w:top w:type="dxa" w:w="80"/>
              <w:left w:type="dxa" w:w="120"/>
              <w:bottom w:type="dxa" w:w="80"/>
              <w:right w:type="dxa" w:w="120"/>
            </w:tcMar>
          </w:tcPr>
          <w:p>
            <w:pPr>
              <w:jc w:val="left"/>
            </w:pPr>
            <w:r>
              <w:rPr>
                <w:b w:val="false"/>
                <w:bCs w:val="false"/>
                <w:color w:val="000000"/>
                <w:sz w:val="20"/>
                <w:szCs w:val="20"/>
              </w:rPr>
              <w:t xml:space="preserve">Intégration du module loan-service et activation de la partie prêt</w:t>
            </w:r>
          </w:p>
        </w:tc>
        <w:tc>
          <w:tcPr>
            <w:tcW w:type="dxa" w:w="2200"/>
            <w:tcMar>
              <w:top w:type="dxa" w:w="80"/>
              <w:left w:type="dxa" w:w="120"/>
              <w:bottom w:type="dxa" w:w="80"/>
              <w:right w:type="dxa" w:w="120"/>
            </w:tcMar>
          </w:tcPr>
          <w:p>
            <w:pPr>
              <w:jc w:val="left"/>
            </w:pPr>
            <w:r>
              <w:rPr>
                <w:b w:val="false"/>
                <w:bCs w:val="false"/>
                <w:color w:val="000000"/>
                <w:sz w:val="20"/>
                <w:szCs w:val="20"/>
              </w:rPr>
              <w:t xml:space="preserve">À définir avec Duhamel</w:t>
            </w:r>
          </w:p>
        </w:tc>
      </w:tr>
      <w:tr>
        <w:tc>
          <w:tcPr>
            <w:tcW w:type="dxa" w:w="1000"/>
            <w:shd w:fill="E8F5E9" w:val="clear"/>
            <w:tcMar>
              <w:top w:type="dxa" w:w="80"/>
              <w:left w:type="dxa" w:w="120"/>
              <w:bottom w:type="dxa" w:w="80"/>
              <w:right w:type="dxa" w:w="120"/>
            </w:tcMar>
          </w:tcPr>
          <w:p>
            <w:pPr>
              <w:jc w:val="left"/>
            </w:pPr>
            <w:r>
              <w:rPr>
                <w:b/>
                <w:bCs/>
                <w:color w:val="000000"/>
                <w:sz w:val="20"/>
                <w:szCs w:val="20"/>
              </w:rPr>
              <w:t xml:space="preserve">J-08</w:t>
            </w:r>
          </w:p>
        </w:tc>
        <w:tc>
          <w:tcPr>
            <w:tcW w:type="dxa" w:w="6000"/>
            <w:shd w:fill="E8F5E9" w:val="clear"/>
            <w:tcMar>
              <w:top w:type="dxa" w:w="80"/>
              <w:left w:type="dxa" w:w="120"/>
              <w:bottom w:type="dxa" w:w="80"/>
              <w:right w:type="dxa" w:w="120"/>
            </w:tcMar>
          </w:tcPr>
          <w:p>
            <w:pPr>
              <w:jc w:val="left"/>
            </w:pPr>
            <w:r>
              <w:rPr>
                <w:b/>
                <w:bCs/>
                <w:color w:val="000000"/>
                <w:sz w:val="20"/>
                <w:szCs w:val="20"/>
              </w:rPr>
              <w:t xml:space="preserve">Livraison du Module Simulation comportementale et validation des indicateurs PAR/DPD — AJOUT V1.2</w:t>
            </w:r>
          </w:p>
        </w:tc>
        <w:tc>
          <w:tcPr>
            <w:tcW w:type="dxa" w:w="2200"/>
            <w:shd w:fill="E8F5E9" w:val="clear"/>
            <w:tcMar>
              <w:top w:type="dxa" w:w="80"/>
              <w:left w:type="dxa" w:w="120"/>
              <w:bottom w:type="dxa" w:w="80"/>
              <w:right w:type="dxa" w:w="120"/>
            </w:tcMar>
          </w:tcPr>
          <w:p>
            <w:pPr>
              <w:jc w:val="left"/>
            </w:pPr>
            <w:r>
              <w:rPr>
                <w:b/>
                <w:bCs/>
                <w:color w:val="000000"/>
                <w:sz w:val="20"/>
                <w:szCs w:val="20"/>
              </w:rPr>
              <w:t xml:space="preserve">Début août 2026</w:t>
            </w:r>
          </w:p>
        </w:tc>
      </w:tr>
    </w:tbl>
    <w:p>
      <w:r>
        <w:br w:type="page"/>
      </w:r>
    </w:p>
    <w:p>
      <w:pPr>
        <w:pStyle w:val="Heading1"/>
        <w:spacing w:after="240" w:before="480"/>
      </w:pPr>
      <w:r>
        <w:rPr>
          <w:b/>
          <w:bCs/>
          <w:color w:val="6B2E9E"/>
          <w:sz w:val="32"/>
          <w:szCs w:val="32"/>
        </w:rPr>
        <w:t xml:space="preserve">12. Critères de recette</w:t>
      </w:r>
    </w:p>
    <w:p>
      <w:pPr>
        <w:spacing w:after="120"/>
        <w:jc w:val="both"/>
      </w:pPr>
      <w:r>
        <w:rPr>
          <w:b w:val="false"/>
          <w:bCs w:val="false"/>
          <w:i w:val="false"/>
          <w:iCs w:val="false"/>
          <w:sz w:val="22"/>
          <w:szCs w:val="22"/>
        </w:rPr>
        <w:t xml:space="preserve">Le Loader sera considéré comme recette lorsque les critères suivants seront simultanément satisfaits sur l'environnement TEST :</w:t>
      </w:r>
    </w:p>
    <w:p>
      <w:pPr>
        <w:pStyle w:val="ListParagraph"/>
        <w:numPr>
          <w:ilvl w:val="0"/>
          <w:numId w:val="1"/>
        </w:numPr>
        <w:spacing w:after="80"/>
      </w:pPr>
      <w:r>
        <w:rPr>
          <w:b/>
          <w:bCs/>
          <w:sz w:val="22"/>
          <w:szCs w:val="22"/>
        </w:rPr>
        <w:t xml:space="preserve">CR-01 — Géographie complète : </w:t>
      </w:r>
      <w:r>
        <w:rPr>
          <w:sz w:val="22"/>
          <w:szCs w:val="22"/>
        </w:rPr>
        <w:t xml:space="preserve">l'outil génère pour les quatre pays cibles une hiérarchie géographique complète et vérifiable par échantillonnage contre le référentiel officiel.</w:t>
      </w:r>
    </w:p>
    <w:p>
      <w:pPr>
        <w:pStyle w:val="ListParagraph"/>
        <w:numPr>
          <w:ilvl w:val="0"/>
          <w:numId w:val="1"/>
        </w:numPr>
        <w:spacing w:after="80"/>
      </w:pPr>
      <w:r>
        <w:rPr>
          <w:b/>
          <w:bCs/>
          <w:sz w:val="22"/>
          <w:szCs w:val="22"/>
        </w:rPr>
        <w:t xml:space="preserve">CR-02 — Cohérence référentielle : </w:t>
      </w:r>
      <w:r>
        <w:rPr>
          <w:sz w:val="22"/>
          <w:szCs w:val="22"/>
        </w:rPr>
        <w:t xml:space="preserve">aucune incohérence géo-organisationnelle n'est détectée après une génération complète (chaque Kiosque a un District valide, chaque Agence une Ville valide, etc.).</w:t>
      </w:r>
    </w:p>
    <w:p>
      <w:pPr>
        <w:pStyle w:val="ListParagraph"/>
        <w:numPr>
          <w:ilvl w:val="0"/>
          <w:numId w:val="1"/>
        </w:numPr>
        <w:spacing w:after="80"/>
      </w:pPr>
      <w:r>
        <w:rPr>
          <w:b/>
          <w:bCs/>
          <w:sz w:val="22"/>
          <w:szCs w:val="22"/>
        </w:rPr>
        <w:t xml:space="preserve">CR-03 — Idempotence : </w:t>
      </w:r>
      <w:r>
        <w:rPr>
          <w:sz w:val="22"/>
          <w:szCs w:val="22"/>
        </w:rPr>
        <w:t xml:space="preserve">une exécution relancée avec les mêmes paramètres ne produit aucun doublon (vérification par comptage avant/après).</w:t>
      </w:r>
    </w:p>
    <w:p>
      <w:pPr>
        <w:pStyle w:val="ListParagraph"/>
        <w:numPr>
          <w:ilvl w:val="0"/>
          <w:numId w:val="1"/>
        </w:numPr>
        <w:spacing w:after="80"/>
      </w:pPr>
      <w:r>
        <w:rPr>
          <w:b/>
          <w:bCs/>
          <w:sz w:val="22"/>
          <w:szCs w:val="22"/>
        </w:rPr>
        <w:t xml:space="preserve">CR-04 — Volumétrie cible atteinte : </w:t>
      </w:r>
      <w:r>
        <w:rPr>
          <w:sz w:val="22"/>
          <w:szCs w:val="22"/>
        </w:rPr>
        <w:t xml:space="preserve">2000 clients générés en moins de 30 minutes, avec les proportions démographiques et sectorielles spécifiées.</w:t>
      </w:r>
    </w:p>
    <w:p>
      <w:pPr>
        <w:pStyle w:val="ListParagraph"/>
        <w:numPr>
          <w:ilvl w:val="0"/>
          <w:numId w:val="1"/>
        </w:numPr>
        <w:spacing w:after="80"/>
      </w:pPr>
      <w:r>
        <w:rPr>
          <w:b/>
          <w:bCs/>
          <w:sz w:val="22"/>
          <w:szCs w:val="22"/>
        </w:rPr>
        <w:t xml:space="preserve">CR-05 — Interface fonctionnelle : </w:t>
      </w:r>
      <w:r>
        <w:rPr>
          <w:sz w:val="22"/>
          <w:szCs w:val="22"/>
        </w:rPr>
        <w:t xml:space="preserve">un membre non technique de l'équipe peut configurer, lancer et suivre une exécution sans assistance.</w:t>
      </w:r>
    </w:p>
    <w:p>
      <w:pPr>
        <w:pStyle w:val="ListParagraph"/>
        <w:numPr>
          <w:ilvl w:val="0"/>
          <w:numId w:val="1"/>
        </w:numPr>
        <w:spacing w:after="80"/>
      </w:pPr>
      <w:r>
        <w:rPr>
          <w:b/>
          <w:bCs/>
          <w:sz w:val="22"/>
          <w:szCs w:val="22"/>
        </w:rPr>
        <w:t xml:space="preserve">CR-06 — Journal exploitable : </w:t>
      </w:r>
      <w:r>
        <w:rPr>
          <w:sz w:val="22"/>
          <w:szCs w:val="22"/>
        </w:rPr>
        <w:t xml:space="preserve">le journal d'exécution permet de retrouver, pour chaque entité créée, son origine et ses éventuelles erreurs associées.</w:t>
      </w:r>
    </w:p>
    <w:p>
      <w:pPr>
        <w:pStyle w:val="ListParagraph"/>
        <w:numPr>
          <w:ilvl w:val="0"/>
          <w:numId w:val="1"/>
        </w:numPr>
        <w:spacing w:after="80"/>
      </w:pPr>
      <w:r>
        <w:rPr>
          <w:b/>
          <w:bCs/>
          <w:sz w:val="22"/>
          <w:szCs w:val="22"/>
        </w:rPr>
        <w:t xml:space="preserve">CR-07 — Réversibilité : </w:t>
      </w:r>
      <w:r>
        <w:rPr>
          <w:sz w:val="22"/>
          <w:szCs w:val="22"/>
        </w:rPr>
        <w:t xml:space="preserve">les données générées par une exécution peuvent être intégralement supprimées sans effet collatéral sur les exécutions parallèles.</w:t>
      </w:r>
    </w:p>
    <w:p>
      <w:pPr>
        <w:pStyle w:val="ListParagraph"/>
        <w:numPr>
          <w:ilvl w:val="0"/>
          <w:numId w:val="1"/>
        </w:numPr>
        <w:spacing w:after="80"/>
      </w:pPr>
      <w:r>
        <w:rPr>
          <w:b/>
          <w:bCs/>
          <w:sz w:val="22"/>
          <w:szCs w:val="22"/>
        </w:rPr>
        <w:t xml:space="preserve">CR-08 — Conformité réglementaire : </w:t>
      </w:r>
      <w:r>
        <w:rPr>
          <w:sz w:val="22"/>
          <w:szCs w:val="22"/>
        </w:rPr>
        <w:t xml:space="preserve">aucun prêt généré ne dépasse le plafond d'usure BEAC/COBAC ; tous les MSISDN respectent les regex officiels des régulateurs.</w:t>
      </w:r>
    </w:p>
    <w:p>
      <w:pPr>
        <w:spacing w:after="120"/>
        <w:jc w:val="both"/>
      </w:pPr>
      <w:r>
        <w:rPr>
          <w:b w:val="false"/>
          <w:bCs w:val="false"/>
          <w:i w:val="false"/>
          <w:iCs w:val="false"/>
          <w:sz w:val="22"/>
          <w:szCs w:val="22"/>
        </w:rPr>
        <w:t xml:space="preserve"/>
      </w:r>
    </w:p>
    <w:p>
      <w:pPr>
        <w:pBdr>
          <w:top w:val="single" w:color="A5D6A7" w:sz="6" w:space="4"/>
          <w:bottom w:val="single" w:color="A5D6A7" w:sz="6" w:space="4"/>
          <w:left w:val="single" w:color="4CAF50" w:sz="24" w:space="8"/>
          <w:right w:val="single" w:color="A5D6A7" w:sz="6" w:space="4"/>
        </w:pBdr>
        <w:shd w:fill="E8F5E9" w:val="clear"/>
        <w:spacing w:after="120" w:before="120"/>
      </w:pPr>
      <w:r>
        <w:rPr>
          <w:b/>
          <w:bCs/>
          <w:color w:val="4CAF50"/>
          <w:sz w:val="22"/>
          <w:szCs w:val="22"/>
        </w:rPr>
        <w:t xml:space="preserve">AJOUT V1.2 — </w:t>
      </w:r>
      <w:r>
        <w:rPr>
          <w:i/>
          <w:iCs/>
          <w:sz w:val="22"/>
          <w:szCs w:val="22"/>
        </w:rPr>
        <w:t xml:space="preserve">Les critères de recette suivants sont ajoutés en version 1.2 pour valider la crédibilité de la méthodologie de simulation comportementale.</w:t>
      </w:r>
    </w:p>
    <w:p>
      <w:pPr>
        <w:spacing w:after="120"/>
        <w:jc w:val="both"/>
      </w:pPr>
      <w:r>
        <w:rPr>
          <w:b w:val="false"/>
          <w:bCs w:val="false"/>
          <w:i w:val="false"/>
          <w:iCs w:val="false"/>
          <w:sz w:val="22"/>
          <w:szCs w:val="22"/>
        </w:rPr>
        <w:t xml:space="preserve"/>
      </w:r>
    </w:p>
    <w:p>
      <w:pPr>
        <w:pStyle w:val="ListParagraph"/>
        <w:numPr>
          <w:ilvl w:val="0"/>
          <w:numId w:val="1"/>
        </w:numPr>
        <w:shd w:fill="E8F5E9" w:val="clear"/>
        <w:spacing w:after="80"/>
      </w:pPr>
      <w:r>
        <w:rPr>
          <w:b/>
          <w:bCs/>
          <w:sz w:val="22"/>
          <w:szCs w:val="22"/>
        </w:rPr>
        <w:t xml:space="preserve">CR-09 — Distribution comportementale : </w:t>
      </w:r>
      <w:r>
        <w:rPr>
          <w:sz w:val="22"/>
          <w:szCs w:val="22"/>
        </w:rPr>
        <w:t xml:space="preserve">sur un échantillon de 1000 clients générés, la répartition des profils comportementaux respecte les poids configurés à plus ou moins 3 pour cent. Pour la distribution par défaut : bon payeur entre 47 et 53 pour cent, retard puis paiement entre 22 et 28 pour cent, défaut partiel entre 10 et 16 pour cent, défaut total entre 9 et 15 pour cent.</w:t>
      </w:r>
    </w:p>
    <w:p>
      <w:pPr>
        <w:pStyle w:val="ListParagraph"/>
        <w:numPr>
          <w:ilvl w:val="0"/>
          <w:numId w:val="1"/>
        </w:numPr>
        <w:shd w:fill="E8F5E9" w:val="clear"/>
        <w:spacing w:after="80"/>
      </w:pPr>
      <w:r>
        <w:rPr>
          <w:b/>
          <w:bCs/>
          <w:sz w:val="22"/>
          <w:szCs w:val="22"/>
        </w:rPr>
        <w:t xml:space="preserve">CR-10 — Cohérence des séquences : </w:t>
      </w:r>
      <w:r>
        <w:rPr>
          <w:sz w:val="22"/>
          <w:szCs w:val="22"/>
        </w:rPr>
        <w:t xml:space="preserve">sur 100 prêts générés, chaque séquence de remboursement est fidèle au profil comportemental attribué au client. Un client bon payeur produit trois versements progressifs avant échéance ; un client en défaut total ne produit aucun remboursement mais quatre jalons de retard.</w:t>
      </w:r>
    </w:p>
    <w:p>
      <w:pPr>
        <w:pStyle w:val="ListParagraph"/>
        <w:numPr>
          <w:ilvl w:val="0"/>
          <w:numId w:val="1"/>
        </w:numPr>
        <w:shd w:fill="E8F5E9" w:val="clear"/>
        <w:spacing w:after="80"/>
      </w:pPr>
      <w:r>
        <w:rPr>
          <w:b/>
          <w:bCs/>
          <w:sz w:val="22"/>
          <w:szCs w:val="22"/>
        </w:rPr>
        <w:t xml:space="preserve">CR-11 — Indicateurs Portfolio At Risk crédibles : </w:t>
      </w:r>
      <w:r>
        <w:rPr>
          <w:sz w:val="22"/>
          <w:szCs w:val="22"/>
        </w:rPr>
        <w:t xml:space="preserve">sur un portefeuille de 500 prêts, les indicateurs produits respectent les seuils standards de la microfinance : PAR30 inférieur ou égal à 15 pour cent, PAR90 inférieur ou égal à 8 pour cent, taux de recouvrement supérieur ou égal à 85 pour cent.</w:t>
      </w:r>
    </w:p>
    <w:p>
      <w:pPr>
        <w:pStyle w:val="ListParagraph"/>
        <w:numPr>
          <w:ilvl w:val="0"/>
          <w:numId w:val="1"/>
        </w:numPr>
        <w:shd w:fill="E8F5E9" w:val="clear"/>
        <w:spacing w:after="80"/>
      </w:pPr>
      <w:r>
        <w:rPr>
          <w:b/>
          <w:bCs/>
          <w:sz w:val="22"/>
          <w:szCs w:val="22"/>
        </w:rPr>
        <w:t xml:space="preserve">CR-12 — Cohérence de l'alimentation des comptes : </w:t>
      </w:r>
      <w:r>
        <w:rPr>
          <w:sz w:val="22"/>
          <w:szCs w:val="22"/>
        </w:rPr>
        <w:t xml:space="preserve">sur un échantillon de 200 clients ayant contracté au moins un prêt, le solde final du compte de chaque client est égal à son solde initial, augmenté des décaissements de prêts et diminué des remboursements effectués. Aucune incohérence n'est tolérée.</w:t>
      </w:r>
    </w:p>
    <w:p>
      <w:pPr>
        <w:spacing w:after="120"/>
        <w:jc w:val="both"/>
      </w:pPr>
      <w:r>
        <w:rPr>
          <w:b w:val="false"/>
          <w:bCs w:val="false"/>
          <w:i w:val="false"/>
          <w:iCs w:val="false"/>
          <w:sz w:val="22"/>
          <w:szCs w:val="22"/>
        </w:rPr>
        <w:t xml:space="preserve"/>
      </w:r>
    </w:p>
    <w:p>
      <w:pPr>
        <w:spacing w:after="120"/>
        <w:jc w:val="both"/>
      </w:pPr>
      <w:r>
        <w:rPr>
          <w:b w:val="false"/>
          <w:bCs w:val="false"/>
          <w:i w:val="false"/>
          <w:iCs w:val="false"/>
          <w:sz w:val="22"/>
          <w:szCs w:val="22"/>
        </w:rPr>
        <w:t xml:space="preserve">La validation formelle est effectuée par JJ Bwanga (COO) et Kuate Abdel Yaniv (QA Lead) sur démonstration en environnement TEST, avec production d'un rapport de recette archivé dans l'espace Confluence FinZuu.</w:t>
      </w:r>
    </w:p>
    <w:p>
      <w:r>
        <w:br w:type="page"/>
      </w:r>
    </w:p>
    <w:p>
      <w:pPr>
        <w:pStyle w:val="Heading1"/>
        <w:spacing w:after="240" w:before="480"/>
      </w:pPr>
      <w:r>
        <w:rPr>
          <w:b/>
          <w:bCs/>
          <w:color w:val="6B2E9E"/>
          <w:sz w:val="32"/>
          <w:szCs w:val="32"/>
        </w:rPr>
        <w:t xml:space="preserve">13. Annexes</w:t>
      </w:r>
    </w:p>
    <w:p>
      <w:pPr>
        <w:pStyle w:val="Heading2"/>
        <w:spacing w:after="180" w:before="360"/>
      </w:pPr>
      <w:r>
        <w:rPr>
          <w:b/>
          <w:bCs/>
          <w:color w:val="6B2E9E"/>
          <w:sz w:val="26"/>
          <w:szCs w:val="26"/>
        </w:rPr>
        <w:t xml:space="preserve">Annexe A — Référentiel géographique Loader_Base_FinZuu</w:t>
      </w:r>
    </w:p>
    <w:p>
      <w:pPr>
        <w:spacing w:after="120"/>
        <w:jc w:val="both"/>
      </w:pPr>
      <w:r>
        <w:rPr>
          <w:b w:val="false"/>
          <w:bCs w:val="false"/>
          <w:i w:val="false"/>
          <w:iCs w:val="false"/>
          <w:sz w:val="22"/>
          <w:szCs w:val="22"/>
        </w:rPr>
        <w:t xml:space="preserve">Le référentiel géographique est matérialisé par le fichier Loader_Base_FinZuu_v1.1.xlsx, comportant huit feuilles relationnelles : README, Countries, Regions, Cities, Districts, Telcos, Currencies, Config_Loader. Ce fichier fait partie intégrante du présent cahier des charges et est référencé dans EF-01.</w:t>
      </w:r>
    </w:p>
    <w:p>
      <w:pPr>
        <w:pStyle w:val="Heading2"/>
        <w:spacing w:after="180" w:before="360"/>
      </w:pPr>
      <w:r>
        <w:rPr>
          <w:b/>
          <w:bCs/>
          <w:color w:val="6B2E9E"/>
          <w:sz w:val="26"/>
          <w:szCs w:val="26"/>
        </w:rPr>
        <w:t xml:space="preserve">Annexe B — Cartographie de l'API Faker fintech4esg</w:t>
      </w:r>
    </w:p>
    <w:p>
      <w:pPr>
        <w:spacing w:after="120"/>
        <w:jc w:val="both"/>
      </w:pPr>
      <w:r>
        <w:rPr>
          <w:b w:val="false"/>
          <w:bCs w:val="false"/>
          <w:i w:val="false"/>
          <w:iCs w:val="false"/>
          <w:sz w:val="22"/>
          <w:szCs w:val="22"/>
        </w:rPr>
        <w:t xml:space="preserve">L'API Faker expose 15 endpoints répartis en 5 familles fonctionnelles : clients simples, clients scoring, historique et vue enrichie, scoring form, cache management. La documentation empirique complète est publiée sur l'espace Confluence Tests FinZuu et sera maintenue tout au long du projet.</w:t>
      </w:r>
    </w:p>
    <w:p>
      <w:pPr>
        <w:spacing w:after="120"/>
        <w:jc w:val="both"/>
      </w:pPr>
      <w:r>
        <w:rPr>
          <w:b w:val="false"/>
          <w:bCs w:val="false"/>
          <w:i w:val="false"/>
          <w:iCs w:val="false"/>
          <w:sz w:val="22"/>
          <w:szCs w:val="22"/>
        </w:rPr>
        <w:t xml:space="preserve">Les six types de compagnies observés empiriquement dans Faker sont : Entreprise Individuelle, SA, SARL, SAS, Fondation, Association. Les statuts de prêts observés sont FINISHED et ONGOING. Les produits de crédit observés dans Faker sont Nano et Macro. La divergence de nomenclature avec les documents internes FinZuu est tranchée en version 1.2 par la publication du catalogue officiel (voir Annexe E).</w:t>
      </w:r>
    </w:p>
    <w:p>
      <w:pPr>
        <w:pStyle w:val="Heading2"/>
        <w:spacing w:after="180" w:before="360"/>
      </w:pPr>
      <w:r>
        <w:rPr>
          <w:b/>
          <w:bCs/>
          <w:color w:val="6B2E9E"/>
          <w:sz w:val="26"/>
          <w:szCs w:val="26"/>
        </w:rPr>
        <w:t xml:space="preserve">Annexe C — Sources documentaires</w:t>
      </w:r>
    </w:p>
    <w:p>
      <w:pPr>
        <w:pStyle w:val="ListParagraph"/>
        <w:numPr>
          <w:ilvl w:val="0"/>
          <w:numId w:val="1"/>
        </w:numPr>
        <w:spacing w:after="80"/>
      </w:pPr>
      <w:r>
        <w:rPr>
          <w:sz w:val="22"/>
          <w:szCs w:val="22"/>
        </w:rPr>
        <w:t xml:space="preserve">Message WhatsApp de JJ Bwanga du 16 juillet 2026 (mandat de conception).</w:t>
      </w:r>
    </w:p>
    <w:p>
      <w:pPr>
        <w:pStyle w:val="ListParagraph"/>
        <w:numPr>
          <w:ilvl w:val="0"/>
          <w:numId w:val="1"/>
        </w:numPr>
        <w:spacing w:after="80"/>
      </w:pPr>
      <w:r>
        <w:rPr>
          <w:sz w:val="22"/>
          <w:szCs w:val="22"/>
        </w:rPr>
        <w:t xml:space="preserve">Fichier Loader_Base_FinZuu_v1.1.xlsx (retour Direction Technique du 17 juillet 2026).</w:t>
      </w:r>
    </w:p>
    <w:p>
      <w:pPr>
        <w:pStyle w:val="ListParagraph"/>
        <w:numPr>
          <w:ilvl w:val="0"/>
          <w:numId w:val="1"/>
        </w:numPr>
        <w:spacing w:after="80"/>
      </w:pPr>
      <w:r>
        <w:rPr>
          <w:sz w:val="22"/>
          <w:szCs w:val="22"/>
        </w:rPr>
        <w:t xml:space="preserve">Documentation empirique Faker publiée sur l'espace Confluence Tests FinZuu.</w:t>
      </w:r>
    </w:p>
    <w:p>
      <w:pPr>
        <w:pStyle w:val="ListParagraph"/>
        <w:numPr>
          <w:ilvl w:val="0"/>
          <w:numId w:val="1"/>
        </w:numPr>
        <w:spacing w:after="80"/>
      </w:pPr>
      <w:r>
        <w:rPr>
          <w:sz w:val="22"/>
          <w:szCs w:val="22"/>
        </w:rPr>
        <w:t xml:space="preserve">Documentation du module loan-service fournie par Duhamel (dt@finzuu.com) le 20 juillet 2026 — AJOUT V1.2.</w:t>
      </w:r>
    </w:p>
    <w:p>
      <w:r>
        <w:br w:type="page"/>
      </w:r>
    </w:p>
    <w:p>
      <w:pPr>
        <w:pStyle w:val="Heading2"/>
        <w:spacing w:after="180" w:before="360"/>
      </w:pPr>
      <w:r>
        <w:rPr>
          <w:b/>
          <w:bCs/>
          <w:color w:val="6B2E9E"/>
          <w:sz w:val="26"/>
          <w:szCs w:val="26"/>
        </w:rPr>
        <w:t xml:space="preserve">Annexe D — Méthodologie de simulation comportementale (AJOUT V1.2)</w:t>
      </w:r>
    </w:p>
    <w:p>
      <w:pPr>
        <w:spacing w:after="120"/>
        <w:jc w:val="both"/>
      </w:pPr>
      <w:r>
        <w:rPr>
          <w:b w:val="false"/>
          <w:bCs w:val="false"/>
          <w:i w:val="false"/>
          <w:iCs w:val="false"/>
          <w:sz w:val="22"/>
          <w:szCs w:val="22"/>
        </w:rPr>
        <w:t xml:space="preserve">Cette annexe formalise la méthodologie de simulation comportementale intégrée en version 1.2, issue du travail du référent loan-simulation. Elle documente les quatre profils comportementaux, les règles d'ajustement contextuel, la compression temporelle et le tracking Portfolio At Risk.</w:t>
      </w:r>
    </w:p>
    <w:p>
      <w:pPr>
        <w:pStyle w:val="Heading3"/>
        <w:spacing w:after="120" w:before="240"/>
      </w:pPr>
      <w:r>
        <w:rPr>
          <w:b/>
          <w:bCs/>
          <w:color w:val="4CAF50"/>
          <w:sz w:val="22"/>
          <w:szCs w:val="22"/>
        </w:rPr>
        <w:t xml:space="preserve">D.1 Les quatre profils comportementaux</w:t>
      </w:r>
    </w:p>
    <w:p>
      <w:pPr>
        <w:spacing w:after="120"/>
        <w:jc w:val="both"/>
      </w:pPr>
      <w:r>
        <w:rPr>
          <w:b w:val="false"/>
          <w:bCs w:val="false"/>
          <w:i w:val="false"/>
          <w:iCs w:val="false"/>
          <w:sz w:val="22"/>
          <w:szCs w:val="22"/>
        </w:rPr>
        <w:t xml:space="preserve">Chaque client généré se voit attribuer un profil parmi quatre valeurs, chacune correspondant à une trajectoire de remboursement observée empiriquement en microfinance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6B2E9E" w:val="clear"/>
            <w:tcMar>
              <w:top w:type="dxa" w:w="100"/>
              <w:left w:type="dxa" w:w="120"/>
              <w:bottom w:type="dxa" w:w="100"/>
              <w:right w:type="dxa" w:w="120"/>
            </w:tcMar>
          </w:tcPr>
          <w:p>
            <w:pPr>
              <w:jc w:val="center"/>
            </w:pPr>
            <w:r>
              <w:rPr>
                <w:b/>
                <w:bCs/>
                <w:color w:val="FFFFFF"/>
                <w:sz w:val="20"/>
                <w:szCs w:val="20"/>
              </w:rPr>
              <w:t xml:space="preserve">Profil</w:t>
            </w:r>
          </w:p>
        </w:tc>
        <w:tc>
          <w:tcPr>
            <w:tcW w:type="dxa" w:w="2000"/>
            <w:shd w:fill="6B2E9E" w:val="clear"/>
            <w:tcMar>
              <w:top w:type="dxa" w:w="100"/>
              <w:left w:type="dxa" w:w="120"/>
              <w:bottom w:type="dxa" w:w="100"/>
              <w:right w:type="dxa" w:w="120"/>
            </w:tcMar>
          </w:tcPr>
          <w:p>
            <w:pPr>
              <w:jc w:val="center"/>
            </w:pPr>
            <w:r>
              <w:rPr>
                <w:b/>
                <w:bCs/>
                <w:color w:val="FFFFFF"/>
                <w:sz w:val="20"/>
                <w:szCs w:val="20"/>
              </w:rPr>
              <w:t xml:space="preserve">Poids par défaut</w:t>
            </w:r>
          </w:p>
        </w:tc>
        <w:tc>
          <w:tcPr>
            <w:tcW w:type="dxa" w:w="4600"/>
            <w:shd w:fill="6B2E9E" w:val="clear"/>
            <w:tcMar>
              <w:top w:type="dxa" w:w="100"/>
              <w:left w:type="dxa" w:w="120"/>
              <w:bottom w:type="dxa" w:w="100"/>
              <w:right w:type="dxa" w:w="120"/>
            </w:tcMar>
          </w:tcPr>
          <w:p>
            <w:pPr>
              <w:jc w:val="center"/>
            </w:pPr>
            <w:r>
              <w:rPr>
                <w:b/>
                <w:bCs/>
                <w:color w:val="FFFFFF"/>
                <w:sz w:val="20"/>
                <w:szCs w:val="20"/>
              </w:rPr>
              <w:t xml:space="preserve">Description métier</w:t>
            </w:r>
          </w:p>
        </w:tc>
      </w:tr>
      <w:tr>
        <w:tc>
          <w:tcPr>
            <w:tcW w:type="dxa" w:w="2600"/>
            <w:tcMar>
              <w:top w:type="dxa" w:w="80"/>
              <w:left w:type="dxa" w:w="120"/>
              <w:bottom w:type="dxa" w:w="80"/>
              <w:right w:type="dxa" w:w="120"/>
            </w:tcMar>
          </w:tcPr>
          <w:p>
            <w:pPr>
              <w:jc w:val="left"/>
            </w:pPr>
            <w:r>
              <w:rPr>
                <w:b w:val="false"/>
                <w:bCs w:val="false"/>
                <w:color w:val="000000"/>
                <w:sz w:val="20"/>
                <w:szCs w:val="20"/>
              </w:rPr>
              <w:t xml:space="preserve">Bon payeur</w:t>
            </w:r>
          </w:p>
        </w:tc>
        <w:tc>
          <w:tcPr>
            <w:tcW w:type="dxa" w:w="2000"/>
            <w:tcMar>
              <w:top w:type="dxa" w:w="80"/>
              <w:left w:type="dxa" w:w="120"/>
              <w:bottom w:type="dxa" w:w="80"/>
              <w:right w:type="dxa" w:w="120"/>
            </w:tcMar>
          </w:tcPr>
          <w:p>
            <w:pPr>
              <w:jc w:val="left"/>
            </w:pPr>
            <w:r>
              <w:rPr>
                <w:b w:val="false"/>
                <w:bCs w:val="false"/>
                <w:color w:val="000000"/>
                <w:sz w:val="20"/>
                <w:szCs w:val="20"/>
              </w:rPr>
              <w:t xml:space="preserve">50 %</w:t>
            </w:r>
          </w:p>
        </w:tc>
        <w:tc>
          <w:tcPr>
            <w:tcW w:type="dxa" w:w="4600"/>
            <w:tcMar>
              <w:top w:type="dxa" w:w="80"/>
              <w:left w:type="dxa" w:w="120"/>
              <w:bottom w:type="dxa" w:w="80"/>
              <w:right w:type="dxa" w:w="120"/>
            </w:tcMar>
          </w:tcPr>
          <w:p>
            <w:pPr>
              <w:jc w:val="left"/>
            </w:pPr>
            <w:r>
              <w:rPr>
                <w:b w:val="false"/>
                <w:bCs w:val="false"/>
                <w:color w:val="000000"/>
                <w:sz w:val="20"/>
                <w:szCs w:val="20"/>
              </w:rPr>
              <w:t xml:space="preserve">Le client rembourse la totalité du prêt avant l'échéance, en trois versements progressifs.</w:t>
            </w:r>
          </w:p>
        </w:tc>
      </w:tr>
      <w:tr>
        <w:tc>
          <w:tcPr>
            <w:tcW w:type="dxa" w:w="2600"/>
            <w:tcMar>
              <w:top w:type="dxa" w:w="80"/>
              <w:left w:type="dxa" w:w="120"/>
              <w:bottom w:type="dxa" w:w="80"/>
              <w:right w:type="dxa" w:w="120"/>
            </w:tcMar>
          </w:tcPr>
          <w:p>
            <w:pPr>
              <w:jc w:val="left"/>
            </w:pPr>
            <w:r>
              <w:rPr>
                <w:b w:val="false"/>
                <w:bCs w:val="false"/>
                <w:color w:val="000000"/>
                <w:sz w:val="20"/>
                <w:szCs w:val="20"/>
              </w:rPr>
              <w:t xml:space="preserve">Retard puis paiement</w:t>
            </w:r>
          </w:p>
        </w:tc>
        <w:tc>
          <w:tcPr>
            <w:tcW w:type="dxa" w:w="2000"/>
            <w:tcMar>
              <w:top w:type="dxa" w:w="80"/>
              <w:left w:type="dxa" w:w="120"/>
              <w:bottom w:type="dxa" w:w="80"/>
              <w:right w:type="dxa" w:w="120"/>
            </w:tcMar>
          </w:tcPr>
          <w:p>
            <w:pPr>
              <w:jc w:val="left"/>
            </w:pPr>
            <w:r>
              <w:rPr>
                <w:b w:val="false"/>
                <w:bCs w:val="false"/>
                <w:color w:val="000000"/>
                <w:sz w:val="20"/>
                <w:szCs w:val="20"/>
              </w:rPr>
              <w:t xml:space="preserve">25 %</w:t>
            </w:r>
          </w:p>
        </w:tc>
        <w:tc>
          <w:tcPr>
            <w:tcW w:type="dxa" w:w="4600"/>
            <w:tcMar>
              <w:top w:type="dxa" w:w="80"/>
              <w:left w:type="dxa" w:w="120"/>
              <w:bottom w:type="dxa" w:w="80"/>
              <w:right w:type="dxa" w:w="120"/>
            </w:tcMar>
          </w:tcPr>
          <w:p>
            <w:pPr>
              <w:jc w:val="left"/>
            </w:pPr>
            <w:r>
              <w:rPr>
                <w:b w:val="false"/>
                <w:bCs w:val="false"/>
                <w:color w:val="000000"/>
                <w:sz w:val="20"/>
                <w:szCs w:val="20"/>
              </w:rPr>
              <w:t xml:space="preserve">Le client effectue un premier remboursement partiel, puis complète le solde une dizaine de jours après l'échéance. Le prêt est finalement soldé, mais avec un retard formel.</w:t>
            </w:r>
          </w:p>
        </w:tc>
      </w:tr>
      <w:tr>
        <w:tc>
          <w:tcPr>
            <w:tcW w:type="dxa" w:w="2600"/>
            <w:tcMar>
              <w:top w:type="dxa" w:w="80"/>
              <w:left w:type="dxa" w:w="120"/>
              <w:bottom w:type="dxa" w:w="80"/>
              <w:right w:type="dxa" w:w="120"/>
            </w:tcMar>
          </w:tcPr>
          <w:p>
            <w:pPr>
              <w:jc w:val="left"/>
            </w:pPr>
            <w:r>
              <w:rPr>
                <w:b w:val="false"/>
                <w:bCs w:val="false"/>
                <w:color w:val="000000"/>
                <w:sz w:val="20"/>
                <w:szCs w:val="20"/>
              </w:rPr>
              <w:t xml:space="preserve">Défaut partiel</w:t>
            </w:r>
          </w:p>
        </w:tc>
        <w:tc>
          <w:tcPr>
            <w:tcW w:type="dxa" w:w="2000"/>
            <w:tcMar>
              <w:top w:type="dxa" w:w="80"/>
              <w:left w:type="dxa" w:w="120"/>
              <w:bottom w:type="dxa" w:w="80"/>
              <w:right w:type="dxa" w:w="120"/>
            </w:tcMar>
          </w:tcPr>
          <w:p>
            <w:pPr>
              <w:jc w:val="left"/>
            </w:pPr>
            <w:r>
              <w:rPr>
                <w:b w:val="false"/>
                <w:bCs w:val="false"/>
                <w:color w:val="000000"/>
                <w:sz w:val="20"/>
                <w:szCs w:val="20"/>
              </w:rPr>
              <w:t xml:space="preserve">13 %</w:t>
            </w:r>
          </w:p>
        </w:tc>
        <w:tc>
          <w:tcPr>
            <w:tcW w:type="dxa" w:w="4600"/>
            <w:tcMar>
              <w:top w:type="dxa" w:w="80"/>
              <w:left w:type="dxa" w:w="120"/>
              <w:bottom w:type="dxa" w:w="80"/>
              <w:right w:type="dxa" w:w="120"/>
            </w:tcMar>
          </w:tcPr>
          <w:p>
            <w:pPr>
              <w:jc w:val="left"/>
            </w:pPr>
            <w:r>
              <w:rPr>
                <w:b w:val="false"/>
                <w:bCs w:val="false"/>
                <w:color w:val="000000"/>
                <w:sz w:val="20"/>
                <w:szCs w:val="20"/>
              </w:rPr>
              <w:t xml:space="preserve">Le client effectue un remboursement partiel initial, puis n'honore aucun autre paiement. Le prêt reste en défaut partiel avec un DPD croissant.</w:t>
            </w:r>
          </w:p>
        </w:tc>
      </w:tr>
      <w:tr>
        <w:tc>
          <w:tcPr>
            <w:tcW w:type="dxa" w:w="2600"/>
            <w:tcMar>
              <w:top w:type="dxa" w:w="80"/>
              <w:left w:type="dxa" w:w="120"/>
              <w:bottom w:type="dxa" w:w="80"/>
              <w:right w:type="dxa" w:w="120"/>
            </w:tcMar>
          </w:tcPr>
          <w:p>
            <w:pPr>
              <w:jc w:val="left"/>
            </w:pPr>
            <w:r>
              <w:rPr>
                <w:b w:val="false"/>
                <w:bCs w:val="false"/>
                <w:color w:val="000000"/>
                <w:sz w:val="20"/>
                <w:szCs w:val="20"/>
              </w:rPr>
              <w:t xml:space="preserve">Défaut total</w:t>
            </w:r>
          </w:p>
        </w:tc>
        <w:tc>
          <w:tcPr>
            <w:tcW w:type="dxa" w:w="2000"/>
            <w:tcMar>
              <w:top w:type="dxa" w:w="80"/>
              <w:left w:type="dxa" w:w="120"/>
              <w:bottom w:type="dxa" w:w="80"/>
              <w:right w:type="dxa" w:w="120"/>
            </w:tcMar>
          </w:tcPr>
          <w:p>
            <w:pPr>
              <w:jc w:val="left"/>
            </w:pPr>
            <w:r>
              <w:rPr>
                <w:b w:val="false"/>
                <w:bCs w:val="false"/>
                <w:color w:val="000000"/>
                <w:sz w:val="20"/>
                <w:szCs w:val="20"/>
              </w:rPr>
              <w:t xml:space="preserve">12 %</w:t>
            </w:r>
          </w:p>
        </w:tc>
        <w:tc>
          <w:tcPr>
            <w:tcW w:type="dxa" w:w="4600"/>
            <w:tcMar>
              <w:top w:type="dxa" w:w="80"/>
              <w:left w:type="dxa" w:w="120"/>
              <w:bottom w:type="dxa" w:w="80"/>
              <w:right w:type="dxa" w:w="120"/>
            </w:tcMar>
          </w:tcPr>
          <w:p>
            <w:pPr>
              <w:jc w:val="left"/>
            </w:pPr>
            <w:r>
              <w:rPr>
                <w:b w:val="false"/>
                <w:bCs w:val="false"/>
                <w:color w:val="000000"/>
                <w:sz w:val="20"/>
                <w:szCs w:val="20"/>
              </w:rPr>
              <w:t xml:space="preserve">Le client n'effectue aucun remboursement. Le prêt évolue en défaut total, avec des jalons DPD émis à 15, 30, 60 et 90 jours.</w:t>
            </w:r>
          </w:p>
        </w:tc>
      </w:tr>
    </w:tbl>
    <w:p>
      <w:pPr>
        <w:pStyle w:val="Heading3"/>
        <w:spacing w:after="120" w:before="240"/>
      </w:pPr>
      <w:r>
        <w:rPr>
          <w:b/>
          <w:bCs/>
          <w:color w:val="4CAF50"/>
          <w:sz w:val="22"/>
          <w:szCs w:val="22"/>
        </w:rPr>
        <w:t xml:space="preserve">D.2 Ajustement contextuel</w:t>
      </w:r>
    </w:p>
    <w:p>
      <w:pPr>
        <w:spacing w:after="120"/>
        <w:jc w:val="both"/>
      </w:pPr>
      <w:r>
        <w:rPr>
          <w:b w:val="false"/>
          <w:bCs w:val="false"/>
          <w:i w:val="false"/>
          <w:iCs w:val="false"/>
          <w:sz w:val="22"/>
          <w:szCs w:val="22"/>
        </w:rPr>
        <w:t xml:space="preserve">L'attribution du profil est ajustée selon neuf variables du client, permettant de refléter les corrélations empiriques observées dans la microfinance en Afrique subsaharienne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rPr>
          <w:tblHeader/>
        </w:trPr>
        <w:tc>
          <w:tcPr>
            <w:tcW w:type="dxa" w:w="3600"/>
            <w:shd w:fill="6B2E9E" w:val="clear"/>
            <w:tcMar>
              <w:top w:type="dxa" w:w="100"/>
              <w:left w:type="dxa" w:w="120"/>
              <w:bottom w:type="dxa" w:w="100"/>
              <w:right w:type="dxa" w:w="120"/>
            </w:tcMar>
          </w:tcPr>
          <w:p>
            <w:pPr>
              <w:jc w:val="center"/>
            </w:pPr>
            <w:r>
              <w:rPr>
                <w:b/>
                <w:bCs/>
                <w:color w:val="FFFFFF"/>
                <w:sz w:val="20"/>
                <w:szCs w:val="20"/>
              </w:rPr>
              <w:t xml:space="preserve">Variable</w:t>
            </w:r>
          </w:p>
        </w:tc>
        <w:tc>
          <w:tcPr>
            <w:tcW w:type="dxa" w:w="5600"/>
            <w:shd w:fill="6B2E9E" w:val="clear"/>
            <w:tcMar>
              <w:top w:type="dxa" w:w="100"/>
              <w:left w:type="dxa" w:w="120"/>
              <w:bottom w:type="dxa" w:w="100"/>
              <w:right w:type="dxa" w:w="120"/>
            </w:tcMar>
          </w:tcPr>
          <w:p>
            <w:pPr>
              <w:jc w:val="center"/>
            </w:pPr>
            <w:r>
              <w:rPr>
                <w:b/>
                <w:bCs/>
                <w:color w:val="FFFFFF"/>
                <w:sz w:val="20"/>
                <w:szCs w:val="20"/>
              </w:rPr>
              <w:t xml:space="preserve">Effet sur les profils</w:t>
            </w:r>
          </w:p>
        </w:tc>
      </w:tr>
      <w:tr>
        <w:tc>
          <w:tcPr>
            <w:tcW w:type="dxa" w:w="3600"/>
            <w:tcMar>
              <w:top w:type="dxa" w:w="80"/>
              <w:left w:type="dxa" w:w="120"/>
              <w:bottom w:type="dxa" w:w="80"/>
              <w:right w:type="dxa" w:w="120"/>
            </w:tcMar>
          </w:tcPr>
          <w:p>
            <w:pPr>
              <w:jc w:val="left"/>
            </w:pPr>
            <w:r>
              <w:rPr>
                <w:b w:val="false"/>
                <w:bCs w:val="false"/>
                <w:color w:val="000000"/>
                <w:sz w:val="20"/>
                <w:szCs w:val="20"/>
              </w:rPr>
              <w:t xml:space="preserve">Genre féminin</w:t>
            </w:r>
          </w:p>
        </w:tc>
        <w:tc>
          <w:tcPr>
            <w:tcW w:type="dxa" w:w="5600"/>
            <w:tcMar>
              <w:top w:type="dxa" w:w="80"/>
              <w:left w:type="dxa" w:w="120"/>
              <w:bottom w:type="dxa" w:w="80"/>
              <w:right w:type="dxa" w:w="120"/>
            </w:tcMar>
          </w:tcPr>
          <w:p>
            <w:pPr>
              <w:jc w:val="left"/>
            </w:pPr>
            <w:r>
              <w:rPr>
                <w:b w:val="false"/>
                <w:bCs w:val="false"/>
                <w:color w:val="000000"/>
                <w:sz w:val="20"/>
                <w:szCs w:val="20"/>
              </w:rPr>
              <w:t xml:space="preserve">Renforce le profil bon payeur, réduit le défaut total</w:t>
            </w:r>
          </w:p>
        </w:tc>
      </w:tr>
      <w:tr>
        <w:tc>
          <w:tcPr>
            <w:tcW w:type="dxa" w:w="3600"/>
            <w:tcMar>
              <w:top w:type="dxa" w:w="80"/>
              <w:left w:type="dxa" w:w="120"/>
              <w:bottom w:type="dxa" w:w="80"/>
              <w:right w:type="dxa" w:w="120"/>
            </w:tcMar>
          </w:tcPr>
          <w:p>
            <w:pPr>
              <w:jc w:val="left"/>
            </w:pPr>
            <w:r>
              <w:rPr>
                <w:b w:val="false"/>
                <w:bCs w:val="false"/>
                <w:color w:val="000000"/>
                <w:sz w:val="20"/>
                <w:szCs w:val="20"/>
              </w:rPr>
              <w:t xml:space="preserve">Genre masculin</w:t>
            </w:r>
          </w:p>
        </w:tc>
        <w:tc>
          <w:tcPr>
            <w:tcW w:type="dxa" w:w="5600"/>
            <w:tcMar>
              <w:top w:type="dxa" w:w="80"/>
              <w:left w:type="dxa" w:w="120"/>
              <w:bottom w:type="dxa" w:w="80"/>
              <w:right w:type="dxa" w:w="120"/>
            </w:tcMar>
          </w:tcPr>
          <w:p>
            <w:pPr>
              <w:jc w:val="left"/>
            </w:pPr>
            <w:r>
              <w:rPr>
                <w:b w:val="false"/>
                <w:bCs w:val="false"/>
                <w:color w:val="000000"/>
                <w:sz w:val="20"/>
                <w:szCs w:val="20"/>
              </w:rPr>
              <w:t xml:space="preserve">Effet neutre à légèrement défavorable</w:t>
            </w:r>
          </w:p>
        </w:tc>
      </w:tr>
      <w:tr>
        <w:tc>
          <w:tcPr>
            <w:tcW w:type="dxa" w:w="3600"/>
            <w:tcMar>
              <w:top w:type="dxa" w:w="80"/>
              <w:left w:type="dxa" w:w="120"/>
              <w:bottom w:type="dxa" w:w="80"/>
              <w:right w:type="dxa" w:w="120"/>
            </w:tcMar>
          </w:tcPr>
          <w:p>
            <w:pPr>
              <w:jc w:val="left"/>
            </w:pPr>
            <w:r>
              <w:rPr>
                <w:b w:val="false"/>
                <w:bCs w:val="false"/>
                <w:color w:val="000000"/>
                <w:sz w:val="20"/>
                <w:szCs w:val="20"/>
              </w:rPr>
              <w:t xml:space="preserve">Âge inférieur à 22 ans</w:t>
            </w:r>
          </w:p>
        </w:tc>
        <w:tc>
          <w:tcPr>
            <w:tcW w:type="dxa" w:w="5600"/>
            <w:tcMar>
              <w:top w:type="dxa" w:w="80"/>
              <w:left w:type="dxa" w:w="120"/>
              <w:bottom w:type="dxa" w:w="80"/>
              <w:right w:type="dxa" w:w="120"/>
            </w:tcMar>
          </w:tcPr>
          <w:p>
            <w:pPr>
              <w:jc w:val="left"/>
            </w:pPr>
            <w:r>
              <w:rPr>
                <w:b w:val="false"/>
                <w:bCs w:val="false"/>
                <w:color w:val="000000"/>
                <w:sz w:val="20"/>
                <w:szCs w:val="20"/>
              </w:rPr>
              <w:t xml:space="preserve">Renforce le défaut total</w:t>
            </w:r>
          </w:p>
        </w:tc>
      </w:tr>
      <w:tr>
        <w:tc>
          <w:tcPr>
            <w:tcW w:type="dxa" w:w="3600"/>
            <w:tcMar>
              <w:top w:type="dxa" w:w="80"/>
              <w:left w:type="dxa" w:w="120"/>
              <w:bottom w:type="dxa" w:w="80"/>
              <w:right w:type="dxa" w:w="120"/>
            </w:tcMar>
          </w:tcPr>
          <w:p>
            <w:pPr>
              <w:jc w:val="left"/>
            </w:pPr>
            <w:r>
              <w:rPr>
                <w:b w:val="false"/>
                <w:bCs w:val="false"/>
                <w:color w:val="000000"/>
                <w:sz w:val="20"/>
                <w:szCs w:val="20"/>
              </w:rPr>
              <w:t xml:space="preserve">Âge entre 35 et 65 ans</w:t>
            </w:r>
          </w:p>
        </w:tc>
        <w:tc>
          <w:tcPr>
            <w:tcW w:type="dxa" w:w="5600"/>
            <w:tcMar>
              <w:top w:type="dxa" w:w="80"/>
              <w:left w:type="dxa" w:w="120"/>
              <w:bottom w:type="dxa" w:w="80"/>
              <w:right w:type="dxa" w:w="120"/>
            </w:tcMar>
          </w:tcPr>
          <w:p>
            <w:pPr>
              <w:jc w:val="left"/>
            </w:pPr>
            <w:r>
              <w:rPr>
                <w:b w:val="false"/>
                <w:bCs w:val="false"/>
                <w:color w:val="000000"/>
                <w:sz w:val="20"/>
                <w:szCs w:val="20"/>
              </w:rPr>
              <w:t xml:space="preserve">Renforce le profil bon payeur</w:t>
            </w:r>
          </w:p>
        </w:tc>
      </w:tr>
      <w:tr>
        <w:tc>
          <w:tcPr>
            <w:tcW w:type="dxa" w:w="3600"/>
            <w:tcMar>
              <w:top w:type="dxa" w:w="80"/>
              <w:left w:type="dxa" w:w="120"/>
              <w:bottom w:type="dxa" w:w="80"/>
              <w:right w:type="dxa" w:w="120"/>
            </w:tcMar>
          </w:tcPr>
          <w:p>
            <w:pPr>
              <w:jc w:val="left"/>
            </w:pPr>
            <w:r>
              <w:rPr>
                <w:b w:val="false"/>
                <w:bCs w:val="false"/>
                <w:color w:val="000000"/>
                <w:sz w:val="20"/>
                <w:szCs w:val="20"/>
              </w:rPr>
              <w:t xml:space="preserve">Segment de risque Very High</w:t>
            </w:r>
          </w:p>
        </w:tc>
        <w:tc>
          <w:tcPr>
            <w:tcW w:type="dxa" w:w="5600"/>
            <w:tcMar>
              <w:top w:type="dxa" w:w="80"/>
              <w:left w:type="dxa" w:w="120"/>
              <w:bottom w:type="dxa" w:w="80"/>
              <w:right w:type="dxa" w:w="120"/>
            </w:tcMar>
          </w:tcPr>
          <w:p>
            <w:pPr>
              <w:jc w:val="left"/>
            </w:pPr>
            <w:r>
              <w:rPr>
                <w:b w:val="false"/>
                <w:bCs w:val="false"/>
                <w:color w:val="000000"/>
                <w:sz w:val="20"/>
                <w:szCs w:val="20"/>
              </w:rPr>
              <w:t xml:space="preserve">Renforce le profil bon payeur</w:t>
            </w:r>
          </w:p>
        </w:tc>
      </w:tr>
      <w:tr>
        <w:tc>
          <w:tcPr>
            <w:tcW w:type="dxa" w:w="3600"/>
            <w:tcMar>
              <w:top w:type="dxa" w:w="80"/>
              <w:left w:type="dxa" w:w="120"/>
              <w:bottom w:type="dxa" w:w="80"/>
              <w:right w:type="dxa" w:w="120"/>
            </w:tcMar>
          </w:tcPr>
          <w:p>
            <w:pPr>
              <w:jc w:val="left"/>
            </w:pPr>
            <w:r>
              <w:rPr>
                <w:b w:val="false"/>
                <w:bCs w:val="false"/>
                <w:color w:val="000000"/>
                <w:sz w:val="20"/>
                <w:szCs w:val="20"/>
              </w:rPr>
              <w:t xml:space="preserve">Segment de risque Very Low</w:t>
            </w:r>
          </w:p>
        </w:tc>
        <w:tc>
          <w:tcPr>
            <w:tcW w:type="dxa" w:w="5600"/>
            <w:tcMar>
              <w:top w:type="dxa" w:w="80"/>
              <w:left w:type="dxa" w:w="120"/>
              <w:bottom w:type="dxa" w:w="80"/>
              <w:right w:type="dxa" w:w="120"/>
            </w:tcMar>
          </w:tcPr>
          <w:p>
            <w:pPr>
              <w:jc w:val="left"/>
            </w:pPr>
            <w:r>
              <w:rPr>
                <w:b w:val="false"/>
                <w:bCs w:val="false"/>
                <w:color w:val="000000"/>
                <w:sz w:val="20"/>
                <w:szCs w:val="20"/>
              </w:rPr>
              <w:t xml:space="preserve">Renforce le défaut total</w:t>
            </w:r>
          </w:p>
        </w:tc>
      </w:tr>
      <w:tr>
        <w:tc>
          <w:tcPr>
            <w:tcW w:type="dxa" w:w="3600"/>
            <w:tcMar>
              <w:top w:type="dxa" w:w="80"/>
              <w:left w:type="dxa" w:w="120"/>
              <w:bottom w:type="dxa" w:w="80"/>
              <w:right w:type="dxa" w:w="120"/>
            </w:tcMar>
          </w:tcPr>
          <w:p>
            <w:pPr>
              <w:jc w:val="left"/>
            </w:pPr>
            <w:r>
              <w:rPr>
                <w:b w:val="false"/>
                <w:bCs w:val="false"/>
                <w:color w:val="000000"/>
                <w:sz w:val="20"/>
                <w:szCs w:val="20"/>
              </w:rPr>
              <w:t xml:space="preserve">Historique de remboursement supérieur à 85 %</w:t>
            </w:r>
          </w:p>
        </w:tc>
        <w:tc>
          <w:tcPr>
            <w:tcW w:type="dxa" w:w="5600"/>
            <w:tcMar>
              <w:top w:type="dxa" w:w="80"/>
              <w:left w:type="dxa" w:w="120"/>
              <w:bottom w:type="dxa" w:w="80"/>
              <w:right w:type="dxa" w:w="120"/>
            </w:tcMar>
          </w:tcPr>
          <w:p>
            <w:pPr>
              <w:jc w:val="left"/>
            </w:pPr>
            <w:r>
              <w:rPr>
                <w:b w:val="false"/>
                <w:bCs w:val="false"/>
                <w:color w:val="000000"/>
                <w:sz w:val="20"/>
                <w:szCs w:val="20"/>
              </w:rPr>
              <w:t xml:space="preserve">Renforce fortement le profil bon payeur</w:t>
            </w:r>
          </w:p>
        </w:tc>
      </w:tr>
      <w:tr>
        <w:tc>
          <w:tcPr>
            <w:tcW w:type="dxa" w:w="3600"/>
            <w:tcMar>
              <w:top w:type="dxa" w:w="80"/>
              <w:left w:type="dxa" w:w="120"/>
              <w:bottom w:type="dxa" w:w="80"/>
              <w:right w:type="dxa" w:w="120"/>
            </w:tcMar>
          </w:tcPr>
          <w:p>
            <w:pPr>
              <w:jc w:val="left"/>
            </w:pPr>
            <w:r>
              <w:rPr>
                <w:b w:val="false"/>
                <w:bCs w:val="false"/>
                <w:color w:val="000000"/>
                <w:sz w:val="20"/>
                <w:szCs w:val="20"/>
              </w:rPr>
              <w:t xml:space="preserve">Historique de retard maximum supérieur à 30 jours</w:t>
            </w:r>
          </w:p>
        </w:tc>
        <w:tc>
          <w:tcPr>
            <w:tcW w:type="dxa" w:w="5600"/>
            <w:tcMar>
              <w:top w:type="dxa" w:w="80"/>
              <w:left w:type="dxa" w:w="120"/>
              <w:bottom w:type="dxa" w:w="80"/>
              <w:right w:type="dxa" w:w="120"/>
            </w:tcMar>
          </w:tcPr>
          <w:p>
            <w:pPr>
              <w:jc w:val="left"/>
            </w:pPr>
            <w:r>
              <w:rPr>
                <w:b w:val="false"/>
                <w:bCs w:val="false"/>
                <w:color w:val="000000"/>
                <w:sz w:val="20"/>
                <w:szCs w:val="20"/>
              </w:rPr>
              <w:t xml:space="preserve">Renforce le défaut total</w:t>
            </w:r>
          </w:p>
        </w:tc>
      </w:tr>
      <w:tr>
        <w:tc>
          <w:tcPr>
            <w:tcW w:type="dxa" w:w="3600"/>
            <w:tcMar>
              <w:top w:type="dxa" w:w="80"/>
              <w:left w:type="dxa" w:w="120"/>
              <w:bottom w:type="dxa" w:w="80"/>
              <w:right w:type="dxa" w:w="120"/>
            </w:tcMar>
          </w:tcPr>
          <w:p>
            <w:pPr>
              <w:jc w:val="left"/>
            </w:pPr>
            <w:r>
              <w:rPr>
                <w:b w:val="false"/>
                <w:bCs w:val="false"/>
                <w:color w:val="000000"/>
                <w:sz w:val="20"/>
                <w:szCs w:val="20"/>
              </w:rPr>
              <w:t xml:space="preserve">Solde Mobile Money supérieur à 150 000 FCFA</w:t>
            </w:r>
          </w:p>
        </w:tc>
        <w:tc>
          <w:tcPr>
            <w:tcW w:type="dxa" w:w="5600"/>
            <w:tcMar>
              <w:top w:type="dxa" w:w="80"/>
              <w:left w:type="dxa" w:w="120"/>
              <w:bottom w:type="dxa" w:w="80"/>
              <w:right w:type="dxa" w:w="120"/>
            </w:tcMar>
          </w:tcPr>
          <w:p>
            <w:pPr>
              <w:jc w:val="left"/>
            </w:pPr>
            <w:r>
              <w:rPr>
                <w:b w:val="false"/>
                <w:bCs w:val="false"/>
                <w:color w:val="000000"/>
                <w:sz w:val="20"/>
                <w:szCs w:val="20"/>
              </w:rPr>
              <w:t xml:space="preserve">Renforce le profil bon payeur</w:t>
            </w:r>
          </w:p>
        </w:tc>
      </w:tr>
    </w:tbl>
    <w:p>
      <w:pPr>
        <w:pStyle w:val="Heading3"/>
        <w:spacing w:after="120" w:before="240"/>
      </w:pPr>
      <w:r>
        <w:rPr>
          <w:b/>
          <w:bCs/>
          <w:color w:val="4CAF50"/>
          <w:sz w:val="22"/>
          <w:szCs w:val="22"/>
        </w:rPr>
        <w:t xml:space="preserve">D.3 Compression temporelle</w:t>
      </w:r>
    </w:p>
    <w:p>
      <w:pPr>
        <w:spacing w:after="120"/>
        <w:jc w:val="both"/>
      </w:pPr>
      <w:r>
        <w:rPr>
          <w:b w:val="false"/>
          <w:bCs w:val="false"/>
          <w:i w:val="false"/>
          <w:iCs w:val="false"/>
          <w:sz w:val="22"/>
          <w:szCs w:val="22"/>
        </w:rPr>
        <w:t xml:space="preserve">La simulation supporte trois modes de compression du temps, permettant d'adapter la génération aux besoins :</w:t>
      </w:r>
    </w:p>
    <w:p>
      <w:pPr>
        <w:pStyle w:val="ListParagraph"/>
        <w:numPr>
          <w:ilvl w:val="0"/>
          <w:numId w:val="1"/>
        </w:numPr>
        <w:spacing w:after="80"/>
      </w:pPr>
      <w:r>
        <w:rPr>
          <w:b/>
          <w:bCs/>
          <w:sz w:val="22"/>
          <w:szCs w:val="22"/>
        </w:rPr>
        <w:t xml:space="preserve">Instantané : </w:t>
      </w:r>
      <w:r>
        <w:rPr>
          <w:sz w:val="22"/>
          <w:szCs w:val="22"/>
        </w:rPr>
        <w:t xml:space="preserve">l'ensemble des événements est matérialisé immédiatement. Mode par défaut pour le peuplement en masse.</w:t>
      </w:r>
    </w:p>
    <w:p>
      <w:pPr>
        <w:pStyle w:val="ListParagraph"/>
        <w:numPr>
          <w:ilvl w:val="0"/>
          <w:numId w:val="1"/>
        </w:numPr>
        <w:spacing w:after="80"/>
      </w:pPr>
      <w:r>
        <w:rPr>
          <w:b/>
          <w:bCs/>
          <w:sz w:val="22"/>
          <w:szCs w:val="22"/>
        </w:rPr>
        <w:t xml:space="preserve">Accéléré : </w:t>
      </w:r>
      <w:r>
        <w:rPr>
          <w:sz w:val="22"/>
          <w:szCs w:val="22"/>
        </w:rPr>
        <w:t xml:space="preserve">un jour métier est représenté par une durée réelle comprise entre 0,2 et 60 secondes. Adapté à la démonstration commerciale d'un cycle complet.</w:t>
      </w:r>
    </w:p>
    <w:p>
      <w:pPr>
        <w:pStyle w:val="ListParagraph"/>
        <w:numPr>
          <w:ilvl w:val="0"/>
          <w:numId w:val="1"/>
        </w:numPr>
        <w:spacing w:after="80"/>
      </w:pPr>
      <w:r>
        <w:rPr>
          <w:b/>
          <w:bCs/>
          <w:sz w:val="22"/>
          <w:szCs w:val="22"/>
        </w:rPr>
        <w:t xml:space="preserve">Réaliste : </w:t>
      </w:r>
      <w:r>
        <w:rPr>
          <w:sz w:val="22"/>
          <w:szCs w:val="22"/>
        </w:rPr>
        <w:t xml:space="preserve">un jour métier est représenté par environ 226 secondes de temps réel. Simulation lente pour observation en conditions proches du réel.</w:t>
      </w:r>
    </w:p>
    <w:p>
      <w:pPr>
        <w:pStyle w:val="Heading3"/>
        <w:spacing w:after="120" w:before="240"/>
      </w:pPr>
      <w:r>
        <w:rPr>
          <w:b/>
          <w:bCs/>
          <w:color w:val="4CAF50"/>
          <w:sz w:val="22"/>
          <w:szCs w:val="22"/>
        </w:rPr>
        <w:t xml:space="preserve">D.4 Tracking Portfolio At Risk</w:t>
      </w:r>
    </w:p>
    <w:p>
      <w:pPr>
        <w:spacing w:after="120"/>
        <w:jc w:val="both"/>
      </w:pPr>
      <w:r>
        <w:rPr>
          <w:b w:val="false"/>
          <w:bCs w:val="false"/>
          <w:i w:val="false"/>
          <w:iCs w:val="false"/>
          <w:sz w:val="22"/>
          <w:szCs w:val="22"/>
        </w:rPr>
        <w:t xml:space="preserve">Les indicateurs Portfolio At Risk produits par le Loader suivent les standards mondiaux de la microfinance, avec des seuils DPD (Days Past Due) reconnus :</w:t>
      </w:r>
    </w:p>
    <w:p>
      <w:pPr>
        <w:pStyle w:val="ListParagraph"/>
        <w:numPr>
          <w:ilvl w:val="0"/>
          <w:numId w:val="1"/>
        </w:numPr>
        <w:spacing w:after="80"/>
      </w:pPr>
      <w:r>
        <w:rPr>
          <w:sz w:val="22"/>
          <w:szCs w:val="22"/>
        </w:rPr>
        <w:t xml:space="preserve">PAR1 — prêts en retard d'un jour ou plus</w:t>
      </w:r>
    </w:p>
    <w:p>
      <w:pPr>
        <w:pStyle w:val="ListParagraph"/>
        <w:numPr>
          <w:ilvl w:val="0"/>
          <w:numId w:val="1"/>
        </w:numPr>
        <w:spacing w:after="80"/>
      </w:pPr>
      <w:r>
        <w:rPr>
          <w:sz w:val="22"/>
          <w:szCs w:val="22"/>
        </w:rPr>
        <w:t xml:space="preserve">PAR10 — prêts en retard de 10 jours ou plus</w:t>
      </w:r>
    </w:p>
    <w:p>
      <w:pPr>
        <w:pStyle w:val="ListParagraph"/>
        <w:numPr>
          <w:ilvl w:val="0"/>
          <w:numId w:val="1"/>
        </w:numPr>
        <w:spacing w:after="80"/>
      </w:pPr>
      <w:r>
        <w:rPr>
          <w:sz w:val="22"/>
          <w:szCs w:val="22"/>
        </w:rPr>
        <w:t xml:space="preserve">PAR30 — prêts en retard de 30 jours ou plus (seuil de vigilance de gestion)</w:t>
      </w:r>
    </w:p>
    <w:p>
      <w:pPr>
        <w:pStyle w:val="ListParagraph"/>
        <w:numPr>
          <w:ilvl w:val="0"/>
          <w:numId w:val="1"/>
        </w:numPr>
        <w:spacing w:after="80"/>
      </w:pPr>
      <w:r>
        <w:rPr>
          <w:sz w:val="22"/>
          <w:szCs w:val="22"/>
        </w:rPr>
        <w:t xml:space="preserve">PAR60 — prêts en retard de 60 jours ou plus</w:t>
      </w:r>
    </w:p>
    <w:p>
      <w:pPr>
        <w:pStyle w:val="ListParagraph"/>
        <w:numPr>
          <w:ilvl w:val="0"/>
          <w:numId w:val="1"/>
        </w:numPr>
        <w:spacing w:after="80"/>
      </w:pPr>
      <w:r>
        <w:rPr>
          <w:sz w:val="22"/>
          <w:szCs w:val="22"/>
        </w:rPr>
        <w:t xml:space="preserve">PAR90 — prêts en retard de 90 jours ou plus (seuil de défaut comptable)</w:t>
      </w:r>
    </w:p>
    <w:p>
      <w:pPr>
        <w:spacing w:after="120"/>
        <w:jc w:val="both"/>
      </w:pPr>
      <w:r>
        <w:rPr>
          <w:b w:val="false"/>
          <w:bCs w:val="false"/>
          <w:i w:val="false"/>
          <w:iCs w:val="false"/>
          <w:sz w:val="22"/>
          <w:szCs w:val="22"/>
        </w:rPr>
        <w:t xml:space="preserve">Ces indicateurs sont exposés en montants et en taux (pourcentages du portefeuille), et sont complétés par le taux de recouvrement (collection rate) et le montant total décaissé (disbursed amount).</w:t>
      </w:r>
    </w:p>
    <w:p>
      <w:r>
        <w:br w:type="page"/>
      </w:r>
    </w:p>
    <w:p>
      <w:pPr>
        <w:pStyle w:val="Heading2"/>
        <w:spacing w:after="180" w:before="360"/>
      </w:pPr>
      <w:r>
        <w:rPr>
          <w:b/>
          <w:bCs/>
          <w:color w:val="6B2E9E"/>
          <w:sz w:val="26"/>
          <w:szCs w:val="26"/>
        </w:rPr>
        <w:t xml:space="preserve">Annexe E — Catalogue produits crédit officiel (AJOUT V1.2)</w:t>
      </w:r>
    </w:p>
    <w:p>
      <w:pPr>
        <w:spacing w:after="120"/>
        <w:jc w:val="both"/>
      </w:pPr>
      <w:r>
        <w:rPr>
          <w:b w:val="false"/>
          <w:bCs w:val="false"/>
          <w:i w:val="false"/>
          <w:iCs w:val="false"/>
          <w:sz w:val="22"/>
          <w:szCs w:val="22"/>
        </w:rPr>
        <w:t xml:space="preserve">Le catalogue produits crédit officiel, validé par la Direction Technique le 20 juillet 2026, définit les quatre produits crédit FinZuu avec leur segmentation par risque. Il tranche définitivement la divergence de nomenclature signalée en contrainte CO-02.</w:t>
      </w:r>
    </w:p>
    <w:p>
      <w:pPr>
        <w:pStyle w:val="Heading3"/>
        <w:spacing w:after="120" w:before="240"/>
      </w:pPr>
      <w:r>
        <w:rPr>
          <w:b/>
          <w:bCs/>
          <w:color w:val="4CAF50"/>
          <w:sz w:val="22"/>
          <w:szCs w:val="22"/>
        </w:rPr>
        <w:t xml:space="preserve">Produit Nano</w:t>
      </w:r>
    </w:p>
    <w:p>
      <w:pPr>
        <w:spacing w:after="120"/>
        <w:jc w:val="both"/>
      </w:pPr>
      <w:r>
        <w:rPr>
          <w:b w:val="false"/>
          <w:bCs w:val="false"/>
          <w:i w:val="false"/>
          <w:iCs w:val="false"/>
          <w:sz w:val="22"/>
          <w:szCs w:val="22"/>
        </w:rPr>
        <w:t xml:space="preserve">Produit destiné exclusivement à la clientèle Individual, sur une durée de 15 jours. Taux d'intérêt entre 7 et 25 pour cent annuel.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shd w:fill="6B2E9E" w:val="clear"/>
            <w:tcMar>
              <w:top w:type="dxa" w:w="100"/>
              <w:left w:type="dxa" w:w="120"/>
              <w:bottom w:type="dxa" w:w="100"/>
              <w:right w:type="dxa" w:w="120"/>
            </w:tcMar>
          </w:tcPr>
          <w:p>
            <w:pPr>
              <w:jc w:val="center"/>
            </w:pPr>
            <w:r>
              <w:rPr>
                <w:b/>
                <w:bCs/>
                <w:color w:val="FFFFFF"/>
                <w:sz w:val="20"/>
                <w:szCs w:val="20"/>
              </w:rPr>
              <w:t xml:space="preserve">Segment de risque</w:t>
            </w:r>
          </w:p>
        </w:tc>
        <w:tc>
          <w:tcPr>
            <w:tcW w:type="dxa" w:w="6000"/>
            <w:shd w:fill="6B2E9E" w:val="clear"/>
            <w:tcMar>
              <w:top w:type="dxa" w:w="100"/>
              <w:left w:type="dxa" w:w="120"/>
              <w:bottom w:type="dxa" w:w="100"/>
              <w:right w:type="dxa" w:w="120"/>
            </w:tcMar>
          </w:tcPr>
          <w:p>
            <w:pPr>
              <w:jc w:val="center"/>
            </w:pPr>
            <w:r>
              <w:rPr>
                <w:b/>
                <w:bCs/>
                <w:color w:val="FFFFFF"/>
                <w:sz w:val="20"/>
                <w:szCs w:val="20"/>
              </w:rPr>
              <w:t xml:space="preserve">Fourchette de montant (FCFA)</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Very High</w:t>
            </w:r>
          </w:p>
        </w:tc>
        <w:tc>
          <w:tcPr>
            <w:tcW w:type="dxa" w:w="6000"/>
            <w:tcMar>
              <w:top w:type="dxa" w:w="80"/>
              <w:left w:type="dxa" w:w="120"/>
              <w:bottom w:type="dxa" w:w="80"/>
              <w:right w:type="dxa" w:w="120"/>
            </w:tcMar>
          </w:tcPr>
          <w:p>
            <w:pPr>
              <w:jc w:val="left"/>
            </w:pPr>
            <w:r>
              <w:rPr>
                <w:b w:val="false"/>
                <w:bCs w:val="false"/>
                <w:color w:val="000000"/>
                <w:sz w:val="20"/>
                <w:szCs w:val="20"/>
              </w:rPr>
              <w:t xml:space="preserve">100 000 à 200 000</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High</w:t>
            </w:r>
          </w:p>
        </w:tc>
        <w:tc>
          <w:tcPr>
            <w:tcW w:type="dxa" w:w="6000"/>
            <w:tcMar>
              <w:top w:type="dxa" w:w="80"/>
              <w:left w:type="dxa" w:w="120"/>
              <w:bottom w:type="dxa" w:w="80"/>
              <w:right w:type="dxa" w:w="120"/>
            </w:tcMar>
          </w:tcPr>
          <w:p>
            <w:pPr>
              <w:jc w:val="left"/>
            </w:pPr>
            <w:r>
              <w:rPr>
                <w:b w:val="false"/>
                <w:bCs w:val="false"/>
                <w:color w:val="000000"/>
                <w:sz w:val="20"/>
                <w:szCs w:val="20"/>
              </w:rPr>
              <w:t xml:space="preserve">60 000 à 100 000</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Medium</w:t>
            </w:r>
          </w:p>
        </w:tc>
        <w:tc>
          <w:tcPr>
            <w:tcW w:type="dxa" w:w="6000"/>
            <w:tcMar>
              <w:top w:type="dxa" w:w="80"/>
              <w:left w:type="dxa" w:w="120"/>
              <w:bottom w:type="dxa" w:w="80"/>
              <w:right w:type="dxa" w:w="120"/>
            </w:tcMar>
          </w:tcPr>
          <w:p>
            <w:pPr>
              <w:jc w:val="left"/>
            </w:pPr>
            <w:r>
              <w:rPr>
                <w:b w:val="false"/>
                <w:bCs w:val="false"/>
                <w:color w:val="000000"/>
                <w:sz w:val="20"/>
                <w:szCs w:val="20"/>
              </w:rPr>
              <w:t xml:space="preserve">30 000 à 60 000</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Low</w:t>
            </w:r>
          </w:p>
        </w:tc>
        <w:tc>
          <w:tcPr>
            <w:tcW w:type="dxa" w:w="6000"/>
            <w:tcMar>
              <w:top w:type="dxa" w:w="80"/>
              <w:left w:type="dxa" w:w="120"/>
              <w:bottom w:type="dxa" w:w="80"/>
              <w:right w:type="dxa" w:w="120"/>
            </w:tcMar>
          </w:tcPr>
          <w:p>
            <w:pPr>
              <w:jc w:val="left"/>
            </w:pPr>
            <w:r>
              <w:rPr>
                <w:b w:val="false"/>
                <w:bCs w:val="false"/>
                <w:color w:val="000000"/>
                <w:sz w:val="20"/>
                <w:szCs w:val="20"/>
              </w:rPr>
              <w:t xml:space="preserve">15 000 à 30 000</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Very Low</w:t>
            </w:r>
          </w:p>
        </w:tc>
        <w:tc>
          <w:tcPr>
            <w:tcW w:type="dxa" w:w="6000"/>
            <w:tcMar>
              <w:top w:type="dxa" w:w="80"/>
              <w:left w:type="dxa" w:w="120"/>
              <w:bottom w:type="dxa" w:w="80"/>
              <w:right w:type="dxa" w:w="120"/>
            </w:tcMar>
          </w:tcPr>
          <w:p>
            <w:pPr>
              <w:jc w:val="left"/>
            </w:pPr>
            <w:r>
              <w:rPr>
                <w:b w:val="false"/>
                <w:bCs w:val="false"/>
                <w:color w:val="000000"/>
                <w:sz w:val="20"/>
                <w:szCs w:val="20"/>
              </w:rPr>
              <w:t xml:space="preserve">5 000 à 15 000</w:t>
            </w:r>
          </w:p>
        </w:tc>
      </w:tr>
    </w:tbl>
    <w:p>
      <w:pPr>
        <w:pStyle w:val="Heading3"/>
        <w:spacing w:after="120" w:before="240"/>
      </w:pPr>
      <w:r>
        <w:rPr>
          <w:b/>
          <w:bCs/>
          <w:color w:val="4CAF50"/>
          <w:sz w:val="22"/>
          <w:szCs w:val="22"/>
        </w:rPr>
        <w:t xml:space="preserve">Produit Macro</w:t>
      </w:r>
    </w:p>
    <w:p>
      <w:pPr>
        <w:spacing w:after="120"/>
        <w:jc w:val="both"/>
      </w:pPr>
      <w:r>
        <w:rPr>
          <w:b w:val="false"/>
          <w:bCs w:val="false"/>
          <w:i w:val="false"/>
          <w:iCs w:val="false"/>
          <w:sz w:val="22"/>
          <w:szCs w:val="22"/>
        </w:rPr>
        <w:t xml:space="preserve">Produit destiné exclusivement à la clientèle Business (Corporate), sur une durée de 15 jours. Taux d'intérêt entre 7 et 25 pour cent annuel.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shd w:fill="6B2E9E" w:val="clear"/>
            <w:tcMar>
              <w:top w:type="dxa" w:w="100"/>
              <w:left w:type="dxa" w:w="120"/>
              <w:bottom w:type="dxa" w:w="100"/>
              <w:right w:type="dxa" w:w="120"/>
            </w:tcMar>
          </w:tcPr>
          <w:p>
            <w:pPr>
              <w:jc w:val="center"/>
            </w:pPr>
            <w:r>
              <w:rPr>
                <w:b/>
                <w:bCs/>
                <w:color w:val="FFFFFF"/>
                <w:sz w:val="20"/>
                <w:szCs w:val="20"/>
              </w:rPr>
              <w:t xml:space="preserve">Segment de risque</w:t>
            </w:r>
          </w:p>
        </w:tc>
        <w:tc>
          <w:tcPr>
            <w:tcW w:type="dxa" w:w="6000"/>
            <w:shd w:fill="6B2E9E" w:val="clear"/>
            <w:tcMar>
              <w:top w:type="dxa" w:w="100"/>
              <w:left w:type="dxa" w:w="120"/>
              <w:bottom w:type="dxa" w:w="100"/>
              <w:right w:type="dxa" w:w="120"/>
            </w:tcMar>
          </w:tcPr>
          <w:p>
            <w:pPr>
              <w:jc w:val="center"/>
            </w:pPr>
            <w:r>
              <w:rPr>
                <w:b/>
                <w:bCs/>
                <w:color w:val="FFFFFF"/>
                <w:sz w:val="20"/>
                <w:szCs w:val="20"/>
              </w:rPr>
              <w:t xml:space="preserve">Fourchette de montant (FCFA)</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Very High</w:t>
            </w:r>
          </w:p>
        </w:tc>
        <w:tc>
          <w:tcPr>
            <w:tcW w:type="dxa" w:w="6000"/>
            <w:tcMar>
              <w:top w:type="dxa" w:w="80"/>
              <w:left w:type="dxa" w:w="120"/>
              <w:bottom w:type="dxa" w:w="80"/>
              <w:right w:type="dxa" w:w="120"/>
            </w:tcMar>
          </w:tcPr>
          <w:p>
            <w:pPr>
              <w:jc w:val="left"/>
            </w:pPr>
            <w:r>
              <w:rPr>
                <w:b w:val="false"/>
                <w:bCs w:val="false"/>
                <w:color w:val="000000"/>
                <w:sz w:val="20"/>
                <w:szCs w:val="20"/>
              </w:rPr>
              <w:t xml:space="preserve">300 000 à 600 000</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High</w:t>
            </w:r>
          </w:p>
        </w:tc>
        <w:tc>
          <w:tcPr>
            <w:tcW w:type="dxa" w:w="6000"/>
            <w:tcMar>
              <w:top w:type="dxa" w:w="80"/>
              <w:left w:type="dxa" w:w="120"/>
              <w:bottom w:type="dxa" w:w="80"/>
              <w:right w:type="dxa" w:w="120"/>
            </w:tcMar>
          </w:tcPr>
          <w:p>
            <w:pPr>
              <w:jc w:val="left"/>
            </w:pPr>
            <w:r>
              <w:rPr>
                <w:b w:val="false"/>
                <w:bCs w:val="false"/>
                <w:color w:val="000000"/>
                <w:sz w:val="20"/>
                <w:szCs w:val="20"/>
              </w:rPr>
              <w:t xml:space="preserve">150 000 à 300 000</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Medium</w:t>
            </w:r>
          </w:p>
        </w:tc>
        <w:tc>
          <w:tcPr>
            <w:tcW w:type="dxa" w:w="6000"/>
            <w:tcMar>
              <w:top w:type="dxa" w:w="80"/>
              <w:left w:type="dxa" w:w="120"/>
              <w:bottom w:type="dxa" w:w="80"/>
              <w:right w:type="dxa" w:w="120"/>
            </w:tcMar>
          </w:tcPr>
          <w:p>
            <w:pPr>
              <w:jc w:val="left"/>
            </w:pPr>
            <w:r>
              <w:rPr>
                <w:b w:val="false"/>
                <w:bCs w:val="false"/>
                <w:color w:val="000000"/>
                <w:sz w:val="20"/>
                <w:szCs w:val="20"/>
              </w:rPr>
              <w:t xml:space="preserve">100 000 à 200 000</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Low</w:t>
            </w:r>
          </w:p>
        </w:tc>
        <w:tc>
          <w:tcPr>
            <w:tcW w:type="dxa" w:w="6000"/>
            <w:tcMar>
              <w:top w:type="dxa" w:w="80"/>
              <w:left w:type="dxa" w:w="120"/>
              <w:bottom w:type="dxa" w:w="80"/>
              <w:right w:type="dxa" w:w="120"/>
            </w:tcMar>
          </w:tcPr>
          <w:p>
            <w:pPr>
              <w:jc w:val="left"/>
            </w:pPr>
            <w:r>
              <w:rPr>
                <w:b w:val="false"/>
                <w:bCs w:val="false"/>
                <w:color w:val="000000"/>
                <w:sz w:val="20"/>
                <w:szCs w:val="20"/>
              </w:rPr>
              <w:t xml:space="preserve">75 000 à 100 000</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Very Low</w:t>
            </w:r>
          </w:p>
        </w:tc>
        <w:tc>
          <w:tcPr>
            <w:tcW w:type="dxa" w:w="6000"/>
            <w:tcMar>
              <w:top w:type="dxa" w:w="80"/>
              <w:left w:type="dxa" w:w="120"/>
              <w:bottom w:type="dxa" w:w="80"/>
              <w:right w:type="dxa" w:w="120"/>
            </w:tcMar>
          </w:tcPr>
          <w:p>
            <w:pPr>
              <w:jc w:val="left"/>
            </w:pPr>
            <w:r>
              <w:rPr>
                <w:b w:val="false"/>
                <w:bCs w:val="false"/>
                <w:color w:val="000000"/>
                <w:sz w:val="20"/>
                <w:szCs w:val="20"/>
              </w:rPr>
              <w:t xml:space="preserve">25 000 à 75 000</w:t>
            </w:r>
          </w:p>
        </w:tc>
      </w:tr>
    </w:tbl>
    <w:p>
      <w:pPr>
        <w:pStyle w:val="Heading3"/>
        <w:spacing w:after="120" w:before="240"/>
      </w:pPr>
      <w:r>
        <w:rPr>
          <w:b/>
          <w:bCs/>
          <w:color w:val="4CAF50"/>
          <w:sz w:val="22"/>
          <w:szCs w:val="22"/>
        </w:rPr>
        <w:t xml:space="preserve">Produit BNPL (Buy Now Pay Later)</w:t>
      </w:r>
    </w:p>
    <w:p>
      <w:pPr>
        <w:spacing w:after="120"/>
        <w:jc w:val="both"/>
      </w:pPr>
      <w:r>
        <w:rPr>
          <w:b w:val="false"/>
          <w:bCs w:val="false"/>
          <w:i w:val="false"/>
          <w:iCs w:val="false"/>
          <w:sz w:val="22"/>
          <w:szCs w:val="22"/>
        </w:rPr>
        <w:t xml:space="preserve">Produit ouvert à la clientèle Individual et Business, sur une durée de 30 jours. Taux d'intérêt entre 7 et 25 pour cent annuel.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shd w:fill="6B2E9E" w:val="clear"/>
            <w:tcMar>
              <w:top w:type="dxa" w:w="100"/>
              <w:left w:type="dxa" w:w="120"/>
              <w:bottom w:type="dxa" w:w="100"/>
              <w:right w:type="dxa" w:w="120"/>
            </w:tcMar>
          </w:tcPr>
          <w:p>
            <w:pPr>
              <w:jc w:val="center"/>
            </w:pPr>
            <w:r>
              <w:rPr>
                <w:b/>
                <w:bCs/>
                <w:color w:val="FFFFFF"/>
                <w:sz w:val="20"/>
                <w:szCs w:val="20"/>
              </w:rPr>
              <w:t xml:space="preserve">Segment de risque</w:t>
            </w:r>
          </w:p>
        </w:tc>
        <w:tc>
          <w:tcPr>
            <w:tcW w:type="dxa" w:w="6000"/>
            <w:shd w:fill="6B2E9E" w:val="clear"/>
            <w:tcMar>
              <w:top w:type="dxa" w:w="100"/>
              <w:left w:type="dxa" w:w="120"/>
              <w:bottom w:type="dxa" w:w="100"/>
              <w:right w:type="dxa" w:w="120"/>
            </w:tcMar>
          </w:tcPr>
          <w:p>
            <w:pPr>
              <w:jc w:val="center"/>
            </w:pPr>
            <w:r>
              <w:rPr>
                <w:b/>
                <w:bCs/>
                <w:color w:val="FFFFFF"/>
                <w:sz w:val="20"/>
                <w:szCs w:val="20"/>
              </w:rPr>
              <w:t xml:space="preserve">Fourchette de montant (FCFA)</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Very High</w:t>
            </w:r>
          </w:p>
        </w:tc>
        <w:tc>
          <w:tcPr>
            <w:tcW w:type="dxa" w:w="6000"/>
            <w:tcMar>
              <w:top w:type="dxa" w:w="80"/>
              <w:left w:type="dxa" w:w="120"/>
              <w:bottom w:type="dxa" w:w="80"/>
              <w:right w:type="dxa" w:w="120"/>
            </w:tcMar>
          </w:tcPr>
          <w:p>
            <w:pPr>
              <w:jc w:val="left"/>
            </w:pPr>
            <w:r>
              <w:rPr>
                <w:b w:val="false"/>
                <w:bCs w:val="false"/>
                <w:color w:val="000000"/>
                <w:sz w:val="20"/>
                <w:szCs w:val="20"/>
              </w:rPr>
              <w:t xml:space="preserve">200 000 à 500 000</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High</w:t>
            </w:r>
          </w:p>
        </w:tc>
        <w:tc>
          <w:tcPr>
            <w:tcW w:type="dxa" w:w="6000"/>
            <w:tcMar>
              <w:top w:type="dxa" w:w="80"/>
              <w:left w:type="dxa" w:w="120"/>
              <w:bottom w:type="dxa" w:w="80"/>
              <w:right w:type="dxa" w:w="120"/>
            </w:tcMar>
          </w:tcPr>
          <w:p>
            <w:pPr>
              <w:jc w:val="left"/>
            </w:pPr>
            <w:r>
              <w:rPr>
                <w:b w:val="false"/>
                <w:bCs w:val="false"/>
                <w:color w:val="000000"/>
                <w:sz w:val="20"/>
                <w:szCs w:val="20"/>
              </w:rPr>
              <w:t xml:space="preserve">100 000 à 200 000</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Medium</w:t>
            </w:r>
          </w:p>
        </w:tc>
        <w:tc>
          <w:tcPr>
            <w:tcW w:type="dxa" w:w="6000"/>
            <w:tcMar>
              <w:top w:type="dxa" w:w="80"/>
              <w:left w:type="dxa" w:w="120"/>
              <w:bottom w:type="dxa" w:w="80"/>
              <w:right w:type="dxa" w:w="120"/>
            </w:tcMar>
          </w:tcPr>
          <w:p>
            <w:pPr>
              <w:jc w:val="left"/>
            </w:pPr>
            <w:r>
              <w:rPr>
                <w:b w:val="false"/>
                <w:bCs w:val="false"/>
                <w:color w:val="000000"/>
                <w:sz w:val="20"/>
                <w:szCs w:val="20"/>
              </w:rPr>
              <w:t xml:space="preserve">50 000 à 100 000</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Low</w:t>
            </w:r>
          </w:p>
        </w:tc>
        <w:tc>
          <w:tcPr>
            <w:tcW w:type="dxa" w:w="6000"/>
            <w:tcMar>
              <w:top w:type="dxa" w:w="80"/>
              <w:left w:type="dxa" w:w="120"/>
              <w:bottom w:type="dxa" w:w="80"/>
              <w:right w:type="dxa" w:w="120"/>
            </w:tcMar>
          </w:tcPr>
          <w:p>
            <w:pPr>
              <w:jc w:val="left"/>
            </w:pPr>
            <w:r>
              <w:rPr>
                <w:b w:val="false"/>
                <w:bCs w:val="false"/>
                <w:color w:val="000000"/>
                <w:sz w:val="20"/>
                <w:szCs w:val="20"/>
              </w:rPr>
              <w:t xml:space="preserve">25 000 à 50 000</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Very Low</w:t>
            </w:r>
          </w:p>
        </w:tc>
        <w:tc>
          <w:tcPr>
            <w:tcW w:type="dxa" w:w="6000"/>
            <w:tcMar>
              <w:top w:type="dxa" w:w="80"/>
              <w:left w:type="dxa" w:w="120"/>
              <w:bottom w:type="dxa" w:w="80"/>
              <w:right w:type="dxa" w:w="120"/>
            </w:tcMar>
          </w:tcPr>
          <w:p>
            <w:pPr>
              <w:jc w:val="left"/>
            </w:pPr>
            <w:r>
              <w:rPr>
                <w:b w:val="false"/>
                <w:bCs w:val="false"/>
                <w:color w:val="000000"/>
                <w:sz w:val="20"/>
                <w:szCs w:val="20"/>
              </w:rPr>
              <w:t xml:space="preserve">5 000 à 25 000</w:t>
            </w:r>
          </w:p>
        </w:tc>
      </w:tr>
    </w:tbl>
    <w:p>
      <w:pPr>
        <w:pStyle w:val="Heading3"/>
        <w:spacing w:after="120" w:before="240"/>
      </w:pPr>
      <w:r>
        <w:rPr>
          <w:b/>
          <w:bCs/>
          <w:color w:val="4CAF50"/>
          <w:sz w:val="22"/>
          <w:szCs w:val="22"/>
        </w:rPr>
        <w:t xml:space="preserve">Produit ReadyToGo</w:t>
      </w:r>
    </w:p>
    <w:p>
      <w:pPr>
        <w:spacing w:after="120"/>
        <w:jc w:val="both"/>
      </w:pPr>
      <w:r>
        <w:rPr>
          <w:b w:val="false"/>
          <w:bCs w:val="false"/>
          <w:i w:val="false"/>
          <w:iCs w:val="false"/>
          <w:sz w:val="22"/>
          <w:szCs w:val="22"/>
        </w:rPr>
        <w:t xml:space="preserve">Produit ouvert à la clientèle Individual et Business, sur une durée de 15 jours. Taux d'intérêt entre 7 et 25 pour cent annuel.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shd w:fill="6B2E9E" w:val="clear"/>
            <w:tcMar>
              <w:top w:type="dxa" w:w="100"/>
              <w:left w:type="dxa" w:w="120"/>
              <w:bottom w:type="dxa" w:w="100"/>
              <w:right w:type="dxa" w:w="120"/>
            </w:tcMar>
          </w:tcPr>
          <w:p>
            <w:pPr>
              <w:jc w:val="center"/>
            </w:pPr>
            <w:r>
              <w:rPr>
                <w:b/>
                <w:bCs/>
                <w:color w:val="FFFFFF"/>
                <w:sz w:val="20"/>
                <w:szCs w:val="20"/>
              </w:rPr>
              <w:t xml:space="preserve">Segment de risque</w:t>
            </w:r>
          </w:p>
        </w:tc>
        <w:tc>
          <w:tcPr>
            <w:tcW w:type="dxa" w:w="6000"/>
            <w:shd w:fill="6B2E9E" w:val="clear"/>
            <w:tcMar>
              <w:top w:type="dxa" w:w="100"/>
              <w:left w:type="dxa" w:w="120"/>
              <w:bottom w:type="dxa" w:w="100"/>
              <w:right w:type="dxa" w:w="120"/>
            </w:tcMar>
          </w:tcPr>
          <w:p>
            <w:pPr>
              <w:jc w:val="center"/>
            </w:pPr>
            <w:r>
              <w:rPr>
                <w:b/>
                <w:bCs/>
                <w:color w:val="FFFFFF"/>
                <w:sz w:val="20"/>
                <w:szCs w:val="20"/>
              </w:rPr>
              <w:t xml:space="preserve">Fourchette de montant (FCFA)</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Very High</w:t>
            </w:r>
          </w:p>
        </w:tc>
        <w:tc>
          <w:tcPr>
            <w:tcW w:type="dxa" w:w="6000"/>
            <w:tcMar>
              <w:top w:type="dxa" w:w="80"/>
              <w:left w:type="dxa" w:w="120"/>
              <w:bottom w:type="dxa" w:w="80"/>
              <w:right w:type="dxa" w:w="120"/>
            </w:tcMar>
          </w:tcPr>
          <w:p>
            <w:pPr>
              <w:jc w:val="left"/>
            </w:pPr>
            <w:r>
              <w:rPr>
                <w:b w:val="false"/>
                <w:bCs w:val="false"/>
                <w:color w:val="000000"/>
                <w:sz w:val="20"/>
                <w:szCs w:val="20"/>
              </w:rPr>
              <w:t xml:space="preserve">100 000 à 1 000 000</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High</w:t>
            </w:r>
          </w:p>
        </w:tc>
        <w:tc>
          <w:tcPr>
            <w:tcW w:type="dxa" w:w="6000"/>
            <w:tcMar>
              <w:top w:type="dxa" w:w="80"/>
              <w:left w:type="dxa" w:w="120"/>
              <w:bottom w:type="dxa" w:w="80"/>
              <w:right w:type="dxa" w:w="120"/>
            </w:tcMar>
          </w:tcPr>
          <w:p>
            <w:pPr>
              <w:jc w:val="left"/>
            </w:pPr>
            <w:r>
              <w:rPr>
                <w:b w:val="false"/>
                <w:bCs w:val="false"/>
                <w:color w:val="000000"/>
                <w:sz w:val="20"/>
                <w:szCs w:val="20"/>
              </w:rPr>
              <w:t xml:space="preserve">100 000 à 400 000</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Medium</w:t>
            </w:r>
          </w:p>
        </w:tc>
        <w:tc>
          <w:tcPr>
            <w:tcW w:type="dxa" w:w="6000"/>
            <w:tcMar>
              <w:top w:type="dxa" w:w="80"/>
              <w:left w:type="dxa" w:w="120"/>
              <w:bottom w:type="dxa" w:w="80"/>
              <w:right w:type="dxa" w:w="120"/>
            </w:tcMar>
          </w:tcPr>
          <w:p>
            <w:pPr>
              <w:jc w:val="left"/>
            </w:pPr>
            <w:r>
              <w:rPr>
                <w:b w:val="false"/>
                <w:bCs w:val="false"/>
                <w:color w:val="000000"/>
                <w:sz w:val="20"/>
                <w:szCs w:val="20"/>
              </w:rPr>
              <w:t xml:space="preserve">50 000 à 200 000</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Low</w:t>
            </w:r>
          </w:p>
        </w:tc>
        <w:tc>
          <w:tcPr>
            <w:tcW w:type="dxa" w:w="6000"/>
            <w:tcMar>
              <w:top w:type="dxa" w:w="80"/>
              <w:left w:type="dxa" w:w="120"/>
              <w:bottom w:type="dxa" w:w="80"/>
              <w:right w:type="dxa" w:w="120"/>
            </w:tcMar>
          </w:tcPr>
          <w:p>
            <w:pPr>
              <w:jc w:val="left"/>
            </w:pPr>
            <w:r>
              <w:rPr>
                <w:b w:val="false"/>
                <w:bCs w:val="false"/>
                <w:color w:val="000000"/>
                <w:sz w:val="20"/>
                <w:szCs w:val="20"/>
              </w:rPr>
              <w:t xml:space="preserve">35 000 à 49 000</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Very Low</w:t>
            </w:r>
          </w:p>
        </w:tc>
        <w:tc>
          <w:tcPr>
            <w:tcW w:type="dxa" w:w="6000"/>
            <w:tcMar>
              <w:top w:type="dxa" w:w="80"/>
              <w:left w:type="dxa" w:w="120"/>
              <w:bottom w:type="dxa" w:w="80"/>
              <w:right w:type="dxa" w:w="120"/>
            </w:tcMar>
          </w:tcPr>
          <w:p>
            <w:pPr>
              <w:jc w:val="left"/>
            </w:pPr>
            <w:r>
              <w:rPr>
                <w:b w:val="false"/>
                <w:bCs w:val="false"/>
                <w:color w:val="000000"/>
                <w:sz w:val="20"/>
                <w:szCs w:val="20"/>
              </w:rPr>
              <w:t xml:space="preserve">20 000 à 30 000</w:t>
            </w:r>
          </w:p>
        </w:tc>
      </w:tr>
    </w:tbl>
    <w:p>
      <w:pPr>
        <w:spacing w:after="120"/>
        <w:jc w:val="both"/>
      </w:pPr>
      <w:r>
        <w:rPr>
          <w:b w:val="false"/>
          <w:bCs w:val="false"/>
          <w:i w:val="false"/>
          <w:iCs w:val="false"/>
          <w:sz w:val="22"/>
          <w:szCs w:val="22"/>
        </w:rPr>
        <w:t xml:space="preserve"/>
      </w:r>
    </w:p>
    <w:p>
      <w:pPr>
        <w:spacing w:after="120"/>
        <w:jc w:val="both"/>
      </w:pPr>
      <w:r>
        <w:rPr>
          <w:b w:val="false"/>
          <w:bCs w:val="false"/>
          <w:i/>
          <w:iCs/>
          <w:sz w:val="22"/>
          <w:szCs w:val="22"/>
        </w:rPr>
        <w:t xml:space="preserve">Note métier : la logique de segmentation associe les segments Very High (risque élevé) à des montants plus importants. Cette pratique, courante en microfinance et conforme aux standards CGAP, permet de compenser les pertes attendues sur ces populations par une marge d'intérêt plus élevée.</w:t>
      </w:r>
    </w:p>
    <w:p>
      <w:pPr>
        <w:spacing w:after="120"/>
        <w:jc w:val="both"/>
      </w:pPr>
      <w:r>
        <w:rPr>
          <w:b w:val="false"/>
          <w:bCs w:val="false"/>
          <w:i w:val="false"/>
          <w:iCs w:val="false"/>
          <w:sz w:val="22"/>
          <w:szCs w:val="22"/>
        </w:rPr>
        <w:t xml:space="preserve"/>
      </w:r>
    </w:p>
    <w:p>
      <w:pPr>
        <w:spacing w:after="120"/>
        <w:jc w:val="both"/>
      </w:pPr>
      <w:r>
        <w:rPr>
          <w:b w:val="false"/>
          <w:bCs w:val="false"/>
          <w:i w:val="false"/>
          <w:iCs w:val="false"/>
          <w:sz w:val="22"/>
          <w:szCs w:val="22"/>
        </w:rPr>
        <w:t xml:space="preserve"/>
      </w:r>
    </w:p>
    <w:p>
      <w:pPr>
        <w:pBdr>
          <w:top w:val="single" w:color="4CAF50" w:sz="12"/>
        </w:pBdr>
        <w:spacing w:before="400"/>
        <w:jc w:val="center"/>
      </w:pPr>
      <w:r>
        <w:rPr>
          <w:b/>
          <w:bCs/>
          <w:i/>
          <w:iCs/>
          <w:color w:val="6B2E9E"/>
          <w:sz w:val="22"/>
          <w:szCs w:val="22"/>
        </w:rPr>
        <w:t xml:space="preserve">Fin du Cahier des Charges Loader FinZuu v1.2</w:t>
      </w:r>
    </w:p>
    <w:p>
      <w:pPr>
        <w:spacing w:before="100"/>
        <w:jc w:val="center"/>
      </w:pPr>
      <w:r>
        <w:rPr>
          <w:i/>
          <w:iCs/>
          <w:color w:val="666666"/>
          <w:sz w:val="18"/>
          <w:szCs w:val="18"/>
        </w:rPr>
        <w:t xml:space="preserve">FZ-CDC-LOADER-2026-001-v1.2 · 22 juillet 2026 · Kuate Abdel Yaniv</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Page </w:t>
    </w:r>
    <w:r>
      <w:rPr>
        <w:color w:val="666666"/>
        <w:sz w:val="18"/>
        <w:szCs w:val="18"/>
      </w:rPr>
      <w:fldChar w:fldCharType="begin"/>
      <w:instrText xml:space="preserve">PAGE</w:instrText>
      <w:fldChar w:fldCharType="separate"/>
      <w:fldChar w:fldCharType="end"/>
    </w:r>
    <w:r>
      <w:rPr>
        <w:color w:val="666666"/>
        <w:sz w:val="18"/>
        <w:szCs w:val="18"/>
      </w:rPr>
      <w:t xml:space="preserve"> · FZ-CDC-LOADER-2026-001-v1.2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FinZuu SAS — Cahier des Charges Loader v1.2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Loader FinZuu v1.2</dc:title>
  <dc:creator>Kuate Abdel Yaniv</dc:creator>
  <dc:description>Cahier des Charges du projet Loader — Intégration méthodologie Duhamel</dc:description>
  <cp:lastModifiedBy>Un-named</cp:lastModifiedBy>
  <cp:revision>1</cp:revision>
  <dcterms:created xsi:type="dcterms:W3CDTF">2026-07-22T12:44:02.088Z</dcterms:created>
  <dcterms:modified xsi:type="dcterms:W3CDTF">2026-07-22T12:44:02.105Z</dcterms:modified>
</cp:coreProperties>
</file>

<file path=docProps/custom.xml><?xml version="1.0" encoding="utf-8"?>
<Properties xmlns="http://schemas.openxmlformats.org/officeDocument/2006/custom-properties" xmlns:vt="http://schemas.openxmlformats.org/officeDocument/2006/docPropsVTypes"/>
</file>