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PRINCIPI PER LA VERIFICA DEI VETTORI EFFETTIVI</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Le presenti norme si applicano ai contratti di trasporto e/o spedizione stipulati daGTC POLAND Sp. z o.o. (di seguito: il Committente) con vettori e/o spedizionieri (di seguito: il Contraente). Le norme non pregiudicano altre disposizioni contenute negli ordini in base ai quali le parti hanno concluso un determinato accordo.</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L'Appaltatore, nel caso in cui si avvalga di un subappaltatore, dovrà attenersi a questi principi.</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Il Contraente stipula il contratto di trasporto con il subappaltatore per iscritto (anche per via elettronica).</w:t>
      </w:r>
    </w:p>
    <w:p>
      <w:pPr>
        <w:numPr>
          <w:ilvl w:val="0"/>
          <w:numId w:val="1"/>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L'Appaltatore è tenuto a:</w:t>
      </w:r>
      <w:r w:rsidRPr="00371361">
        <w:rPr>
          <w:rFonts w:ascii="Open Sans" w:hAnsi="Open Sans" w:eastAsia="Times New Roman" w:cs="Open Sans"/>
          <w:color w:val="666666"/>
          <w:kern w:val="0"/>
          <w:sz w:val="21"/>
          <w:szCs w:val="21"/>
          <w:lang w:eastAsia="pl-PL"/>
          <w14:ligatures w14:val="none"/>
        </w:rPr>
        <w:br/>
        <w:t xml:space="preserve"> 1) esercitare la dovuta diligenza nella selezione dei vettori effettivi, intendendo con ciò la selezione di tali imprese di trasporto che forniscano garanzie di corretta esecuzione delle attività di trasporto loro affidate, ovvero la selezione di tali imprese di trasporto che: </w:t>
      </w:r>
      <w:r w:rsidRPr="00371361">
        <w:rPr>
          <w:rFonts w:ascii="Open Sans" w:hAnsi="Open Sans" w:eastAsia="Times New Roman" w:cs="Open Sans"/>
          <w:color w:val="666666"/>
          <w:kern w:val="0"/>
          <w:sz w:val="21"/>
          <w:szCs w:val="21"/>
          <w:lang w:eastAsia="pl-PL"/>
          <w14:ligatures w14:val="none"/>
        </w:rPr>
        <w:br/>
        <w:t xml:space="preserve">(a) abbiano le licenze, le concessioni e/o i permessi richiesti dalla legge per svolgere questo tipo di attività, </w:t>
      </w:r>
      <w:r w:rsidRPr="00371361">
        <w:rPr>
          <w:rFonts w:ascii="Open Sans" w:hAnsi="Open Sans" w:eastAsia="Times New Roman" w:cs="Open Sans"/>
          <w:color w:val="666666"/>
          <w:kern w:val="0"/>
          <w:sz w:val="21"/>
          <w:szCs w:val="21"/>
          <w:lang w:eastAsia="pl-PL"/>
          <w14:ligatures w14:val="none"/>
        </w:rPr>
        <w:br/>
        <w:t xml:space="preserve">(b) dispongano di una propria polizza di responsabilità civile vettoriale a copertura totale, intendendo con ciò l'assenza di esclusioni relative alla protezione per la tipologia di beni selezionati accettati per il trasporto e con una somma di garanzia per evento non inferiore al limite massimo della responsabilità civile dell'Assicuratore per i danni di cui agli Artt. 65-70 e 80-85 della Legge sui trasporti e/o degli artt. 17, 23 e 25 della Convenzione CMR, </w:t>
      </w:r>
      <w:r w:rsidRPr="00371361">
        <w:rPr>
          <w:rFonts w:ascii="Open Sans" w:hAnsi="Open Sans" w:eastAsia="Times New Roman" w:cs="Open Sans"/>
          <w:color w:val="666666"/>
          <w:kern w:val="0"/>
          <w:sz w:val="21"/>
          <w:szCs w:val="21"/>
          <w:lang w:eastAsia="pl-PL"/>
          <w14:ligatures w14:val="none"/>
        </w:rPr>
        <w:br/>
        <w:t xml:space="preserve">c) ha messo a disposizione i documenti che costituiscono la base per l'attività di trasporto svolta, tra cui: l'iscrizione al registro delle imprese o l'estratto del CEIDG, o del KRS, del NIP, del REGON e i permessi e/o le licenze per l'esercizio dell'attività di trasporto, se richiesti; </w:t>
      </w:r>
      <w:r w:rsidRPr="00371361">
        <w:rPr>
          <w:rFonts w:ascii="Open Sans" w:hAnsi="Open Sans" w:eastAsia="Times New Roman" w:cs="Open Sans"/>
          <w:color w:val="666666"/>
          <w:kern w:val="0"/>
          <w:sz w:val="21"/>
          <w:szCs w:val="21"/>
          <w:lang w:eastAsia="pl-PL"/>
          <w14:ligatures w14:val="none"/>
        </w:rPr>
        <w:br/>
        <w:t xml:space="preserve">2) verificare l'affidabilità del vettore effettivo verificando i documenti ricevuti dal subappaltatore (copie) che confermano l'esercizio dell'attività commerciale nel settore del trasporto di merci:</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sul sito del Ministero della Giustizia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estratto dal CEIDG - su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e Regon - sui siti web pertinenti, ad es: Ufficio centrale di statistica: http://www.stat.gov.pl e/o CEIDG: https://prod.ceidg.gov.pli/lub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licenze di trasporto e/o permessi per esercitare l'attività di vettore - sui siti web di GITD: http://gitd.gov.pl/botm/index.php e/o CEIDG: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sym w:font="Symbol" w:char="F0B7"/>
      </w:r>
      <w:r w:rsidRPr="00371361">
        <w:rPr>
          <w:rFonts w:ascii="Open Sans" w:hAnsi="Open Sans" w:eastAsia="Times New Roman" w:cs="Open Sans"/>
          <w:color w:val="666666"/>
          <w:kern w:val="0"/>
          <w:sz w:val="21"/>
          <w:szCs w:val="21"/>
          <w:lang w:eastAsia="pl-PL"/>
          <w14:ligatures w14:val="none"/>
        </w:rPr>
        <w:t xml:space="preserve"> polizza o certificato attestante la stipula del contratto di assicurazione della responsabilità civile del vettore. </w:t>
      </w:r>
      <w:r w:rsidRPr="00371361">
        <w:rPr>
          <w:rFonts w:ascii="Open Sans" w:hAnsi="Open Sans" w:eastAsia="Times New Roman" w:cs="Open Sans"/>
          <w:color w:val="666666"/>
          <w:kern w:val="0"/>
          <w:sz w:val="21"/>
          <w:szCs w:val="21"/>
          <w:lang w:eastAsia="pl-PL"/>
          <w14:ligatures w14:val="none"/>
        </w:rPr>
        <w:br/>
        <w:t xml:space="preserve">3) Ordinando il trasporto di merci a un nuovo vettore effettivo, al quale il Contraente non ha commissionato il trasporto in precedenza, il Contraente è inoltre tenuto a verificare l'affidabilità di tale vettore mediante: </w:t>
      </w:r>
      <w:r w:rsidRPr="00371361">
        <w:rPr>
          <w:rFonts w:ascii="Open Sans" w:hAnsi="Open Sans" w:eastAsia="Times New Roman" w:cs="Open Sans"/>
          <w:color w:val="666666"/>
          <w:kern w:val="0"/>
          <w:sz w:val="21"/>
          <w:szCs w:val="21"/>
          <w:lang w:eastAsia="pl-PL"/>
          <w14:ligatures w14:val="none"/>
        </w:rPr>
        <w:br/>
        <w:t xml:space="preserve">a) contatto telefonico con il vettore effettivo al numero di telefono fisso o mobile presso la sua sede legale e conferma telefonica dell'offerta di trasporto o dell'accettazione dell'ordine; tuttavia, si RACCOMANDA che il Contraente identifichi autonomamente il numero di telefono (ad esempio utilizzando le risorse Internet) e lo annoti sul sito web della GITD. </w:t>
      </w:r>
      <w:r w:rsidRPr="00371361">
        <w:rPr>
          <w:rFonts w:ascii="Open Sans" w:hAnsi="Open Sans" w:eastAsia="Times New Roman" w:cs="Open Sans"/>
          <w:color w:val="666666"/>
          <w:kern w:val="0"/>
          <w:sz w:val="21"/>
          <w:szCs w:val="21"/>
          <w:lang w:eastAsia="pl-PL"/>
          <w14:ligatures w14:val="none"/>
        </w:rPr>
        <w:br/>
        <w:t xml:space="preserve">utilizzando le risorse di Internet) e annotando il nome del chiamante al termine della chiamata, </w:t>
      </w:r>
      <w:r w:rsidRPr="00371361">
        <w:rPr>
          <w:rFonts w:ascii="Open Sans" w:hAnsi="Open Sans" w:eastAsia="Times New Roman" w:cs="Open Sans"/>
          <w:color w:val="666666"/>
          <w:kern w:val="0"/>
          <w:sz w:val="21"/>
          <w:szCs w:val="21"/>
          <w:lang w:eastAsia="pl-PL"/>
          <w14:ligatures w14:val="none"/>
        </w:rPr>
        <w:br/>
        <w:t xml:space="preserve">b) verifica delle copie dei documenti ricevuti dal vettore:</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KRS - sul sito web del Ministero della Giustizia https://ems.ms.gov.pl/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estratto del CEIDG - su https://prod.ceidg.gov.pl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NIP e Regon - sui siti web pertinenti, ad es: Ufficio Centrale di Statistica: http://www.stat.gov.pl e/o CEIDG: https://prod.ceidg.gov.pl e/o INFOR: http://www.infor.pl/kalkulatory /regonnip.html</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sym w:font="Symbol" w:char="F0B7"/>
      </w:r>
      <w:r w:rsidRPr="00371361">
        <w:rPr>
          <w:rFonts w:ascii="Open Sans" w:hAnsi="Open Sans" w:eastAsia="Times New Roman" w:cs="Open Sans"/>
          <w:color w:val="666666"/>
          <w:kern w:val="0"/>
          <w:sz w:val="21"/>
          <w:szCs w:val="21"/>
          <w:lang w:eastAsia="pl-PL"/>
          <w14:ligatures w14:val="none"/>
        </w:rPr>
        <w:t xml:space="preserve"> licenze di trasporto e/o autorizzazioni per l'esercizio della professione di trasportatore - sui siti web di GITD: http://www.gitd.gov.pl/dla- przedsiebiorcow/licencje/przewoz-rzeczy/wy wykaz-waznych-deciji-administrative2 e/o CEIDG: https://prod.ceidg.gov.pl </w:t>
      </w:r>
      <w:r w:rsidRPr="00371361">
        <w:rPr>
          <w:rFonts w:ascii="Open Sans" w:hAnsi="Open Sans" w:eastAsia="Times New Roman" w:cs="Open Sans"/>
          <w:color w:val="666666"/>
          <w:kern w:val="0"/>
          <w:sz w:val="21"/>
          <w:szCs w:val="21"/>
          <w:lang w:eastAsia="pl-PL"/>
          <w14:ligatures w14:val="none"/>
        </w:rPr>
        <w:br/>
        <w:t xml:space="preserve">Nel caso di un subappaltatore straniero, verifica nel Paese di registrazione del trasportatore effettivo, ad esempio tramite il portale europeo della giustizia elettronica: https:</w:t>
      </w:r>
      <w:r w:rsidRPr="00371361">
        <w:rPr>
          <w:rFonts w:ascii="Open Sans" w:hAnsi="Open Sans" w:eastAsia="Times New Roman" w:cs="Open Sans"/>
          <w:color w:val="666666"/>
          <w:kern w:val="0"/>
          <w:sz w:val="21"/>
          <w:szCs w:val="21"/>
          <w:bdr w:val="none" w:color="auto" w:sz="0" w:space="0" w:frame="1"/>
          <w:lang w:eastAsia="pl-PL"/>
          <w14:ligatures w14:val="none"/>
        </w:rPr>
        <w:t xml:space="preserve">//e-justice.europa.eu/content_business _registers_ in_member_states-106-pl.do o il registro europeo dell'IVA: http://ec.europa. eu/taxation_customs/vies/?locale=en c) confermare, sulla base del documento ottenuto, che il vettore effettivo dispone di una propria assicurazione per la responsabilità civile degli autotrasportatori adeguata al tipo di attività di trasporto svolta e che copre la merce ordinata da trasportare e il relativo ambito territoriale del trasporto (trasporto nazionale e/o trasporto internazionale e/o trasporto di cabotaggio all'interno dei Paesi dell'UE o all'interno della Germania).</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Il Contraente si impegna a non subappaltare il servizio a ulteriori spedizionieri (ulteriori vettori contrattuali). Il Contraente può subappaltare il trasporto solo al vettore effettivo che lo eseguirà.</w:t>
      </w:r>
    </w:p>
    <w:p>
      <w:pPr>
        <w:numPr>
          <w:ilvl w:val="0"/>
          <w:numId w:val="2"/>
        </w:numPr>
        <w:spacing w:after="0" w:line="390" w:lineRule="atLeast"/>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L'appaltatore, nei contratti di trasporto stipulati con i vettori effettivi o negli ordini ad essi indirizzati, è tenuto a stabilire che:</w:t>
      </w:r>
      <w:r w:rsidRPr="00371361">
        <w:rPr>
          <w:rFonts w:ascii="Open Sans" w:hAnsi="Open Sans" w:eastAsia="Times New Roman" w:cs="Open Sans"/>
          <w:color w:val="666666"/>
          <w:kern w:val="0"/>
          <w:sz w:val="21"/>
          <w:szCs w:val="21"/>
          <w:lang w:eastAsia="pl-PL"/>
          <w14:ligatures w14:val="none"/>
        </w:rPr>
        <w:br/>
      </w:r>
      <w:r w:rsidRPr="00371361">
        <w:rPr>
          <w:rFonts w:ascii="Open Sans" w:hAnsi="Open Sans" w:eastAsia="Times New Roman" w:cs="Open Sans"/>
          <w:color w:val="666666"/>
          <w:kern w:val="0"/>
          <w:sz w:val="21"/>
          <w:szCs w:val="21"/>
          <w:lang w:eastAsia="pl-PL"/>
          <w14:ligatures w14:val="none"/>
        </w:rPr>
        <w:lastRenderedPageBreak/>
        <w:t xml:space="preserve">1) è vietato subappaltare il trasporto a ulteriori vettori (a valle) - questi ultimi devono effettuare il trasporto in proprio,2) al momento dell'accettazione della merce per il trasporto, il vettore è tenuto a: (</w:t>
      </w:r>
      <w:r w:rsidRPr="00371361">
        <w:rPr>
          <w:rFonts w:ascii="Open Sans" w:hAnsi="Open Sans" w:eastAsia="Times New Roman" w:cs="Open Sans"/>
          <w:color w:val="666666"/>
          <w:kern w:val="0"/>
          <w:sz w:val="21"/>
          <w:szCs w:val="21"/>
          <w:lang w:eastAsia="pl-PL"/>
          <w14:ligatures w14:val="none"/>
        </w:rPr>
        <w:br/>
        <w:t xml:space="preserve">a) verificare la completezza e la conformità della documentazione fornitagli con le condizioni effettive della spedizione (quantità, peso, caratteristiche e numeri della merce) e con l'ordine di trasporto ricevuto, </w:t>
      </w:r>
      <w:r w:rsidRPr="00371361">
        <w:rPr>
          <w:rFonts w:ascii="Open Sans" w:hAnsi="Open Sans" w:eastAsia="Times New Roman" w:cs="Open Sans"/>
          <w:color w:val="666666"/>
          <w:kern w:val="0"/>
          <w:sz w:val="21"/>
          <w:szCs w:val="21"/>
          <w:lang w:eastAsia="pl-PL"/>
          <w14:ligatures w14:val="none"/>
        </w:rPr>
        <w:br/>
        <w:t xml:space="preserve">b) verificare le condizioni qualitative della spedizione preparata per il trasporto </w:t>
      </w:r>
      <w:r w:rsidRPr="00371361">
        <w:rPr>
          <w:rFonts w:ascii="Open Sans" w:hAnsi="Open Sans" w:eastAsia="Times New Roman" w:cs="Open Sans"/>
          <w:color w:val="666666"/>
          <w:kern w:val="0"/>
          <w:sz w:val="21"/>
          <w:szCs w:val="21"/>
          <w:lang w:eastAsia="pl-PL"/>
          <w14:ligatures w14:val="none"/>
        </w:rPr>
        <w:br/>
        <w:t xml:space="preserve">e</w:t>
      </w:r>
      <w:r w:rsidRPr="00371361">
        <w:rPr>
          <w:rFonts w:ascii="Open Sans" w:hAnsi="Open Sans" w:eastAsia="Times New Roman" w:cs="Open Sans"/>
          <w:color w:val="666666"/>
          <w:kern w:val="0"/>
          <w:sz w:val="21"/>
          <w:szCs w:val="21"/>
          <w:lang w:eastAsia="pl-PL"/>
          <w14:ligatures w14:val="none"/>
        </w:rPr>
        <w:br/>
        <w:t xml:space="preserve">, se necessario, fare osservazioni sulla lettera di vettura, </w:t>
      </w:r>
      <w:r w:rsidRPr="00371361">
        <w:rPr>
          <w:rFonts w:ascii="Open Sans" w:hAnsi="Open Sans" w:eastAsia="Times New Roman" w:cs="Open Sans"/>
          <w:color w:val="666666"/>
          <w:kern w:val="0"/>
          <w:sz w:val="21"/>
          <w:szCs w:val="21"/>
          <w:lang w:eastAsia="pl-PL"/>
          <w14:ligatures w14:val="none"/>
        </w:rPr>
        <w:br/>
        <w:t xml:space="preserve">c) verificare le condizioni della spedizione preparata per il trasporto e, c) controllare le condizioni della spedizione preparata per il trasporto e, se necessario, l'</w:t>
      </w:r>
      <w:r w:rsidRPr="00371361">
        <w:rPr>
          <w:rFonts w:ascii="Open Sans" w:hAnsi="Open Sans" w:eastAsia="Times New Roman" w:cs="Open Sans"/>
          <w:color w:val="666666"/>
          <w:kern w:val="0"/>
          <w:sz w:val="21"/>
          <w:szCs w:val="21"/>
          <w:lang w:eastAsia="pl-PL"/>
          <w14:ligatures w14:val="none"/>
        </w:rPr>
        <w:br/>
        <w:t xml:space="preserve">imballaggio e la messa in sicurezza della merce per le successive attività di trasporto</w:t>
      </w:r>
      <w:r w:rsidRPr="00371361">
        <w:rPr>
          <w:rFonts w:ascii="Open Sans" w:hAnsi="Open Sans" w:eastAsia="Times New Roman" w:cs="Open Sans"/>
          <w:color w:val="666666"/>
          <w:kern w:val="0"/>
          <w:sz w:val="21"/>
          <w:szCs w:val="21"/>
          <w:lang w:eastAsia="pl-PL"/>
          <w14:ligatures w14:val="none"/>
        </w:rPr>
        <w:br/>
        <w:t xml:space="preserve">, d) il posizionamento e la messa in sicurezza del carico sul veicolo, </w:t>
      </w:r>
      <w:r w:rsidRPr="00371361">
        <w:rPr>
          <w:rFonts w:ascii="Open Sans" w:hAnsi="Open Sans" w:eastAsia="Times New Roman" w:cs="Open Sans"/>
          <w:color w:val="666666"/>
          <w:kern w:val="0"/>
          <w:sz w:val="21"/>
          <w:szCs w:val="21"/>
          <w:lang w:eastAsia="pl-PL"/>
          <w14:ligatures w14:val="none"/>
        </w:rPr>
        <w:br/>
        <w:t xml:space="preserve">e) la conferma dell'accettazione della spedizione per il trasporto scrivendo nella lettera di vettura il numero di immatricolazione del veicolo e confermando la ricezione della merce per il trasporto secondo le disposizioni della Legge sui trasporti.</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3) Quando consegnano una spedizione al destinatario, sono obbligati a: a) controllare che la spedizione sia consegnata nel luogo (all'indirizzo) indicato dal mittente, </w:t>
      </w:r>
      <w:r w:rsidRPr="00371361">
        <w:rPr>
          <w:rFonts w:ascii="Open Sans" w:hAnsi="Open Sans" w:eastAsia="Times New Roman" w:cs="Open Sans"/>
          <w:color w:val="666666"/>
          <w:kern w:val="0"/>
          <w:sz w:val="21"/>
          <w:szCs w:val="21"/>
          <w:lang w:eastAsia="pl-PL"/>
          <w14:ligatures w14:val="none"/>
        </w:rPr>
        <w:br/>
        <w:t xml:space="preserve">b) ricevere una ricevuta con il timbro e/o la firma del destinatario e, nel caso in cui il destinatario non sia un'azienda, controllare i suoi dati dalla carta d'identità o da un altro documento di identità e ricevere una ricevuta con la sua firma.</w:t>
      </w:r>
      <w:r w:rsidRPr="00371361">
        <w:rPr>
          <w:rFonts w:ascii="Open Sans" w:hAnsi="Open Sans" w:eastAsia="Times New Roman" w:cs="Open Sans"/>
          <w:color w:val="666666"/>
          <w:kern w:val="0"/>
          <w:sz w:val="21"/>
          <w:szCs w:val="21"/>
          <w:lang w:eastAsia="pl-PL"/>
          <w14:ligatures w14:val="none"/>
        </w:rPr>
        <w:br/>
        <w:t xml:space="preserve"> 4) In caso di difficoltà nell'adempimento del contratto di trasporto, il vettore effettivo è tenuto a contattare solo il committente del trasporto o il mittente della spedizione.</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(7) L'imprenditore, nei contratti di trasporto stipulati con i vettori effettivi o negli ordini ad essi indirizzati, deve stabilire che essi sono obbligati a rispettare la seguente clausola di parcheggio:</w:t>
      </w:r>
      <w:r w:rsidRPr="00371361">
        <w:rPr>
          <w:rFonts w:ascii="Open Sans" w:hAnsi="Open Sans" w:eastAsia="Times New Roman" w:cs="Open Sans"/>
          <w:color w:val="666666"/>
          <w:kern w:val="0"/>
          <w:sz w:val="21"/>
          <w:szCs w:val="21"/>
          <w:lang w:eastAsia="pl-PL"/>
          <w14:ligatures w14:val="none"/>
        </w:rPr>
        <w:br/>
        <w:t xml:space="preserve"> 1) Il conducente non deve lasciare incustodito il mezzo di trasporto con la merce. 2) Per abbandono del mezzo di trasporto e della merce si intende che il conducente abbandona fisicamente la cabina del mezzo di trasporto e lascia il veicolo e la merce incustoditi in un luogo non sorvegliato in modo tale che, in caso di danno, il conducente non sia in grado di reagire immediatamente per prevenire o ridurre il danno. 3) Il fatto di lasciare il mezzo di trasporto con la merce incustodita non è considerato correlato a:</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a) le soste rese necessarie dalla normativa sull'orario di lavoro dei conducenti, </w:t>
      </w:r>
      <w:r w:rsidRPr="00371361">
        <w:rPr>
          <w:rFonts w:ascii="Open Sans" w:hAnsi="Open Sans" w:eastAsia="Times New Roman" w:cs="Open Sans"/>
          <w:color w:val="666666"/>
          <w:kern w:val="0"/>
          <w:sz w:val="21"/>
          <w:szCs w:val="21"/>
          <w:lang w:eastAsia="pl-PL"/>
          <w14:ligatures w14:val="none"/>
        </w:rPr>
        <w:br/>
        <w:t xml:space="preserve">b) le soste rese necessarie dalla normativa sui periodi di riposo settimanale nelle cabine di guida, </w:t>
      </w:r>
      <w:r w:rsidRPr="00371361">
        <w:rPr>
          <w:rFonts w:ascii="Open Sans" w:hAnsi="Open Sans" w:eastAsia="Times New Roman" w:cs="Open Sans"/>
          <w:color w:val="666666"/>
          <w:kern w:val="0"/>
          <w:sz w:val="21"/>
          <w:szCs w:val="21"/>
          <w:lang w:eastAsia="pl-PL"/>
          <w14:ligatures w14:val="none"/>
        </w:rPr>
        <w:br/>
        <w:t xml:space="preserve">c) le operazioni di carico, carico e scarico (anche in attesa dell'inizio di tali operazioni), </w:t>
      </w:r>
      <w:r w:rsidRPr="00371361">
        <w:rPr>
          <w:rFonts w:ascii="Open Sans" w:hAnsi="Open Sans" w:eastAsia="Times New Roman" w:cs="Open Sans"/>
          <w:color w:val="666666"/>
          <w:kern w:val="0"/>
          <w:sz w:val="21"/>
          <w:szCs w:val="21"/>
          <w:lang w:eastAsia="pl-PL"/>
          <w14:ligatures w14:val="none"/>
        </w:rPr>
        <w:br/>
        <w:t xml:space="preserve">d) la necessità di adempiere alle formalità di frontiera, finanziarie e doganali relative all'operazione di trasporto, </w:t>
      </w:r>
      <w:r w:rsidRPr="00371361">
        <w:rPr>
          <w:rFonts w:ascii="Open Sans" w:hAnsi="Open Sans" w:eastAsia="Times New Roman" w:cs="Open Sans"/>
          <w:color w:val="666666"/>
          <w:kern w:val="0"/>
          <w:sz w:val="21"/>
          <w:szCs w:val="21"/>
          <w:lang w:eastAsia="pl-PL"/>
          <w14:ligatures w14:val="none"/>
        </w:rPr>
        <w:br/>
        <w:t xml:space="preserve">e) la necessità di adempiere alle formalità relative all'attraversamento dei traghetti, </w:t>
      </w:r>
      <w:r w:rsidRPr="00371361">
        <w:rPr>
          <w:rFonts w:ascii="Open Sans" w:hAnsi="Open Sans" w:eastAsia="Times New Roman" w:cs="Open Sans"/>
          <w:color w:val="666666"/>
          <w:kern w:val="0"/>
          <w:sz w:val="21"/>
          <w:szCs w:val="21"/>
          <w:lang w:eastAsia="pl-PL"/>
          <w14:ligatures w14:val="none"/>
        </w:rPr>
        <w:br/>
        <w:t xml:space="preserve">f) la necessità di rifornirsi di carburante e/o di sostituire i fluidi operativi,</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lastRenderedPageBreak/>
        <w:t xml:space="preserve">g) necessità di utilizzare i servizi igienici di una stazione di servizio o di un parcheggio, </w:t>
      </w:r>
      <w:r w:rsidRPr="00371361">
        <w:rPr>
          <w:rFonts w:ascii="Open Sans" w:hAnsi="Open Sans" w:eastAsia="Times New Roman" w:cs="Open Sans"/>
          <w:color w:val="666666"/>
          <w:kern w:val="0"/>
          <w:sz w:val="21"/>
          <w:szCs w:val="21"/>
          <w:lang w:eastAsia="pl-PL"/>
          <w14:ligatures w14:val="none"/>
        </w:rPr>
        <w:br/>
        <w:t xml:space="preserve">h) improvviso peggioramento delle condizioni meteorologiche, che rende impossibile continuare a guidare in sicurezza, </w:t>
      </w:r>
      <w:r w:rsidRPr="00371361">
        <w:rPr>
          <w:rFonts w:ascii="Open Sans" w:hAnsi="Open Sans" w:eastAsia="Times New Roman" w:cs="Open Sans"/>
          <w:color w:val="666666"/>
          <w:kern w:val="0"/>
          <w:sz w:val="21"/>
          <w:szCs w:val="21"/>
          <w:lang w:eastAsia="pl-PL"/>
          <w14:ligatures w14:val="none"/>
        </w:rPr>
        <w:br/>
        <w:t xml:space="preserve">i) improvviso e documentato malore o svenimento del conducente, </w:t>
      </w:r>
      <w:r w:rsidRPr="00371361">
        <w:rPr>
          <w:rFonts w:ascii="Open Sans" w:hAnsi="Open Sans" w:eastAsia="Times New Roman" w:cs="Open Sans"/>
          <w:color w:val="666666"/>
          <w:kern w:val="0"/>
          <w:sz w:val="21"/>
          <w:szCs w:val="21"/>
          <w:lang w:eastAsia="pl-PL"/>
          <w14:ligatures w14:val="none"/>
        </w:rPr>
        <w:br/>
        <w:t xml:space="preserve">j) richiesta di aiuto dopo un guasto o un incidente stradale, </w:t>
      </w:r>
      <w:r w:rsidRPr="00371361">
        <w:rPr>
          <w:rFonts w:ascii="Open Sans" w:hAnsi="Open Sans" w:eastAsia="Times New Roman" w:cs="Open Sans"/>
          <w:color w:val="666666"/>
          <w:kern w:val="0"/>
          <w:sz w:val="21"/>
          <w:szCs w:val="21"/>
          <w:lang w:eastAsia="pl-PL"/>
          <w14:ligatures w14:val="none"/>
        </w:rPr>
        <w:br/>
        <w:t xml:space="preserve">k) seguire le istruzioni della polizia o di altri servizi autorizzati, 4) la partenza del mezzo di trasporto con la merce per i motivi specificati al punto 3) lettere a), f) e g) deve avvenire in aree di parcheggio illuminate destinate ai mezzi pesanti e il mezzo di trasporto deve essere messo in sicurezza togliendo la chiave dall'accensione e bloccando le serrature e le altre aperture e attivando il freno di emergenza.</w:t>
      </w:r>
      <w:r w:rsidRPr="00371361">
        <w:rPr>
          <w:rFonts w:ascii="Open Sans" w:hAnsi="Open Sans" w:eastAsia="Times New Roman" w:cs="Open Sans"/>
          <w:color w:val="666666"/>
          <w:kern w:val="0"/>
          <w:sz w:val="21"/>
          <w:szCs w:val="21"/>
          <w:lang w:eastAsia="pl-PL"/>
          <w14:ligatures w14:val="none"/>
        </w:rPr>
        <w:br/>
        <w:t xml:space="preserve"> 4) La partenza del mezzo di trasporto con la merce per i motivi di cui al punto 3) lettere a), f) e g) deve avvenire in aree di sosta illuminate destinate agli autocarri e il mezzo di trasporto deve essere messo in sicurezza togliendo la chiave dall'accensione, chiudendo le serrature e le altre aperture e attivando i sistemi di allarme o altri dispositivi di sicurezza presenti a bordo del mezzo di trasporto. 5) La partenza del mezzo di trasporto con la merce per i motivi di cui al punto 3) lettera b) deve avvenire in aree di parcheggio illuminate destinate agli autocarri, situate presso stazioni di servizio, motel, alberghi, ristoranti, bar, uffici doganali, valichi di frontiera o traghetti situati sul percorso del trasporto, e il mezzo di trasporto deve essere messo in sicurezza togliendo la chiave dall'accensione, chiudendo le serrature e le altre aperture e attivando i sistemi di allarme o altri dispositivi di sicurezza che si trovano a bordo del mezzo di trasporto. 6) Non è altresì considerato lasciare incustodito il mezzo di trasporto con la merce nel parcheggio custodito o sorvegliato che fornisce tale servizio e rilascia la ricevuta di accettazione del mezzo di trasporto per il vettore sotto la custodia/supervisione o nei locali della base del vettore o di altra sede del Contraente, a condizione che il luogo sia recintato, chiuso e illuminato durante le ore notturne.</w:t>
      </w:r>
    </w:p>
    <w:p>
      <w:pPr>
        <w:spacing w:after="0" w:line="240" w:lineRule="auto"/>
        <w:jc w:val="both"/>
        <w:textAlignment w:val="baseline"/>
        <w:rPr>
          <w:rFonts w:ascii="Open Sans" w:hAnsi="Open Sans" w:eastAsia="Times New Roman" w:cs="Open Sans"/>
          <w:color w:val="666666"/>
          <w:kern w:val="0"/>
          <w:sz w:val="21"/>
          <w:szCs w:val="21"/>
          <w:lang w:eastAsia="pl-PL"/>
          <w14:ligatures w14:val="none"/>
        </w:rPr>
      </w:pPr>
      <w:r w:rsidRPr="00371361">
        <w:rPr>
          <w:rFonts w:ascii="Open Sans" w:hAnsi="Open Sans" w:eastAsia="Times New Roman" w:cs="Open Sans"/>
          <w:color w:val="666666"/>
          <w:kern w:val="0"/>
          <w:sz w:val="21"/>
          <w:szCs w:val="21"/>
          <w:lang w:eastAsia="pl-PL"/>
          <w14:ligatures w14:val="none"/>
        </w:rPr>
        <w:t xml:space="preserve">(8) Il Contraente fornirà al Committente le informazioni relative al vettore autorizzato a ricevere la spedizione: dati anagrafici (nome e/o cognome) e numero di targa del veicolo, nonché il nome del conducente e il numero del suo documento di identità.</w:t>
      </w:r>
    </w:p>
    <w:p w:rsidR="00474071" w:rsidRDefault="00474071" w14:paraId="321B9E12" w14:textId="77777777"/>
    <w:sectPr w:rsidR="00474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019"/>
    <w:multiLevelType w:val="multilevel"/>
    <w:tmpl w:val="C346F7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67F4B"/>
    <w:multiLevelType w:val="multilevel"/>
    <w:tmpl w:val="6AACC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801637">
    <w:abstractNumId w:val="1"/>
  </w:num>
  <w:num w:numId="2" w16cid:durableId="13193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3"/>
    <w:rsid w:val="001A2A12"/>
    <w:rsid w:val="00371361"/>
    <w:rsid w:val="00474071"/>
    <w:rsid w:val="008B5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EEEE8-EA6D-4636-B915-3FA069C3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7136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58480">
      <w:bodyDiv w:val="1"/>
      <w:marLeft w:val="0"/>
      <w:marRight w:val="0"/>
      <w:marTop w:val="0"/>
      <w:marBottom w:val="0"/>
      <w:divBdr>
        <w:top w:val="none" w:sz="0" w:space="0" w:color="auto"/>
        <w:left w:val="none" w:sz="0" w:space="0" w:color="auto"/>
        <w:bottom w:val="none" w:sz="0" w:space="0" w:color="auto"/>
        <w:right w:val="none" w:sz="0" w:space="0" w:color="auto"/>
      </w:divBdr>
      <w:divsChild>
        <w:div w:id="916791954">
          <w:marLeft w:val="0"/>
          <w:marRight w:val="0"/>
          <w:marTop w:val="0"/>
          <w:marBottom w:val="0"/>
          <w:divBdr>
            <w:top w:val="none" w:sz="0" w:space="0" w:color="auto"/>
            <w:left w:val="none" w:sz="0" w:space="0" w:color="auto"/>
            <w:bottom w:val="none" w:sz="0" w:space="0" w:color="auto"/>
            <w:right w:val="none" w:sz="0" w:space="0" w:color="auto"/>
          </w:divBdr>
          <w:divsChild>
            <w:div w:id="185216855">
              <w:marLeft w:val="0"/>
              <w:marRight w:val="0"/>
              <w:marTop w:val="0"/>
              <w:marBottom w:val="0"/>
              <w:divBdr>
                <w:top w:val="none" w:sz="0" w:space="0" w:color="auto"/>
                <w:left w:val="none" w:sz="0" w:space="0" w:color="auto"/>
                <w:bottom w:val="none" w:sz="0" w:space="0" w:color="auto"/>
                <w:right w:val="none" w:sz="0" w:space="0" w:color="auto"/>
              </w:divBdr>
            </w:div>
          </w:divsChild>
        </w:div>
        <w:div w:id="878736062">
          <w:marLeft w:val="0"/>
          <w:marRight w:val="0"/>
          <w:marTop w:val="0"/>
          <w:marBottom w:val="0"/>
          <w:divBdr>
            <w:top w:val="none" w:sz="0" w:space="0" w:color="auto"/>
            <w:left w:val="none" w:sz="0" w:space="0" w:color="auto"/>
            <w:bottom w:val="none" w:sz="0" w:space="0" w:color="auto"/>
            <w:right w:val="none" w:sz="0" w:space="0" w:color="auto"/>
          </w:divBdr>
          <w:divsChild>
            <w:div w:id="1653561768">
              <w:marLeft w:val="0"/>
              <w:marRight w:val="0"/>
              <w:marTop w:val="0"/>
              <w:marBottom w:val="0"/>
              <w:divBdr>
                <w:top w:val="none" w:sz="0" w:space="0" w:color="auto"/>
                <w:left w:val="none" w:sz="0" w:space="0" w:color="auto"/>
                <w:bottom w:val="none" w:sz="0" w:space="0" w:color="auto"/>
                <w:right w:val="none" w:sz="0" w:space="0" w:color="auto"/>
              </w:divBdr>
            </w:div>
          </w:divsChild>
        </w:div>
        <w:div w:id="9189663">
          <w:marLeft w:val="0"/>
          <w:marRight w:val="0"/>
          <w:marTop w:val="0"/>
          <w:marBottom w:val="0"/>
          <w:divBdr>
            <w:top w:val="none" w:sz="0" w:space="0" w:color="auto"/>
            <w:left w:val="none" w:sz="0" w:space="0" w:color="auto"/>
            <w:bottom w:val="none" w:sz="0" w:space="0" w:color="auto"/>
            <w:right w:val="none" w:sz="0" w:space="0" w:color="auto"/>
          </w:divBdr>
          <w:divsChild>
            <w:div w:id="1993367322">
              <w:marLeft w:val="0"/>
              <w:marRight w:val="0"/>
              <w:marTop w:val="0"/>
              <w:marBottom w:val="0"/>
              <w:divBdr>
                <w:top w:val="none" w:sz="0" w:space="0" w:color="auto"/>
                <w:left w:val="none" w:sz="0" w:space="0" w:color="auto"/>
                <w:bottom w:val="none" w:sz="0" w:space="0" w:color="auto"/>
                <w:right w:val="none" w:sz="0" w:space="0" w:color="auto"/>
              </w:divBdr>
            </w:div>
          </w:divsChild>
        </w:div>
        <w:div w:id="428896479">
          <w:marLeft w:val="0"/>
          <w:marRight w:val="0"/>
          <w:marTop w:val="0"/>
          <w:marBottom w:val="0"/>
          <w:divBdr>
            <w:top w:val="none" w:sz="0" w:space="0" w:color="auto"/>
            <w:left w:val="none" w:sz="0" w:space="0" w:color="auto"/>
            <w:bottom w:val="none" w:sz="0" w:space="0" w:color="auto"/>
            <w:right w:val="none" w:sz="0" w:space="0" w:color="auto"/>
          </w:divBdr>
          <w:divsChild>
            <w:div w:id="2067952879">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719161533">
              <w:marLeft w:val="0"/>
              <w:marRight w:val="0"/>
              <w:marTop w:val="0"/>
              <w:marBottom w:val="0"/>
              <w:divBdr>
                <w:top w:val="none" w:sz="0" w:space="0" w:color="auto"/>
                <w:left w:val="none" w:sz="0" w:space="0" w:color="auto"/>
                <w:bottom w:val="none" w:sz="0" w:space="0" w:color="auto"/>
                <w:right w:val="none" w:sz="0" w:space="0" w:color="auto"/>
              </w:divBdr>
              <w:divsChild>
                <w:div w:id="837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2</ap:TotalTime>
  <ap:Pages>1</ap:Pages>
  <ap:Words>1410</ap:Words>
  <ap:Characters>8461</ap:Characters>
  <ap:Application>Microsoft Office Word</ap:Application>
  <ap:DocSecurity>0</ap:DocSecurity>
  <ap:Lines>70</ap:Lines>
  <ap:Paragraphs>19</ap:Paragraphs>
  <ap:ScaleCrop>false</ap:ScaleCrop>
  <ap:Company/>
  <ap:LinksUpToDate>false</ap:LinksUpToDate>
  <ap:CharactersWithSpaces>9852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Agnieszka Porczyńska</dc:creator>
  <keywords>, docId:B07BBE5624077652C3549DD0F5E11268</keywords>
  <dc:description/>
  <lastModifiedBy>Agnieszka Porczyńska</lastModifiedBy>
  <revision>3</revision>
  <dcterms:created xsi:type="dcterms:W3CDTF">2023-11-14T13:55:00.0000000Z</dcterms:created>
  <dcterms:modified xsi:type="dcterms:W3CDTF">2023-11-14T13:57:00.0000000Z</dcterms:modified>
</coreProperties>
</file>