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cover_product_logo"/>
        <w:jc w:val="right"/>
      </w:pPr>
      <w:r>
        <w:drawing>
          <wp:inline distT="0" distB="0" distL="0" distR="0">
            <wp:extent cx="1905000" cy="47625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1905000" cy="476250"/>
                    </a:xfrm>
                    <a:prstGeom prst="rect">
                      <a:avLst/>
                    </a:prstGeom>
                  </pic:spPr>
                </pic:pic>
              </a:graphicData>
            </a:graphic>
          </wp:inline>
        </w:drawing>
      </w:r>
    </w:p>
    <w:p>
      <w:pPr>
        <w:pStyle w:val="cover_doc_image"/>
      </w:pPr>
      <w:r>
        <w:drawing>
          <wp:inline distT="0" distB="0" distL="0" distR="0">
            <wp:extent cx="3810000" cy="435292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3810000" cy="4352925"/>
                    </a:xfrm>
                    <a:prstGeom prst="rect">
                      <a:avLst/>
                    </a:prstGeom>
                  </pic:spPr>
                </pic:pic>
              </a:graphicData>
            </a:graphic>
          </wp:inline>
        </w:drawing>
      </w:r>
    </w:p>
    <w:tbl>
      <w:tblPr>
        <w:tblW w:type="dxa" w:w="8910"/>
        <w:tblInd w:type="dxa" w:w="75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Borders>
              <w:top w:val="nil"/>
              <w:left w:val="nil"/>
              <w:bottom w:val="nil"/>
              <w:right w:val="nil"/>
            </w:tcBorders>
            <w:shd w:fill="00a971"/>
            <w:vAlign w:val="center"/>
          </w:tcPr>
          <w:p>
            <w:pPr>
              <w:pStyle w:val="cover_doc_name"/>
            </w:pPr>
            <w:r>
              <w:t xml:space="preserve">KubeSphere 企业版</w:t>
            </w:r>
          </w:p>
          <w:p>
            <w:pPr>
              <w:pStyle w:val="cover_doc_name_secondary"/>
            </w:pPr>
            <w:r>
              <w:t xml:space="preserve">术语表</w:t>
            </w:r>
          </w:p>
        </w:tc>
      </w:tr>
    </w:tbl>
    <w:p>
      <w:pPr>
        <w:pStyle w:val="cover_footer_spacing"/>
      </w:pPr>
      <w:r>
        <w:t xml:space="preserve"> </w:t>
      </w:r>
    </w:p>
    <w:tbl>
      <w:tblPr>
        <w:tblW w:type="auto" w:w="100"/>
        <w:tblInd w:type="dxa" w:w="75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dxa" w:w="6750"/>
            <w:tcBorders>
              <w:top w:val="nil"/>
              <w:left w:val="nil"/>
              <w:bottom w:val="nil"/>
              <w:right w:val="nil"/>
            </w:tcBorders>
            <w:vAlign w:val="bottom"/>
          </w:tcPr>
          <w:p>
            <w:pPr>
              <w:pStyle w:val="p-cover_footer"/>
            </w:pPr>
            <w:r>
              <w:t xml:space="preserve">文档版本：01</w:t>
            </w:r>
          </w:p>
          <w:p>
            <w:pPr>
              <w:pStyle w:val="p-cover_footer"/>
            </w:pPr>
            <w:r>
              <w:t xml:space="preserve">发布日期：2023-08-21</w:t>
            </w:r>
          </w:p>
        </w:tc>
      </w:tr>
    </w:tbl>
    <w:p>
      <w:pPr>
        <w:sectPr>
          <w:pgSz w:w="11906" w:h="16838" w:orient="portrait"/>
          <w:pgMar w:top="750" w:right="750" w:bottom="750" w:left="750" w:header="325" w:footer="325" w:gutter="0"/>
          <w:pgNumType/>
          <w:docGrid w:linePitch="360"/>
        </w:sectPr>
      </w:pPr>
    </w:p>
    <w:p>
      <w:pPr>
        <w:pStyle w:val="p"/>
      </w:pPr>
      <w:r>
        <w:rPr>
          <w:b/>
          <w:bCs/>
          <w:rFonts w:ascii="Noto Sans SC Regular" w:cs="Noto Sans SC Regular" w:eastAsia="Noto Sans SC Regular" w:hAnsi="Noto Sans SC Regular"/>
        </w:rPr>
        <w:t xml:space="preserve">【版权声明】</w:t>
      </w:r>
    </w:p>
    <w:p>
      <w:pPr>
        <w:pStyle w:val="p"/>
      </w:pPr>
      <w:r>
        <w:t xml:space="preserve">版权所有 © 北京青云科技股份有限公司 2023。保留所有权利。</w:t>
      </w:r>
    </w:p>
    <w:p>
      <w:pPr>
        <w:pStyle w:val="p"/>
      </w:pPr>
      <w:r>
        <w:t xml:space="preserve">非经本公司书面许可，任何单位和个人不得摘抄、复制或以任何形式传播本文档的部分或全部内容。</w:t>
      </w:r>
    </w:p>
    <w:p>
      <w:pPr>
        <w:pStyle w:val="p"/>
      </w:pPr>
      <w:r>
        <w:t xml:space="preserve"> </w:t>
      </w:r>
    </w:p>
    <w:p>
      <w:pPr>
        <w:pStyle w:val="p"/>
      </w:pPr>
      <w:r>
        <w:rPr>
          <w:b/>
          <w:bCs/>
          <w:rFonts w:ascii="Noto Sans SC Regular" w:cs="Noto Sans SC Regular" w:eastAsia="Noto Sans SC Regular" w:hAnsi="Noto Sans SC Regular"/>
        </w:rPr>
        <w:t xml:space="preserve">【商标声明】</w:t>
      </w:r>
    </w:p>
    <w:p>
      <w:pPr>
        <w:pStyle w:val="p"/>
      </w:pPr>
      <w:r>
        <w:drawing>
          <wp:inline distT="0" distB="0" distL="0" distR="0">
            <wp:extent cx="171450" cy="17145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171450" cy="171450"/>
                    </a:xfrm>
                    <a:prstGeom prst="rect">
                      <a:avLst/>
                    </a:prstGeom>
                  </pic:spPr>
                </pic:pic>
              </a:graphicData>
            </a:graphic>
          </wp:inline>
        </w:drawing>
      </w:r>
      <w:r>
        <w:t xml:space="preserve"> 和其他青云商标均由北京青云科技股份有限公司拥有。</w:t>
      </w:r>
    </w:p>
    <w:p>
      <w:pPr>
        <w:pStyle w:val="p"/>
      </w:pPr>
      <w:r>
        <w:t xml:space="preserve">本文档提及的其他商标或注册商标，由各自的所有人拥有。</w:t>
      </w:r>
    </w:p>
    <w:p>
      <w:pPr>
        <w:pStyle w:val="p"/>
      </w:pPr>
      <w:r>
        <w:t xml:space="preserve"> </w:t>
      </w:r>
    </w:p>
    <w:p>
      <w:pPr>
        <w:pStyle w:val="p"/>
      </w:pPr>
      <w:r>
        <w:rPr>
          <w:b/>
          <w:bCs/>
          <w:rFonts w:ascii="Noto Sans SC Regular" w:cs="Noto Sans SC Regular" w:eastAsia="Noto Sans SC Regular" w:hAnsi="Noto Sans SC Regular"/>
        </w:rPr>
        <w:t xml:space="preserve">【产品或服务声明】</w:t>
      </w:r>
    </w:p>
    <w:p>
      <w:pPr>
        <w:pStyle w:val="p"/>
      </w:pPr>
      <w:r>
        <w:t xml:space="preserve">本文档描述的部分产品、服务和特性可能不在您的购买或使用范围之内，您购买的产品、服务或特性应受青云公司商业合同和条款的约束。</w:t>
      </w:r>
    </w:p>
    <w:p>
      <w:pPr>
        <w:pStyle w:val="p"/>
      </w:pPr>
      <w:r>
        <w:t xml:space="preserve">本文档内容会不定期进行更新。本文档仅作为使用指导，本文档中的所有陈述、信息和建议不构成任何明示或暗示的担保。</w:t>
      </w:r>
    </w:p>
    <w:p>
      <w:pPr>
        <w:pStyle w:val="p"/>
      </w:pPr>
      <w:r>
        <w:t xml:space="preserve"> </w:t>
      </w:r>
    </w:p>
    <w:p>
      <w:pPr>
        <w:pStyle w:val="p"/>
      </w:pPr>
      <w:r>
        <w:t xml:space="preserve">北京青云科技股份有限公司</w:t>
      </w:r>
    </w:p>
    <w:p>
      <w:pPr>
        <w:pStyle w:val="p"/>
      </w:pPr>
      <w:r>
        <w:t xml:space="preserve">网址：</w:t>
      </w:r>
      <w:hyperlink w:history="1" r:id="rIdtcgddkmn1stnm85wly7al">
        <w:r>
          <w:rPr>
            <w:color w:val="0000ff"/>
          </w:rPr>
          <w:t xml:space="preserve">https://www.qingcloud.com</w:t>
        </w:r>
      </w:hyperlink>
    </w:p>
    <w:p>
      <w:pPr>
        <w:sectPr>
          <w:pgSz w:w="11906" w:h="16838" w:orient="portrait"/>
          <w:pgMar w:top="750" w:right="750" w:bottom="750" w:left="750" w:header="325" w:footer="325" w:gutter="0"/>
          <w:pgNumType/>
          <w:docGrid w:linePitch="360"/>
        </w:sectPr>
      </w:pPr>
    </w:p>
    <w:p>
      <w:pPr>
        <w:pStyle w:val="h2"/>
      </w:pPr>
      <w:r>
        <w:t xml:space="preserve">前言</w:t>
      </w:r>
    </w:p>
    <w:p>
      <w:pPr>
        <w:pStyle w:val="p"/>
      </w:pPr>
      <w:r>
        <w:t xml:space="preserve">本术语表包含 KubeSphere 中专有的通用术语和技术术语。</w:t>
      </w:r>
    </w:p>
    <w:p>
      <w:pPr>
        <w:sectPr>
          <w:headerReference w:type="default" r:id="rId6"/>
          <w:footerReference w:type="default" r:id="rId7"/>
          <w:pgSz w:w="11906" w:h="16838" w:orient="portrait"/>
          <w:pgMar w:top="750" w:right="750" w:bottom="750" w:left="750" w:header="325" w:footer="325" w:gutter="0"/>
          <w:pgNumType w:start="1" w:fmt="lowerRoman"/>
          <w:docGrid w:linePitch="360"/>
        </w:sectPr>
      </w:pPr>
    </w:p>
    <w:p>
      <w:pPr>
        <w:pStyle w:val="h2"/>
      </w:pPr>
      <w:r>
        <w:t xml:space="preserve">目录</w:t>
      </w:r>
    </w:p>
    <w:sdt>
      <w:sdtPr>
        <w:alias w:val=" "/>
      </w:sdtPr>
      <w:sdtContent>
        <w:p>
          <w:r>
            <w:fldChar w:fldCharType="begin" w:dirty="true"/>
            <w:instrText xml:space="preserve">TOC \h \o "1-5"</w:instrText>
            <w:fldChar w:fldCharType="separate"/>
          </w:r>
        </w:p>
        <w:p>
          <w:r>
            <w:fldChar w:fldCharType="end"/>
          </w:r>
        </w:p>
      </w:sdtContent>
    </w:sdt>
    <w:p>
      <w:pPr>
        <w:sectPr>
          <w:headerReference w:type="default" r:id="rId8"/>
          <w:footerReference w:type="default" r:id="rId9"/>
          <w:pgSz w:w="11906" w:h="16838" w:orient="portrait"/>
          <w:pgMar w:top="750" w:right="750" w:bottom="750" w:left="750" w:header="325" w:footer="325" w:gutter="0"/>
          <w:pgNumType w:fmt="lowerRoman"/>
          <w:docGrid w:linePitch="360"/>
        </w:sectPr>
      </w:pPr>
    </w:p>
    <w:p>
      <w:pPr>
        <w:pStyle w:val="h2"/>
      </w:pPr>
      <w:bookmarkStart w:name="fil-7534db80-98cf-43d0-af79-2b93ac680ccc" w:id="4"/>
      <w:r>
        <w:t xml:space="preserve">1. 术语表</w:t>
      </w:r>
      <w:bookmarkEnd w:id="4"/>
    </w:p>
    <w:p>
      <w:pPr>
        <w:pStyle w:val="p-file-class-level-2"/>
      </w:pPr>
      <w:bookmarkStart w:name="fil-6e645d7e-0c29-4e2a-ab9e-fad602049424" w:id="5"/>
      <w:r>
        <w:t xml:space="preserve">通用术语</w:t>
      </w:r>
      <w:bookmarkEnd w:id="5"/>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集群（Cluster）</w:t>
            </w:r>
          </w:p>
        </w:tc>
        <w:tc>
          <w:tcPr>
            <w:vAlign w:val="center"/>
          </w:tcPr>
          <w:p>
            <w:pPr>
              <w:pStyle w:val="p-table"/>
            </w:pPr>
            <w:r>
              <w:t xml:space="preserve">集群是一组相互独立的计算机或服务器组成的一个较大的计算机服务系统。</w:t>
            </w:r>
          </w:p>
        </w:tc>
      </w:tr>
      <w:tr>
        <w:trPr>
          <w:cantSplit/>
          <w:tblHeader w:val="false"/>
        </w:trPr>
        <w:tc>
          <w:tcPr>
            <w:tcW w:type="dxa" w:w="2082"/>
            <w:vAlign w:val="center"/>
          </w:tcPr>
          <w:p>
            <w:pPr>
              <w:pStyle w:val="p-table"/>
            </w:pPr>
            <w:r>
              <w:t xml:space="preserve">节点（Node）</w:t>
            </w:r>
          </w:p>
        </w:tc>
        <w:tc>
          <w:tcPr>
            <w:vAlign w:val="center"/>
          </w:tcPr>
          <w:p>
            <w:pPr>
              <w:pStyle w:val="p-table"/>
            </w:pPr>
            <w:r>
              <w:t xml:space="preserve">节点是组成集群的每一台工作机器，可以是虚拟机也可以是物理机。每个节点都可以独立运行和处理任务。</w:t>
            </w:r>
          </w:p>
        </w:tc>
      </w:tr>
      <w:tr>
        <w:trPr>
          <w:cantSplit/>
          <w:tblHeader w:val="false"/>
        </w:trPr>
        <w:tc>
          <w:tcPr>
            <w:tcW w:type="dxa" w:w="2082"/>
            <w:vAlign w:val="center"/>
          </w:tcPr>
          <w:p>
            <w:pPr>
              <w:pStyle w:val="p-table"/>
            </w:pPr>
            <w:r>
              <w:t xml:space="preserve">企业空间（Workspace）</w:t>
            </w:r>
          </w:p>
        </w:tc>
        <w:tc>
          <w:tcPr>
            <w:vAlign w:val="center"/>
          </w:tcPr>
          <w:p>
            <w:pPr>
              <w:pStyle w:val="p-table"/>
            </w:pPr>
            <w:r>
              <w:t xml:space="preserve">企业空间是用来管理项目和组织成员的基本逻辑单元，是 KubeSphere 多租户系统的基础。</w:t>
            </w:r>
          </w:p>
        </w:tc>
      </w:tr>
      <w:tr>
        <w:trPr>
          <w:cantSplit/>
          <w:tblHeader w:val="false"/>
        </w:trPr>
        <w:tc>
          <w:tcPr>
            <w:tcW w:type="dxa" w:w="2082"/>
            <w:vAlign w:val="center"/>
          </w:tcPr>
          <w:p>
            <w:pPr>
              <w:pStyle w:val="p-table"/>
            </w:pPr>
            <w:r>
              <w:t xml:space="preserve">企业空间成员</w:t>
            </w:r>
          </w:p>
        </w:tc>
        <w:tc>
          <w:tcPr>
            <w:vAlign w:val="center"/>
          </w:tcPr>
          <w:p>
            <w:pPr>
              <w:pStyle w:val="p-table"/>
            </w:pPr>
            <w:r>
              <w:t xml:space="preserve">邀请至企业空间中工作的用户，拥有特定的权限。</w:t>
            </w:r>
          </w:p>
        </w:tc>
      </w:tr>
      <w:tr>
        <w:trPr>
          <w:cantSplit/>
          <w:tblHeader w:val="false"/>
        </w:trPr>
        <w:tc>
          <w:tcPr>
            <w:tcW w:type="dxa" w:w="2082"/>
            <w:vAlign w:val="center"/>
          </w:tcPr>
          <w:p>
            <w:pPr>
              <w:pStyle w:val="p-table"/>
            </w:pPr>
            <w:r>
              <w:t xml:space="preserve">项目</w:t>
            </w:r>
          </w:p>
        </w:tc>
        <w:tc>
          <w:tcPr>
            <w:vAlign w:val="center"/>
          </w:tcPr>
          <w:p>
            <w:pPr>
              <w:pStyle w:val="p-table"/>
            </w:pPr>
            <w:r>
              <w:t xml:space="preserve">KubeSphere 中的项目对应 Kubernetes 中的命名空间。</w:t>
            </w:r>
          </w:p>
        </w:tc>
      </w:tr>
      <w:tr>
        <w:trPr>
          <w:cantSplit/>
          <w:tblHeader w:val="false"/>
        </w:trPr>
        <w:tc>
          <w:tcPr>
            <w:tcW w:type="dxa" w:w="2082"/>
            <w:vAlign w:val="center"/>
          </w:tcPr>
          <w:p>
            <w:pPr>
              <w:pStyle w:val="p-table"/>
            </w:pPr>
            <w:r>
              <w:t xml:space="preserve">多集群项目</w:t>
            </w:r>
          </w:p>
        </w:tc>
        <w:tc>
          <w:tcPr>
            <w:vAlign w:val="center"/>
          </w:tcPr>
          <w:p>
            <w:pPr>
              <w:pStyle w:val="p-table"/>
            </w:pPr>
            <w:r>
              <w:t xml:space="preserve">工作负载部署在多个集群上的项目。</w:t>
            </w:r>
          </w:p>
        </w:tc>
      </w:tr>
      <w:tr>
        <w:trPr>
          <w:cantSplit/>
          <w:tblHeader w:val="false"/>
        </w:trPr>
        <w:tc>
          <w:tcPr>
            <w:tcW w:type="dxa" w:w="2082"/>
            <w:vAlign w:val="center"/>
          </w:tcPr>
          <w:p>
            <w:pPr>
              <w:pStyle w:val="p-table"/>
            </w:pPr>
            <w:r>
              <w:t xml:space="preserve">项目成员</w:t>
            </w:r>
          </w:p>
        </w:tc>
        <w:tc>
          <w:tcPr>
            <w:vAlign w:val="center"/>
          </w:tcPr>
          <w:p>
            <w:pPr>
              <w:pStyle w:val="p-table"/>
            </w:pPr>
            <w:r>
              <w:t xml:space="preserve">邀请至项目中工作的用户，拥有特定的权限。</w:t>
            </w:r>
          </w:p>
        </w:tc>
      </w:tr>
      <w:tr>
        <w:trPr>
          <w:cantSplit/>
          <w:tblHeader w:val="false"/>
        </w:trPr>
        <w:tc>
          <w:tcPr>
            <w:tcW w:type="dxa" w:w="2082"/>
            <w:vAlign w:val="center"/>
          </w:tcPr>
          <w:p>
            <w:pPr>
              <w:pStyle w:val="p-table"/>
            </w:pPr>
            <w:r>
              <w:t xml:space="preserve">控制台</w:t>
            </w:r>
          </w:p>
        </w:tc>
        <w:tc>
          <w:tcPr>
            <w:vAlign w:val="center"/>
          </w:tcPr>
          <w:p>
            <w:pPr>
              <w:pStyle w:val="p-table"/>
            </w:pPr>
            <w:r>
              <w:t xml:space="preserve">用户的登录页面，会显示租户拥有访问权限的资源，例如企业空间和项目。</w:t>
            </w:r>
          </w:p>
        </w:tc>
      </w:tr>
      <w:tr>
        <w:trPr>
          <w:cantSplit/>
          <w:tblHeader w:val="false"/>
        </w:trPr>
        <w:tc>
          <w:tcPr>
            <w:tcW w:type="dxa" w:w="2082"/>
            <w:vAlign w:val="center"/>
          </w:tcPr>
          <w:p>
            <w:pPr>
              <w:pStyle w:val="p-table"/>
            </w:pPr>
            <w:r>
              <w:t xml:space="preserve">容器组（Pod）</w:t>
            </w:r>
          </w:p>
        </w:tc>
        <w:tc>
          <w:tcPr>
            <w:vAlign w:val="center"/>
          </w:tcPr>
          <w:p>
            <w:pPr>
              <w:pStyle w:val="p-table"/>
            </w:pPr>
            <w:r>
              <w:t xml:space="preserve">Pod 是应⽤程序的最⼩管理单元，相当于应⽤程序的逻辑主机。每个容器组包含⼀个或多个容器，这些容器共享一些集群资源。每个容器组都旨在运行给定应用程序的单个实例。</w:t>
            </w:r>
          </w:p>
        </w:tc>
      </w:tr>
      <w:tr>
        <w:trPr>
          <w:cantSplit/>
          <w:tblHeader w:val="false"/>
        </w:trPr>
        <w:tc>
          <w:tcPr>
            <w:tcW w:type="dxa" w:w="2082"/>
            <w:vAlign w:val="center"/>
          </w:tcPr>
          <w:p>
            <w:pPr>
              <w:pStyle w:val="p-table"/>
            </w:pPr>
            <w:r>
              <w:t xml:space="preserve">容器（Container）</w:t>
            </w:r>
          </w:p>
        </w:tc>
        <w:tc>
          <w:tcPr>
            <w:vAlign w:val="center"/>
          </w:tcPr>
          <w:p>
            <w:pPr>
              <w:pStyle w:val="p-table"/>
            </w:pPr>
            <w:r>
              <w:t xml:space="preserve">容器是可移植、可执行的轻量级的镜像，用于封装应用程序及其依赖项的独立运行环境。</w:t>
            </w:r>
          </w:p>
        </w:tc>
      </w:tr>
      <w:tr>
        <w:trPr>
          <w:cantSplit/>
          <w:tblHeader w:val="false"/>
        </w:trPr>
        <w:tc>
          <w:tcPr>
            <w:tcW w:type="dxa" w:w="2082"/>
            <w:vAlign w:val="center"/>
          </w:tcPr>
          <w:p>
            <w:pPr>
              <w:pStyle w:val="p-table"/>
            </w:pPr>
            <w:r>
              <w:t xml:space="preserve">镜像（Image）</w:t>
            </w:r>
          </w:p>
        </w:tc>
        <w:tc>
          <w:tcPr>
            <w:vAlign w:val="center"/>
          </w:tcPr>
          <w:p>
            <w:pPr>
              <w:pStyle w:val="p-table"/>
            </w:pPr>
            <w:r>
              <w:t xml:space="preserve">镜像是保存的容器实例，包含了应用程序的代码、运行时环境和依赖项。</w:t>
            </w:r>
          </w:p>
        </w:tc>
      </w:tr>
      <w:tr>
        <w:trPr>
          <w:cantSplit/>
          <w:tblHeader w:val="false"/>
        </w:trPr>
        <w:tc>
          <w:tcPr>
            <w:tcW w:type="dxa" w:w="2082"/>
            <w:vAlign w:val="center"/>
          </w:tcPr>
          <w:p>
            <w:pPr>
              <w:pStyle w:val="p-table"/>
            </w:pPr>
            <w:r>
              <w:t xml:space="preserve">Docker</w:t>
            </w:r>
          </w:p>
        </w:tc>
        <w:tc>
          <w:tcPr>
            <w:vAlign w:val="center"/>
          </w:tcPr>
          <w:p>
            <w:pPr>
              <w:pStyle w:val="p-table"/>
            </w:pPr>
            <w:r>
              <w:t xml:space="preserve">一个开源的应用容器引擎，用于创建、部署和管理容器。</w:t>
            </w:r>
          </w:p>
        </w:tc>
      </w:tr>
      <w:tr>
        <w:trPr>
          <w:cantSplit/>
          <w:tblHeader w:val="false"/>
        </w:trPr>
        <w:tc>
          <w:tcPr>
            <w:tcW w:type="dxa" w:w="2082"/>
            <w:vAlign w:val="center"/>
          </w:tcPr>
          <w:p>
            <w:pPr>
              <w:pStyle w:val="p-table"/>
            </w:pPr>
            <w:r>
              <w:t xml:space="preserve">Docker Hub</w:t>
            </w:r>
          </w:p>
        </w:tc>
        <w:tc>
          <w:tcPr>
            <w:vAlign w:val="center"/>
          </w:tcPr>
          <w:p>
            <w:pPr>
              <w:pStyle w:val="p-table"/>
            </w:pPr>
            <w:r>
              <w:t xml:space="preserve">一个容器镜像存储库。</w:t>
            </w:r>
          </w:p>
        </w:tc>
      </w:tr>
      <w:tr>
        <w:trPr>
          <w:cantSplit/>
          <w:tblHeader w:val="false"/>
        </w:trPr>
        <w:tc>
          <w:tcPr>
            <w:tcW w:type="dxa" w:w="2082"/>
            <w:vAlign w:val="center"/>
          </w:tcPr>
          <w:p>
            <w:pPr>
              <w:pStyle w:val="p-table"/>
            </w:pPr>
            <w:r>
              <w:t xml:space="preserve">API 服务器</w:t>
            </w:r>
          </w:p>
        </w:tc>
        <w:tc>
          <w:tcPr>
            <w:vAlign w:val="center"/>
          </w:tcPr>
          <w:p>
            <w:pPr>
              <w:pStyle w:val="p-table"/>
            </w:pPr>
            <w:r>
              <w:t xml:space="preserve">API 服务器是集群内部各个组件的通信中介，负责处理接受请求的工作。</w:t>
            </w:r>
          </w:p>
        </w:tc>
      </w:tr>
      <w:tr>
        <w:trPr>
          <w:cantSplit/>
          <w:tblHeader w:val="false"/>
        </w:trPr>
        <w:tc>
          <w:tcPr>
            <w:tcW w:type="dxa" w:w="2082"/>
            <w:vAlign w:val="center"/>
          </w:tcPr>
          <w:p>
            <w:pPr>
              <w:pStyle w:val="p-table"/>
            </w:pPr>
            <w:r>
              <w:t xml:space="preserve">KubeKey</w:t>
            </w:r>
          </w:p>
        </w:tc>
        <w:tc>
          <w:tcPr>
            <w:vAlign w:val="center"/>
          </w:tcPr>
          <w:p>
            <w:pPr>
              <w:pStyle w:val="p-table"/>
            </w:pPr>
            <w:r>
              <w:t xml:space="preserve">一种全新的安装工具，提供灵活的安装选择，既可以仅安装 Kubernetes，也可以同时安装 Kubernetes 和 KubeSphere。KubeKey 还支持多种安装选项，例如 All-in-One、多节点安装以及离线安装，用户只需要先准备好配置文件再执行相关命令即可。</w:t>
            </w:r>
          </w:p>
        </w:tc>
      </w:tr>
      <w:tr>
        <w:trPr>
          <w:cantSplit/>
          <w:tblHeader w:val="false"/>
        </w:trPr>
        <w:tc>
          <w:tcPr>
            <w:tcW w:type="dxa" w:w="2082"/>
            <w:vAlign w:val="center"/>
          </w:tcPr>
          <w:p>
            <w:pPr>
              <w:pStyle w:val="p-table"/>
            </w:pPr>
            <w:r>
              <w:t xml:space="preserve">ks-installer</w:t>
            </w:r>
          </w:p>
        </w:tc>
        <w:tc>
          <w:tcPr>
            <w:vAlign w:val="center"/>
          </w:tcPr>
          <w:p>
            <w:pPr>
              <w:pStyle w:val="p-table"/>
            </w:pPr>
            <w:r>
              <w:t xml:space="preserve">在已有 Kubernetes 集群上部署 KubeSphere 的安装包。</w:t>
            </w:r>
          </w:p>
        </w:tc>
      </w:tr>
      <w:tr>
        <w:trPr>
          <w:cantSplit/>
          <w:tblHeader w:val="false"/>
        </w:trPr>
        <w:tc>
          <w:tcPr>
            <w:tcW w:type="dxa" w:w="2082"/>
            <w:vAlign w:val="center"/>
          </w:tcPr>
          <w:p>
            <w:pPr>
              <w:pStyle w:val="p-table"/>
            </w:pPr>
            <w:r>
              <w:t xml:space="preserve">kube-proxy</w:t>
            </w:r>
          </w:p>
        </w:tc>
        <w:tc>
          <w:tcPr>
            <w:vAlign w:val="center"/>
          </w:tcPr>
          <w:p>
            <w:pPr>
              <w:pStyle w:val="p-table"/>
            </w:pPr>
            <w:r>
              <w:t xml:space="preserve">kube-proxy 是集群中每个节点上所运行的网络代理。</w:t>
            </w:r>
          </w:p>
        </w:tc>
      </w:tr>
      <w:tr>
        <w:trPr>
          <w:cantSplit/>
          <w:tblHeader w:val="false"/>
        </w:trPr>
        <w:tc>
          <w:tcPr>
            <w:tcW w:type="dxa" w:w="2082"/>
            <w:vAlign w:val="center"/>
          </w:tcPr>
          <w:p>
            <w:pPr>
              <w:pStyle w:val="p-table"/>
            </w:pPr>
            <w:r>
              <w:t xml:space="preserve">Kubectl</w:t>
            </w:r>
          </w:p>
        </w:tc>
        <w:tc>
          <w:tcPr>
            <w:vAlign w:val="center"/>
          </w:tcPr>
          <w:p>
            <w:pPr>
              <w:pStyle w:val="p-table"/>
            </w:pPr>
            <w:r>
              <w:t xml:space="preserve">亦称作: kubectl，与集群的控制平面进行通信的命令行工具，用于集群管理、应用部署、资源状态 查询等操作。</w:t>
            </w:r>
          </w:p>
        </w:tc>
      </w:tr>
      <w:tr>
        <w:trPr>
          <w:cantSplit/>
          <w:tblHeader w:val="false"/>
        </w:trPr>
        <w:tc>
          <w:tcPr>
            <w:tcW w:type="dxa" w:w="2082"/>
            <w:vAlign w:val="center"/>
          </w:tcPr>
          <w:p>
            <w:pPr>
              <w:pStyle w:val="p-table"/>
            </w:pPr>
            <w:r>
              <w:t xml:space="preserve">Kubelet</w:t>
            </w:r>
          </w:p>
        </w:tc>
        <w:tc>
          <w:tcPr>
            <w:vAlign w:val="center"/>
          </w:tcPr>
          <w:p>
            <w:pPr>
              <w:pStyle w:val="p-table"/>
            </w:pPr>
            <w:r>
              <w:t xml:space="preserve">kubelet 会在集群中每个节点上运行。它保证容器（containers）都运行在 Pod 中。</w:t>
            </w:r>
          </w:p>
        </w:tc>
      </w:tr>
    </w:tbl>
    <w:p>
      <w:r>
        <w:t xml:space="preserve"> </w:t>
      </w:r>
    </w:p>
    <w:p>
      <w:pPr>
        <w:pStyle w:val="p-file-class-level-2"/>
      </w:pPr>
      <w:bookmarkStart w:name="fil-cfd0d65f-a344-4c8b-8c7d-5ad14ce0db7c" w:id="6"/>
      <w:r>
        <w:t xml:space="preserve">集群</w:t>
      </w:r>
      <w:bookmarkEnd w:id="6"/>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集群节点</w:t>
            </w:r>
          </w:p>
        </w:tc>
        <w:tc>
          <w:tcPr>
            <w:vAlign w:val="center"/>
          </w:tcPr>
          <w:p>
            <w:pPr>
              <w:pStyle w:val="p-table"/>
            </w:pPr>
            <w:r>
              <w:t xml:space="preserve">集群本地的节点，通常所有集群节点都属于同⼀个私有⽹络。包含控制平面节点和工作节点。</w:t>
            </w:r>
          </w:p>
        </w:tc>
      </w:tr>
      <w:tr>
        <w:trPr>
          <w:cantSplit/>
          <w:tblHeader w:val="false"/>
        </w:trPr>
        <w:tc>
          <w:tcPr>
            <w:tcW w:type="dxa" w:w="2082"/>
            <w:vAlign w:val="center"/>
          </w:tcPr>
          <w:p>
            <w:pPr>
              <w:pStyle w:val="p-table"/>
            </w:pPr>
            <w:r>
              <w:t xml:space="preserve">控制平面节点</w:t>
            </w:r>
          </w:p>
        </w:tc>
        <w:tc>
          <w:tcPr>
            <w:vAlign w:val="center"/>
          </w:tcPr>
          <w:p>
            <w:pPr>
              <w:pStyle w:val="p-table"/>
            </w:pPr>
            <w:r>
              <w:t xml:space="preserve">也称为主节点，用来控制和管理整个集群。</w:t>
            </w:r>
          </w:p>
        </w:tc>
      </w:tr>
      <w:tr>
        <w:trPr>
          <w:cantSplit/>
          <w:tblHeader w:val="false"/>
        </w:trPr>
        <w:tc>
          <w:tcPr>
            <w:tcW w:type="dxa" w:w="2082"/>
            <w:vAlign w:val="center"/>
          </w:tcPr>
          <w:p>
            <w:pPr>
              <w:pStyle w:val="p-table"/>
            </w:pPr>
            <w:r>
              <w:t xml:space="preserve">工作节点</w:t>
            </w:r>
          </w:p>
        </w:tc>
        <w:tc>
          <w:tcPr>
            <w:vAlign w:val="center"/>
          </w:tcPr>
          <w:p>
            <w:pPr>
              <w:pStyle w:val="p-table"/>
            </w:pPr>
            <w:r>
              <w:t xml:space="preserve">提供容器运行环境，用来运行实际部署的应用。</w:t>
            </w:r>
          </w:p>
        </w:tc>
      </w:tr>
      <w:tr>
        <w:trPr>
          <w:cantSplit/>
          <w:tblHeader w:val="false"/>
        </w:trPr>
        <w:tc>
          <w:tcPr>
            <w:tcW w:type="dxa" w:w="2082"/>
            <w:vAlign w:val="center"/>
          </w:tcPr>
          <w:p>
            <w:pPr>
              <w:pStyle w:val="p-table"/>
            </w:pPr>
            <w:r>
              <w:t xml:space="preserve">边缘节点</w:t>
            </w:r>
          </w:p>
        </w:tc>
        <w:tc>
          <w:tcPr>
            <w:vAlign w:val="center"/>
          </w:tcPr>
          <w:p>
            <w:pPr>
              <w:pStyle w:val="p-table"/>
            </w:pPr>
            <w:r>
              <w:t xml:space="preserve">部署在边缘环境中受 KubeSphere 管理的节点。</w:t>
            </w:r>
          </w:p>
        </w:tc>
      </w:tr>
      <w:tr>
        <w:trPr>
          <w:cantSplit/>
          <w:tblHeader w:val="false"/>
        </w:trPr>
        <w:tc>
          <w:tcPr>
            <w:tcW w:type="dxa" w:w="2082"/>
            <w:vAlign w:val="center"/>
          </w:tcPr>
          <w:p>
            <w:pPr>
              <w:pStyle w:val="p-table"/>
            </w:pPr>
            <w:r>
              <w:t xml:space="preserve">主集群</w:t>
            </w:r>
          </w:p>
        </w:tc>
        <w:tc>
          <w:tcPr>
            <w:vAlign w:val="center"/>
          </w:tcPr>
          <w:p>
            <w:pPr>
              <w:pStyle w:val="p-table"/>
            </w:pPr>
            <w:r>
              <w:t xml:space="preserve">主集群管理成员集群，并提供统一的多集群中央控制平面。</w:t>
            </w:r>
          </w:p>
        </w:tc>
      </w:tr>
      <w:tr>
        <w:trPr>
          <w:cantSplit/>
          <w:tblHeader w:val="false"/>
        </w:trPr>
        <w:tc>
          <w:tcPr>
            <w:tcW w:type="dxa" w:w="2082"/>
            <w:vAlign w:val="center"/>
          </w:tcPr>
          <w:p>
            <w:pPr>
              <w:pStyle w:val="p-table"/>
            </w:pPr>
            <w:r>
              <w:t xml:space="preserve">成员集群</w:t>
            </w:r>
          </w:p>
        </w:tc>
        <w:tc>
          <w:tcPr>
            <w:vAlign w:val="center"/>
          </w:tcPr>
          <w:p>
            <w:pPr>
              <w:pStyle w:val="p-table"/>
            </w:pPr>
            <w:r>
              <w:t xml:space="preserve">成员集群在多集群架构中由主集群统一管理。</w:t>
            </w:r>
          </w:p>
        </w:tc>
      </w:tr>
      <w:tr>
        <w:trPr>
          <w:cantSplit/>
          <w:tblHeader w:val="false"/>
        </w:trPr>
        <w:tc>
          <w:tcPr>
            <w:tcW w:type="dxa" w:w="2082"/>
            <w:vAlign w:val="center"/>
          </w:tcPr>
          <w:p>
            <w:pPr>
              <w:pStyle w:val="p-table"/>
            </w:pPr>
            <w:r>
              <w:t xml:space="preserve">直接连接</w:t>
            </w:r>
          </w:p>
        </w:tc>
        <w:tc>
          <w:tcPr>
            <w:vAlign w:val="center"/>
          </w:tcPr>
          <w:p>
            <w:pPr>
              <w:pStyle w:val="p-table"/>
            </w:pPr>
            <w:r>
              <w:t xml:space="preserve">当主集群的任意节点均可访问成员集群的 kube-apiserver 地址时可使用此方式直接连接主集群和成员集群。</w:t>
            </w:r>
          </w:p>
        </w:tc>
      </w:tr>
      <w:tr>
        <w:trPr>
          <w:cantSplit/>
          <w:tblHeader w:val="false"/>
        </w:trPr>
        <w:tc>
          <w:tcPr>
            <w:tcW w:type="dxa" w:w="2082"/>
            <w:vAlign w:val="center"/>
          </w:tcPr>
          <w:p>
            <w:pPr>
              <w:pStyle w:val="p-table"/>
            </w:pPr>
            <w:r>
              <w:t xml:space="preserve">代理连接</w:t>
            </w:r>
          </w:p>
        </w:tc>
        <w:tc>
          <w:tcPr>
            <w:vAlign w:val="center"/>
          </w:tcPr>
          <w:p>
            <w:pPr>
              <w:pStyle w:val="p-table"/>
            </w:pPr>
            <w:r>
              <w:t xml:space="preserve">当主集群无法直接连接成员集群时可使用代理方式连接主集群和成员集群。</w:t>
            </w:r>
          </w:p>
        </w:tc>
      </w:tr>
      <w:tr>
        <w:trPr>
          <w:cantSplit/>
          <w:tblHeader w:val="false"/>
        </w:trPr>
        <w:tc>
          <w:tcPr>
            <w:tcW w:type="dxa" w:w="2082"/>
            <w:vAlign w:val="center"/>
          </w:tcPr>
          <w:p>
            <w:pPr>
              <w:pStyle w:val="p-table"/>
            </w:pPr>
            <w:r>
              <w:t xml:space="preserve">jwtSecret</w:t>
            </w:r>
          </w:p>
        </w:tc>
        <w:tc>
          <w:tcPr>
            <w:vAlign w:val="center"/>
          </w:tcPr>
          <w:p>
            <w:pPr>
              <w:pStyle w:val="p-table"/>
            </w:pPr>
            <w:r>
              <w:t xml:space="preserve">主集群和成员集群所需的密钥以便二者通信。</w:t>
            </w:r>
          </w:p>
        </w:tc>
      </w:tr>
      <w:tr>
        <w:trPr>
          <w:cantSplit/>
          <w:tblHeader w:val="false"/>
        </w:trPr>
        <w:tc>
          <w:tcPr>
            <w:tcW w:type="dxa" w:w="2082"/>
            <w:vAlign w:val="center"/>
          </w:tcPr>
          <w:p>
            <w:pPr>
              <w:pStyle w:val="p-table"/>
            </w:pPr>
            <w:r>
              <w:t xml:space="preserve">Tower</w:t>
            </w:r>
          </w:p>
        </w:tc>
        <w:tc>
          <w:tcPr>
            <w:vAlign w:val="center"/>
          </w:tcPr>
          <w:p>
            <w:pPr>
              <w:pStyle w:val="p-table"/>
            </w:pPr>
            <w:r>
              <w:t xml:space="preserve">使用代理连接时，主集群上会安装 proxy 组件而成员集群上会安装 agent，Tower 包含 proxy 和 agent。</w:t>
            </w:r>
          </w:p>
        </w:tc>
      </w:tr>
      <w:tr>
        <w:trPr>
          <w:cantSplit/>
          <w:tblHeader w:val="false"/>
        </w:trPr>
        <w:tc>
          <w:tcPr>
            <w:tcW w:type="dxa" w:w="2082"/>
            <w:vAlign w:val="center"/>
          </w:tcPr>
          <w:p>
            <w:pPr>
              <w:pStyle w:val="p-table"/>
            </w:pPr>
            <w:r>
              <w:t xml:space="preserve">代理服务地址</w:t>
            </w:r>
          </w:p>
        </w:tc>
        <w:tc>
          <w:tcPr>
            <w:vAlign w:val="center"/>
          </w:tcPr>
          <w:p>
            <w:pPr>
              <w:pStyle w:val="p-table"/>
            </w:pPr>
            <w:r>
              <w:t xml:space="preserve">使用代理连接时，成员集群上的 Tower agent 需要获取的主集群的通信服务地址。</w:t>
            </w:r>
          </w:p>
        </w:tc>
      </w:tr>
      <w:tr>
        <w:trPr>
          <w:cantSplit/>
          <w:tblHeader w:val="false"/>
        </w:trPr>
        <w:tc>
          <w:tcPr>
            <w:tcW w:type="dxa" w:w="2082"/>
            <w:vAlign w:val="center"/>
          </w:tcPr>
          <w:p>
            <w:pPr>
              <w:pStyle w:val="p-table"/>
            </w:pPr>
            <w:r>
              <w:t xml:space="preserve">集群可⻅性</w:t>
            </w:r>
          </w:p>
        </w:tc>
        <w:tc>
          <w:tcPr>
            <w:vAlign w:val="center"/>
          </w:tcPr>
          <w:p>
            <w:pPr>
              <w:pStyle w:val="p-table"/>
            </w:pPr>
            <w:r>
              <w:t xml:space="preserve">控制集群授权给哪些企业空间，以便企业空间可以使用所授权的集群。</w:t>
            </w:r>
          </w:p>
        </w:tc>
      </w:tr>
    </w:tbl>
    <w:p>
      <w:r>
        <w:t xml:space="preserve"> </w:t>
      </w:r>
    </w:p>
    <w:p>
      <w:pPr>
        <w:pStyle w:val="p-file-class-level-2"/>
      </w:pPr>
      <w:bookmarkStart w:name="fil-533b2864-0aa6-492c-a288-ae1ebd89e32f" w:id="7"/>
      <w:r>
        <w:t xml:space="preserve">应用程序和应用负载</w:t>
      </w:r>
      <w:bookmarkEnd w:id="7"/>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OpenPitrix</w:t>
            </w:r>
          </w:p>
        </w:tc>
        <w:tc>
          <w:tcPr>
            <w:vAlign w:val="center"/>
          </w:tcPr>
          <w:p>
            <w:pPr>
              <w:pStyle w:val="p-table"/>
            </w:pPr>
            <w:r>
              <w:t xml:space="preserve">一个用于打包、部署和管理不同类型应用的开源系统。</w:t>
            </w:r>
          </w:p>
        </w:tc>
      </w:tr>
      <w:tr>
        <w:trPr>
          <w:cantSplit/>
          <w:tblHeader w:val="false"/>
        </w:trPr>
        <w:tc>
          <w:tcPr>
            <w:tcW w:type="dxa" w:w="2082"/>
            <w:vAlign w:val="center"/>
          </w:tcPr>
          <w:p>
            <w:pPr>
              <w:pStyle w:val="p-table"/>
            </w:pPr>
            <w:r>
              <w:t xml:space="preserve">应用模板</w:t>
            </w:r>
          </w:p>
        </w:tc>
        <w:tc>
          <w:tcPr>
            <w:vAlign w:val="center"/>
          </w:tcPr>
          <w:p>
            <w:pPr>
              <w:pStyle w:val="p-table"/>
            </w:pPr>
            <w:r>
              <w:t xml:space="preserve">某个应用程序的模板，租户可使用应用模板部署新的应用程序实例。</w:t>
            </w:r>
          </w:p>
        </w:tc>
      </w:tr>
      <w:tr>
        <w:trPr>
          <w:cantSplit/>
          <w:tblHeader w:val="false"/>
        </w:trPr>
        <w:tc>
          <w:tcPr>
            <w:tcW w:type="dxa" w:w="2082"/>
            <w:vAlign w:val="center"/>
          </w:tcPr>
          <w:p>
            <w:pPr>
              <w:pStyle w:val="p-table"/>
            </w:pPr>
            <w:r>
              <w:t xml:space="preserve">应用商店</w:t>
            </w:r>
          </w:p>
        </w:tc>
        <w:tc>
          <w:tcPr>
            <w:vAlign w:val="center"/>
          </w:tcPr>
          <w:p>
            <w:pPr>
              <w:pStyle w:val="p-table"/>
            </w:pPr>
            <w:r>
              <w:t xml:space="preserve">应用商店包含内置应用，平台租户也可在应用商店中分享不同的应用程序。</w:t>
            </w:r>
          </w:p>
        </w:tc>
      </w:tr>
      <w:tr>
        <w:trPr>
          <w:cantSplit/>
          <w:tblHeader w:val="false"/>
        </w:trPr>
        <w:tc>
          <w:tcPr>
            <w:tcW w:type="dxa" w:w="2082"/>
            <w:vAlign w:val="center"/>
          </w:tcPr>
          <w:p>
            <w:pPr>
              <w:pStyle w:val="p-table"/>
            </w:pPr>
            <w:r>
              <w:t xml:space="preserve">⼯作负载（Workload）</w:t>
            </w:r>
          </w:p>
        </w:tc>
        <w:tc>
          <w:tcPr>
            <w:vAlign w:val="center"/>
          </w:tcPr>
          <w:p>
            <w:pPr>
              <w:pStyle w:val="p-table"/>
            </w:pPr>
            <w:r>
              <w:t xml:space="preserve">工作负载是在 Kubesphere 上运行的应用程序，负责管理⼀个应⽤程序的一个或多个容器组。</w:t>
            </w:r>
          </w:p>
        </w:tc>
      </w:tr>
      <w:tr>
        <w:trPr>
          <w:cantSplit/>
          <w:tblHeader w:val="false"/>
        </w:trPr>
        <w:tc>
          <w:tcPr>
            <w:tcW w:type="dxa" w:w="2082"/>
            <w:vAlign w:val="center"/>
          </w:tcPr>
          <w:p>
            <w:pPr>
              <w:pStyle w:val="p-table"/>
            </w:pPr>
            <w:r>
              <w:t xml:space="preserve">部署（Deployment）</w:t>
            </w:r>
          </w:p>
        </w:tc>
        <w:tc>
          <w:tcPr>
            <w:vAlign w:val="center"/>
          </w:tcPr>
          <w:p>
            <w:pPr>
              <w:pStyle w:val="p-table"/>
            </w:pPr>
            <w:r>
              <w:t xml:space="preserve">一种工作负载类型，⽤于管理⽆状态应⽤。一个部署运行着应用程序的几个副本，它会自动替换宕机或故障的实例。有关更多信息，请参阅</w:t>
            </w:r>
            <w:hyperlink w:history="1" r:id="rId1whv8q-hgzjxlazdfmamf">
              <w:r>
                <w:rPr>
                  <w:color w:val="0000ff"/>
                </w:rPr>
                <w:t xml:space="preserve">部署</w:t>
              </w:r>
            </w:hyperlink>
            <w:r>
              <w:t xml:space="preserve">。</w:t>
            </w:r>
          </w:p>
        </w:tc>
      </w:tr>
      <w:tr>
        <w:trPr>
          <w:cantSplit/>
          <w:tblHeader w:val="false"/>
        </w:trPr>
        <w:tc>
          <w:tcPr>
            <w:tcW w:type="dxa" w:w="2082"/>
            <w:vAlign w:val="center"/>
          </w:tcPr>
          <w:p>
            <w:pPr>
              <w:pStyle w:val="p-table"/>
            </w:pPr>
            <w:r>
              <w:t xml:space="preserve">有状态副本集（StatefulSet）</w:t>
            </w:r>
          </w:p>
        </w:tc>
        <w:tc>
          <w:tcPr>
            <w:vAlign w:val="center"/>
          </w:tcPr>
          <w:p>
            <w:pPr>
              <w:pStyle w:val="p-table"/>
            </w:pPr>
            <w:r>
              <w:t xml:space="preserve">有状态副本集是用于管理有状态应用程序的工作负载对象，例如 MySQL。有关更多信息，请参阅</w:t>
            </w:r>
            <w:hyperlink w:history="1" r:id="rIdtpv73wadbzcznixleeuvc">
              <w:r>
                <w:rPr>
                  <w:color w:val="0000ff"/>
                </w:rPr>
                <w:t xml:space="preserve">有状态副本集</w:t>
              </w:r>
            </w:hyperlink>
            <w:r>
              <w:t xml:space="preserve">。</w:t>
            </w:r>
          </w:p>
        </w:tc>
      </w:tr>
      <w:tr>
        <w:trPr>
          <w:cantSplit/>
          <w:tblHeader w:val="false"/>
        </w:trPr>
        <w:tc>
          <w:tcPr>
            <w:tcW w:type="dxa" w:w="2082"/>
            <w:vAlign w:val="center"/>
          </w:tcPr>
          <w:p>
            <w:pPr>
              <w:pStyle w:val="p-table"/>
            </w:pPr>
            <w:r>
              <w:t xml:space="preserve">守护进程集（DaemonSet）</w:t>
            </w:r>
          </w:p>
        </w:tc>
        <w:tc>
          <w:tcPr>
            <w:vAlign w:val="center"/>
          </w:tcPr>
          <w:p>
            <w:pPr>
              <w:pStyle w:val="p-table"/>
            </w:pPr>
            <w:r>
              <w:t xml:space="preserve">守护进程集管理多组容器组副本，确保 Pod 的副本在集群中的一组节点上运行。有关更多信息，请参阅</w:t>
            </w:r>
            <w:hyperlink w:history="1" r:id="rIdmf0agug0mu7-pzfmzraql">
              <w:r>
                <w:rPr>
                  <w:color w:val="0000ff"/>
                </w:rPr>
                <w:t xml:space="preserve">守护进程集</w:t>
              </w:r>
            </w:hyperlink>
            <w:r>
              <w:t xml:space="preserve">。</w:t>
            </w:r>
          </w:p>
        </w:tc>
      </w:tr>
      <w:tr>
        <w:trPr>
          <w:cantSplit/>
          <w:tblHeader w:val="false"/>
        </w:trPr>
        <w:tc>
          <w:tcPr>
            <w:tcW w:type="dxa" w:w="2082"/>
            <w:vAlign w:val="center"/>
          </w:tcPr>
          <w:p>
            <w:pPr>
              <w:pStyle w:val="p-table"/>
            </w:pPr>
            <w:r>
              <w:t xml:space="preserve">任务（Job）</w:t>
            </w:r>
          </w:p>
        </w:tc>
        <w:tc>
          <w:tcPr>
            <w:vAlign w:val="center"/>
          </w:tcPr>
          <w:p>
            <w:pPr>
              <w:pStyle w:val="p-table"/>
            </w:pPr>
            <w:r>
              <w:t xml:space="preserve">Job 是需要运行完成的确定性的或批量的任务，⽤于管理仅运⾏⼀次或周期性运⾏的容器组。有关更多信息，请参阅</w:t>
            </w:r>
            <w:hyperlink w:history="1" r:id="rIdwflh8j-r-depfrptonemg">
              <w:r>
                <w:rPr>
                  <w:color w:val="0000ff"/>
                </w:rPr>
                <w:t xml:space="preserve">任务</w:t>
              </w:r>
            </w:hyperlink>
            <w:r>
              <w:t xml:space="preserve">。</w:t>
            </w:r>
          </w:p>
        </w:tc>
      </w:tr>
      <w:tr>
        <w:trPr>
          <w:cantSplit/>
          <w:tblHeader w:val="false"/>
        </w:trPr>
        <w:tc>
          <w:tcPr>
            <w:tcW w:type="dxa" w:w="2082"/>
            <w:vAlign w:val="center"/>
          </w:tcPr>
          <w:p>
            <w:pPr>
              <w:pStyle w:val="p-table"/>
            </w:pPr>
            <w:r>
              <w:t xml:space="preserve">定时任务（CronJob）</w:t>
            </w:r>
          </w:p>
        </w:tc>
        <w:tc>
          <w:tcPr>
            <w:vAlign w:val="center"/>
          </w:tcPr>
          <w:p>
            <w:pPr>
              <w:pStyle w:val="p-table"/>
            </w:pPr>
            <w:r>
              <w:t xml:space="preserve">定时任务是需要在特定的时间运行，或在指定的时间间隔内重复运行的批处理任务。有关更多信息，请参阅</w:t>
            </w:r>
            <w:hyperlink w:history="1" r:id="rIdw4vzn3dzbvm7dhwchcmrx">
              <w:r>
                <w:rPr>
                  <w:color w:val="0000ff"/>
                </w:rPr>
                <w:t xml:space="preserve">定时任务</w:t>
              </w:r>
            </w:hyperlink>
            <w:r>
              <w:t xml:space="preserve">。</w:t>
            </w:r>
          </w:p>
        </w:tc>
      </w:tr>
      <w:tr>
        <w:trPr>
          <w:cantSplit/>
          <w:tblHeader w:val="false"/>
        </w:trPr>
        <w:tc>
          <w:tcPr>
            <w:tcW w:type="dxa" w:w="2082"/>
            <w:vAlign w:val="center"/>
          </w:tcPr>
          <w:p>
            <w:pPr>
              <w:pStyle w:val="p-table"/>
            </w:pPr>
            <w:r>
              <w:t xml:space="preserve">服务（Service）</w:t>
            </w:r>
          </w:p>
        </w:tc>
        <w:tc>
          <w:tcPr>
            <w:vAlign w:val="center"/>
          </w:tcPr>
          <w:p>
            <w:pPr>
              <w:pStyle w:val="p-table"/>
            </w:pPr>
            <w:r>
              <w:t xml:space="preserve">将运行在容器组上的应用程序公开为网络服务，提供了固定的地址（域名或 IP 地址）供客⼾端访问。有关更多信息，请参阅</w:t>
            </w:r>
            <w:hyperlink w:history="1" r:id="rId8e8r6mv5vf2v8zn8moxed">
              <w:r>
                <w:rPr>
                  <w:color w:val="0000ff"/>
                </w:rPr>
                <w:t xml:space="preserve">服务</w:t>
              </w:r>
            </w:hyperlink>
            <w:r>
              <w:t xml:space="preserve">。</w:t>
            </w:r>
          </w:p>
        </w:tc>
      </w:tr>
      <w:tr>
        <w:trPr>
          <w:cantSplit/>
          <w:tblHeader w:val="false"/>
        </w:trPr>
        <w:tc>
          <w:tcPr>
            <w:tcW w:type="dxa" w:w="2082"/>
            <w:vAlign w:val="center"/>
          </w:tcPr>
          <w:p>
            <w:pPr>
              <w:pStyle w:val="p-table"/>
            </w:pPr>
            <w:r>
              <w:t xml:space="preserve">NodePort</w:t>
            </w:r>
          </w:p>
        </w:tc>
        <w:tc>
          <w:tcPr>
            <w:vAlign w:val="center"/>
          </w:tcPr>
          <w:p>
            <w:pPr>
              <w:pStyle w:val="p-table"/>
            </w:pPr>
            <w:r>
              <w:t xml:space="preserve">通过每个节点上的 IP 和静态端口（NodePort）暴露服务，可通过&lt;节点 IP&gt;:&lt;NodePort&gt;方式来访问服务。</w:t>
            </w:r>
          </w:p>
        </w:tc>
      </w:tr>
      <w:tr>
        <w:trPr>
          <w:cantSplit/>
          <w:tblHeader w:val="false"/>
        </w:trPr>
        <w:tc>
          <w:tcPr>
            <w:tcW w:type="dxa" w:w="2082"/>
            <w:vAlign w:val="center"/>
          </w:tcPr>
          <w:p>
            <w:pPr>
              <w:pStyle w:val="p-table"/>
            </w:pPr>
            <w:r>
              <w:t xml:space="preserve">LoadBalancer</w:t>
            </w:r>
          </w:p>
        </w:tc>
        <w:tc>
          <w:tcPr>
            <w:vAlign w:val="center"/>
          </w:tcPr>
          <w:p>
            <w:pPr>
              <w:pStyle w:val="p-table"/>
            </w:pPr>
            <w:r>
              <w:t xml:space="preserve">使用云服务商提供的负载均衡器向外部暴露服务。</w:t>
            </w:r>
          </w:p>
        </w:tc>
      </w:tr>
      <w:tr>
        <w:trPr>
          <w:cantSplit/>
          <w:tblHeader w:val="false"/>
        </w:trPr>
        <w:tc>
          <w:tcPr>
            <w:tcW w:type="dxa" w:w="2082"/>
            <w:vAlign w:val="center"/>
          </w:tcPr>
          <w:p>
            <w:pPr>
              <w:pStyle w:val="p-table"/>
            </w:pPr>
            <w:r>
              <w:t xml:space="preserve">应⽤路由（Ingress）</w:t>
            </w:r>
          </w:p>
        </w:tc>
        <w:tc>
          <w:tcPr>
            <w:vAlign w:val="center"/>
          </w:tcPr>
          <w:p>
            <w:pPr>
              <w:pStyle w:val="p-table"/>
            </w:pPr>
            <w:r>
              <w:t xml:space="preserve">应⽤路由⽤于对服务进⾏聚合并提供给集群外部访问。每个应⽤路由包含域名及其⼦路径到不同服务的映射规则。KubeSphere 应用路由对应 Kubernetes 中的 Ingress。</w:t>
            </w:r>
          </w:p>
        </w:tc>
      </w:tr>
    </w:tbl>
    <w:p>
      <w:r>
        <w:t xml:space="preserve"> </w:t>
      </w:r>
    </w:p>
    <w:p>
      <w:pPr>
        <w:pStyle w:val="p-file-class-level-2"/>
      </w:pPr>
      <w:bookmarkStart w:name="fil-6c2fb8b6-1f10-4c68-9c68-48c09f34197d" w:id="8"/>
      <w:r>
        <w:t xml:space="preserve">存储</w:t>
      </w:r>
      <w:bookmarkEnd w:id="8"/>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存储卷</w:t>
            </w:r>
          </w:p>
        </w:tc>
        <w:tc>
          <w:tcPr>
            <w:vAlign w:val="center"/>
          </w:tcPr>
          <w:p>
            <w:pPr>
              <w:pStyle w:val="p-table"/>
            </w:pPr>
            <w:r>
              <w:t xml:space="preserve">一个基础资源对象，用于向容器提供存储。</w:t>
            </w:r>
          </w:p>
        </w:tc>
      </w:tr>
      <w:tr>
        <w:trPr>
          <w:cantSplit/>
          <w:tblHeader w:val="false"/>
        </w:trPr>
        <w:tc>
          <w:tcPr>
            <w:tcW w:type="dxa" w:w="2082"/>
            <w:vAlign w:val="center"/>
          </w:tcPr>
          <w:p>
            <w:pPr>
              <w:pStyle w:val="p-table"/>
            </w:pPr>
            <w:r>
              <w:t xml:space="preserve">存储类（Storage Class）</w:t>
            </w:r>
          </w:p>
        </w:tc>
        <w:tc>
          <w:tcPr>
            <w:vAlign w:val="center"/>
          </w:tcPr>
          <w:p>
            <w:pPr>
              <w:pStyle w:val="p-table"/>
            </w:pPr>
            <w:r>
              <w:t xml:space="preserve">定义可供容器使⽤的存储卷类型。</w:t>
            </w:r>
          </w:p>
        </w:tc>
      </w:tr>
      <w:tr>
        <w:trPr>
          <w:cantSplit/>
          <w:tblHeader w:val="false"/>
        </w:trPr>
        <w:tc>
          <w:tcPr>
            <w:tcW w:type="dxa" w:w="2082"/>
            <w:vAlign w:val="center"/>
          </w:tcPr>
          <w:p>
            <w:pPr>
              <w:pStyle w:val="p-table"/>
            </w:pPr>
            <w:r>
              <w:t xml:space="preserve">持久卷声明（Persistent Volume Claim, PVC）</w:t>
            </w:r>
          </w:p>
        </w:tc>
        <w:tc>
          <w:tcPr>
            <w:vAlign w:val="center"/>
          </w:tcPr>
          <w:p>
            <w:pPr>
              <w:pStyle w:val="p-table"/>
            </w:pPr>
            <w:r>
              <w:t xml:space="preserve">持久卷声明是用户对于存储需求的一种声明，它是命名空间里的资源，声明信息中可以指定存储大小、访问模式等。系统根据持久卷声明创建持久卷。</w:t>
            </w:r>
          </w:p>
        </w:tc>
      </w:tr>
      <w:tr>
        <w:trPr>
          <w:cantSplit/>
          <w:tblHeader w:val="false"/>
        </w:trPr>
        <w:tc>
          <w:tcPr>
            <w:tcW w:type="dxa" w:w="2082"/>
            <w:vAlign w:val="center"/>
          </w:tcPr>
          <w:p>
            <w:pPr>
              <w:pStyle w:val="p-table"/>
            </w:pPr>
            <w:r>
              <w:t xml:space="preserve">持久卷（Persistent Volume, PV）</w:t>
            </w:r>
          </w:p>
        </w:tc>
        <w:tc>
          <w:tcPr>
            <w:vAlign w:val="center"/>
          </w:tcPr>
          <w:p>
            <w:pPr>
              <w:pStyle w:val="p-table"/>
            </w:pPr>
            <w:r>
              <w:t xml:space="preserve">根据持久卷声明中的参数，在后端存储系统中创建的可供容器使⽤的存储区域。它是通用的、可插拔的、并且不受单个 Pod 生命周期约束的持久化资源。</w:t>
            </w:r>
          </w:p>
        </w:tc>
      </w:tr>
      <w:tr>
        <w:trPr>
          <w:cantSplit/>
          <w:tblHeader w:val="false"/>
        </w:trPr>
        <w:tc>
          <w:tcPr>
            <w:tcW w:type="dxa" w:w="2082"/>
            <w:vAlign w:val="center"/>
          </w:tcPr>
          <w:p>
            <w:pPr>
              <w:pStyle w:val="p-table"/>
            </w:pPr>
            <w:r>
              <w:t xml:space="preserve">卷快照类</w:t>
            </w:r>
          </w:p>
        </w:tc>
        <w:tc>
          <w:tcPr>
            <w:vAlign w:val="center"/>
          </w:tcPr>
          <w:p>
            <w:pPr>
              <w:pStyle w:val="p-table"/>
            </w:pPr>
            <w:r>
              <w:t xml:space="preserve">定义可保存快照数据的⼀类卷快照。</w:t>
            </w:r>
          </w:p>
        </w:tc>
      </w:tr>
      <w:tr>
        <w:trPr>
          <w:cantSplit/>
          <w:tblHeader w:val="false"/>
        </w:trPr>
        <w:tc>
          <w:tcPr>
            <w:tcW w:type="dxa" w:w="2082"/>
            <w:vAlign w:val="center"/>
          </w:tcPr>
          <w:p>
            <w:pPr>
              <w:pStyle w:val="p-table"/>
            </w:pPr>
            <w:r>
              <w:t xml:space="preserve">卷快照</w:t>
            </w:r>
          </w:p>
        </w:tc>
        <w:tc>
          <w:tcPr>
            <w:vAlign w:val="center"/>
          </w:tcPr>
          <w:p>
            <w:pPr>
              <w:pStyle w:val="p-table"/>
            </w:pPr>
            <w:r>
              <w:t xml:space="preserve">卷的数据在某一个时刻的完整拷贝或镜像。可通过快照将数据完整地恢复到快照时间点。</w:t>
            </w:r>
          </w:p>
        </w:tc>
      </w:tr>
      <w:tr>
        <w:trPr>
          <w:cantSplit/>
          <w:tblHeader w:val="false"/>
        </w:trPr>
        <w:tc>
          <w:tcPr>
            <w:tcW w:type="dxa" w:w="2082"/>
            <w:vAlign w:val="center"/>
          </w:tcPr>
          <w:p>
            <w:pPr>
              <w:pStyle w:val="p-table"/>
            </w:pPr>
            <w:r>
              <w:t xml:space="preserve">卷快照内容</w:t>
            </w:r>
          </w:p>
        </w:tc>
        <w:tc>
          <w:tcPr>
            <w:vAlign w:val="center"/>
          </w:tcPr>
          <w:p>
            <w:pPr>
              <w:pStyle w:val="p-table"/>
            </w:pPr>
            <w:r>
              <w:t xml:space="preserve">根据卷快照中的参数，在后端存储系统中保存的快照数据。</w:t>
            </w:r>
          </w:p>
        </w:tc>
      </w:tr>
    </w:tbl>
    <w:p>
      <w:r>
        <w:t xml:space="preserve"> </w:t>
      </w:r>
    </w:p>
    <w:p>
      <w:pPr>
        <w:pStyle w:val="p-file-class-level-2"/>
      </w:pPr>
      <w:bookmarkStart w:name="fil-9a4f44a4-65d7-4c10-a68f-7f7597870a44" w:id="9"/>
      <w:r>
        <w:t xml:space="preserve">DevOps</w:t>
      </w:r>
      <w:bookmarkEnd w:id="9"/>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DevOps 项目</w:t>
            </w:r>
          </w:p>
        </w:tc>
        <w:tc>
          <w:tcPr>
            <w:vAlign w:val="center"/>
          </w:tcPr>
          <w:p>
            <w:pPr>
              <w:pStyle w:val="p-table"/>
            </w:pPr>
            <w:r>
              <w:t xml:space="preserve">DevOps 项目用于创建和管理流水线和凭证。</w:t>
            </w:r>
          </w:p>
        </w:tc>
      </w:tr>
      <w:tr>
        <w:trPr>
          <w:cantSplit/>
          <w:tblHeader w:val="false"/>
        </w:trPr>
        <w:tc>
          <w:tcPr>
            <w:tcW w:type="dxa" w:w="2082"/>
            <w:vAlign w:val="center"/>
          </w:tcPr>
          <w:p>
            <w:pPr>
              <w:pStyle w:val="p-table"/>
            </w:pPr>
            <w:r>
              <w:t xml:space="preserve">SCM (Source Control Management)</w:t>
            </w:r>
          </w:p>
        </w:tc>
        <w:tc>
          <w:tcPr>
            <w:vAlign w:val="center"/>
          </w:tcPr>
          <w:p>
            <w:pPr>
              <w:pStyle w:val="p-table"/>
            </w:pPr>
            <w:r>
              <w:t xml:space="preserve">源控制管理，例如 GitHub 和 Gitlab。</w:t>
            </w:r>
          </w:p>
        </w:tc>
      </w:tr>
      <w:tr>
        <w:trPr>
          <w:cantSplit/>
          <w:tblHeader w:val="false"/>
        </w:trPr>
        <w:tc>
          <w:tcPr>
            <w:tcW w:type="dxa" w:w="2082"/>
            <w:vAlign w:val="center"/>
          </w:tcPr>
          <w:p>
            <w:pPr>
              <w:pStyle w:val="p-table"/>
            </w:pPr>
            <w:r>
              <w:t xml:space="preserve">In-SCM</w:t>
            </w:r>
          </w:p>
        </w:tc>
        <w:tc>
          <w:tcPr>
            <w:vAlign w:val="center"/>
          </w:tcPr>
          <w:p>
            <w:pPr>
              <w:pStyle w:val="p-table"/>
            </w:pPr>
            <w:r>
              <w:t xml:space="preserve">通过 SCM 工具构建基于 Jenkinsfile 的流水线。</w:t>
            </w:r>
          </w:p>
        </w:tc>
      </w:tr>
      <w:tr>
        <w:trPr>
          <w:cantSplit/>
          <w:tblHeader w:val="false"/>
        </w:trPr>
        <w:tc>
          <w:tcPr>
            <w:tcW w:type="dxa" w:w="2082"/>
            <w:vAlign w:val="center"/>
          </w:tcPr>
          <w:p>
            <w:pPr>
              <w:pStyle w:val="p-table"/>
            </w:pPr>
            <w:r>
              <w:t xml:space="preserve">Out-of-SCM</w:t>
            </w:r>
          </w:p>
        </w:tc>
        <w:tc>
          <w:tcPr>
            <w:vAlign w:val="center"/>
          </w:tcPr>
          <w:p>
            <w:pPr>
              <w:pStyle w:val="p-table"/>
            </w:pPr>
            <w:r>
              <w:t xml:space="preserve">通过图形编辑面板构建流水线，无需编写 Jenkinsfile。</w:t>
            </w:r>
          </w:p>
        </w:tc>
      </w:tr>
      <w:tr>
        <w:trPr>
          <w:cantSplit/>
          <w:tblHeader w:val="false"/>
        </w:trPr>
        <w:tc>
          <w:tcPr>
            <w:tcW w:type="dxa" w:w="2082"/>
            <w:vAlign w:val="center"/>
          </w:tcPr>
          <w:p>
            <w:pPr>
              <w:pStyle w:val="p-table"/>
            </w:pPr>
            <w:r>
              <w:t xml:space="preserve">CI 节点</w:t>
            </w:r>
          </w:p>
        </w:tc>
        <w:tc>
          <w:tcPr>
            <w:vAlign w:val="center"/>
          </w:tcPr>
          <w:p>
            <w:pPr>
              <w:pStyle w:val="p-table"/>
            </w:pPr>
            <w:r>
              <w:t xml:space="preserve">流水线、S2I 和 B2I 任务的专用节点。一般来说，应用程序往往需要在构建过程中拉取多个依赖项，这可能会导致如拉取时间过长、网络不稳定等问题，从而使得构建失败。为了确保流水线正常运行并加快构建速度（通过缓存），您可以配置一个或一组 CI 节点以供 CI/CD 流水线和 S2I/B2I 任务专用。</w:t>
            </w:r>
          </w:p>
        </w:tc>
      </w:tr>
      <w:tr>
        <w:trPr>
          <w:cantSplit/>
          <w:tblHeader w:val="false"/>
        </w:trPr>
        <w:tc>
          <w:tcPr>
            <w:tcW w:type="dxa" w:w="2082"/>
            <w:vAlign w:val="center"/>
          </w:tcPr>
          <w:p>
            <w:pPr>
              <w:pStyle w:val="p-table"/>
            </w:pPr>
            <w:r>
              <w:t xml:space="preserve">B2I (Binary-to-Image)</w:t>
            </w:r>
          </w:p>
        </w:tc>
        <w:tc>
          <w:tcPr>
            <w:vAlign w:val="center"/>
          </w:tcPr>
          <w:p>
            <w:pPr>
              <w:pStyle w:val="p-table"/>
            </w:pPr>
            <w:r>
              <w:t xml:space="preserve">B2I 是一套从二进制可执行文件（例如 Jar 和 War 等）构建可再现容器镜像的工具和工作流。开发者和运维团队在项目打包成 War 和 Jar 这一类的制品后，可快速将制品或二进制的 Package 打包成 Docker 镜像，并发布到 DockerHub 或 Harbor 等镜像仓库中。</w:t>
            </w:r>
          </w:p>
        </w:tc>
      </w:tr>
      <w:tr>
        <w:trPr>
          <w:cantSplit/>
          <w:tblHeader w:val="false"/>
        </w:trPr>
        <w:tc>
          <w:tcPr>
            <w:tcW w:type="dxa" w:w="2082"/>
            <w:vAlign w:val="center"/>
          </w:tcPr>
          <w:p>
            <w:pPr>
              <w:pStyle w:val="p-table"/>
            </w:pPr>
            <w:r>
              <w:t xml:space="preserve">S2I (Source-to-Image)</w:t>
            </w:r>
          </w:p>
        </w:tc>
        <w:tc>
          <w:tcPr>
            <w:vAlign w:val="center"/>
          </w:tcPr>
          <w:p>
            <w:pPr>
              <w:pStyle w:val="p-table"/>
            </w:pPr>
            <w:r>
              <w:t xml:space="preserve">S2I 是一套从源代码构建可再现容器镜像的工具和工作流。通过将源代码注入容器镜像，自动将编译后的代码打包成镜像。在 KubeSphere 中支持 S2I 构建镜像，也支持以创建服务的形式，一键将源代码生成镜像推送到仓库，并创建其部署和服务最终自动发布到 Kubernetes 中。</w:t>
            </w:r>
          </w:p>
        </w:tc>
      </w:tr>
    </w:tbl>
    <w:p>
      <w:r>
        <w:t xml:space="preserve"> </w:t>
      </w:r>
    </w:p>
    <w:p>
      <w:pPr>
        <w:pStyle w:val="p-file-class-level-2"/>
      </w:pPr>
      <w:bookmarkStart w:name="fil-e8bf5bcc-b88b-443c-9f1b-ee1bebb87d5c" w:id="10"/>
      <w:r>
        <w:t xml:space="preserve">日志、事件和审计</w:t>
      </w:r>
      <w:bookmarkEnd w:id="10"/>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日志</w:t>
            </w:r>
          </w:p>
        </w:tc>
        <w:tc>
          <w:tcPr>
            <w:vAlign w:val="center"/>
          </w:tcPr>
          <w:p>
            <w:pPr>
              <w:pStyle w:val="p-table"/>
            </w:pPr>
            <w:r>
              <w:t xml:space="preserve">日志是集群或应用程序记录的事件列表。</w:t>
            </w:r>
          </w:p>
        </w:tc>
      </w:tr>
      <w:tr>
        <w:trPr>
          <w:cantSplit/>
          <w:tblHeader w:val="false"/>
        </w:trPr>
        <w:tc>
          <w:tcPr>
            <w:tcW w:type="dxa" w:w="2082"/>
            <w:vAlign w:val="center"/>
          </w:tcPr>
          <w:p>
            <w:pPr>
              <w:pStyle w:val="p-table"/>
            </w:pPr>
            <w:r>
              <w:t xml:space="preserve">⽇志接收器</w:t>
            </w:r>
          </w:p>
        </w:tc>
        <w:tc>
          <w:tcPr>
            <w:vAlign w:val="center"/>
          </w:tcPr>
          <w:p>
            <w:pPr>
              <w:pStyle w:val="p-table"/>
            </w:pPr>
            <w:r>
              <w:t xml:space="preserve">收集系统的各类⽇志，包括：容器⽇志、资源事件、审计⽇志。</w:t>
            </w:r>
          </w:p>
        </w:tc>
      </w:tr>
      <w:tr>
        <w:trPr>
          <w:cantSplit/>
          <w:tblHeader w:val="false"/>
        </w:trPr>
        <w:tc>
          <w:tcPr>
            <w:tcW w:type="dxa" w:w="2082"/>
            <w:vAlign w:val="center"/>
          </w:tcPr>
          <w:p>
            <w:pPr>
              <w:pStyle w:val="p-table"/>
            </w:pPr>
            <w:r>
              <w:t xml:space="preserve">审计策略</w:t>
            </w:r>
          </w:p>
        </w:tc>
        <w:tc>
          <w:tcPr>
            <w:vAlign w:val="center"/>
          </w:tcPr>
          <w:p>
            <w:pPr>
              <w:pStyle w:val="p-table"/>
            </w:pPr>
            <w:r>
              <w:t xml:space="preserve">审计策略定义事件记录和所含数据的一系列规则。</w:t>
            </w:r>
          </w:p>
        </w:tc>
      </w:tr>
      <w:tr>
        <w:trPr>
          <w:cantSplit/>
          <w:tblHeader w:val="false"/>
        </w:trPr>
        <w:tc>
          <w:tcPr>
            <w:tcW w:type="dxa" w:w="2082"/>
            <w:vAlign w:val="center"/>
          </w:tcPr>
          <w:p>
            <w:pPr>
              <w:pStyle w:val="p-table"/>
            </w:pPr>
            <w:r>
              <w:t xml:space="preserve">审计规则</w:t>
            </w:r>
          </w:p>
        </w:tc>
        <w:tc>
          <w:tcPr>
            <w:vAlign w:val="center"/>
          </w:tcPr>
          <w:p>
            <w:pPr>
              <w:pStyle w:val="p-table"/>
            </w:pPr>
            <w:r>
              <w:t xml:space="preserve">审计规则定义如何处理审计日志。</w:t>
            </w:r>
          </w:p>
        </w:tc>
      </w:tr>
      <w:tr>
        <w:trPr>
          <w:cantSplit/>
          <w:tblHeader w:val="false"/>
        </w:trPr>
        <w:tc>
          <w:tcPr>
            <w:tcW w:type="dxa" w:w="2082"/>
            <w:vAlign w:val="center"/>
          </w:tcPr>
          <w:p>
            <w:pPr>
              <w:pStyle w:val="p-table"/>
            </w:pPr>
            <w:r>
              <w:t xml:space="preserve">审计 Webhook</w:t>
            </w:r>
          </w:p>
        </w:tc>
        <w:tc>
          <w:tcPr>
            <w:vAlign w:val="center"/>
          </w:tcPr>
          <w:p>
            <w:pPr>
              <w:pStyle w:val="p-table"/>
            </w:pPr>
            <w:r>
              <w:t xml:space="preserve">Kubernetes 审计日志会发送至审计 Webhook。</w:t>
            </w:r>
          </w:p>
        </w:tc>
      </w:tr>
    </w:tbl>
    <w:p>
      <w:r>
        <w:t xml:space="preserve"> </w:t>
      </w:r>
    </w:p>
    <w:p>
      <w:pPr>
        <w:pStyle w:val="p-file-class-level-2"/>
      </w:pPr>
      <w:bookmarkStart w:name="fil-4a27a60d-da41-4269-825d-f6ed8733f968" w:id="11"/>
      <w:r>
        <w:t xml:space="preserve">网络</w:t>
      </w:r>
      <w:bookmarkEnd w:id="11"/>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网关（Gateway）</w:t>
            </w:r>
          </w:p>
        </w:tc>
        <w:tc>
          <w:tcPr>
            <w:vAlign w:val="center"/>
          </w:tcPr>
          <w:p>
            <w:pPr>
              <w:pStyle w:val="p-table"/>
            </w:pPr>
            <w:r>
              <w:t xml:space="preserve">为服务提供反向代理。⽹关根据应⽤路由中定义的规则将业务流量转发给不同的服务。</w:t>
            </w:r>
          </w:p>
        </w:tc>
      </w:tr>
      <w:tr>
        <w:trPr>
          <w:cantSplit/>
          <w:tblHeader w:val="false"/>
        </w:trPr>
        <w:tc>
          <w:tcPr>
            <w:tcW w:type="dxa" w:w="2082"/>
            <w:vAlign w:val="center"/>
          </w:tcPr>
          <w:p>
            <w:pPr>
              <w:pStyle w:val="p-table"/>
            </w:pPr>
            <w:r>
              <w:t xml:space="preserve">⽹络策略</w:t>
            </w:r>
          </w:p>
        </w:tc>
        <w:tc>
          <w:tcPr>
            <w:vAlign w:val="center"/>
          </w:tcPr>
          <w:p>
            <w:pPr>
              <w:pStyle w:val="p-table"/>
            </w:pPr>
            <w:r>
              <w:t xml:space="preserve">⽤于控制集群中容器组的访问和被访问权限。可以只允许容器组访问特定的其他容器组或⽹段；只允许容器组被特定的其他容器组或⽹段访问。</w:t>
            </w:r>
          </w:p>
        </w:tc>
      </w:tr>
      <w:tr>
        <w:trPr>
          <w:cantSplit/>
          <w:tblHeader w:val="false"/>
        </w:trPr>
        <w:tc>
          <w:tcPr>
            <w:tcW w:type="dxa" w:w="2082"/>
            <w:vAlign w:val="center"/>
          </w:tcPr>
          <w:p>
            <w:pPr>
              <w:pStyle w:val="p-table"/>
            </w:pPr>
            <w:r>
              <w:t xml:space="preserve">容器组 IP 池</w:t>
            </w:r>
          </w:p>
        </w:tc>
        <w:tc>
          <w:tcPr>
            <w:vAlign w:val="center"/>
          </w:tcPr>
          <w:p>
            <w:pPr>
              <w:pStyle w:val="p-table"/>
            </w:pPr>
            <w:r>
              <w:t xml:space="preserve">包含多个虚拟 IP 地址，⽤于为容器组分配虚拟 IP 地址。每个容器组 IP 池包含⼀个可在集群内部访问的私⽹ IP ⽹段。</w:t>
            </w:r>
          </w:p>
        </w:tc>
      </w:tr>
    </w:tbl>
    <w:p>
      <w:r>
        <w:t xml:space="preserve"> </w:t>
      </w:r>
    </w:p>
    <w:p>
      <w:pPr>
        <w:pStyle w:val="p-file-class-level-2"/>
      </w:pPr>
      <w:bookmarkStart w:name="fil-2b0a5c2d-9b78-404d-b7a9-14ed856a8601" w:id="12"/>
      <w:r>
        <w:t xml:space="preserve">监控、告警和通知</w:t>
      </w:r>
      <w:bookmarkEnd w:id="12"/>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告警规则组</w:t>
            </w:r>
          </w:p>
        </w:tc>
        <w:tc>
          <w:tcPr>
            <w:vAlign w:val="center"/>
          </w:tcPr>
          <w:p>
            <w:pPr>
              <w:pStyle w:val="p-table"/>
            </w:pPr>
            <w:r>
              <w:t xml:space="preserve">用于在特定监控指标满⾜预设条件和持续时间时⽣成告警。</w:t>
            </w:r>
          </w:p>
        </w:tc>
      </w:tr>
      <w:tr>
        <w:trPr>
          <w:cantSplit/>
          <w:tblHeader w:val="false"/>
        </w:trPr>
        <w:tc>
          <w:tcPr>
            <w:tcW w:type="dxa" w:w="2082"/>
            <w:vAlign w:val="center"/>
          </w:tcPr>
          <w:p>
            <w:pPr>
              <w:pStyle w:val="p-table"/>
            </w:pPr>
            <w:r>
              <w:t xml:space="preserve">Prometheus</w:t>
            </w:r>
          </w:p>
        </w:tc>
        <w:tc>
          <w:tcPr>
            <w:vAlign w:val="center"/>
          </w:tcPr>
          <w:p>
            <w:pPr>
              <w:pStyle w:val="p-table"/>
            </w:pPr>
            <w:r>
              <w:t xml:space="preserve">负责监控存储系统的各项数据，根据告警规则向告警管理器发送告警信息。</w:t>
            </w:r>
          </w:p>
        </w:tc>
      </w:tr>
    </w:tbl>
    <w:p>
      <w:r>
        <w:t xml:space="preserve"> </w:t>
      </w:r>
    </w:p>
    <w:p>
      <w:pPr>
        <w:pStyle w:val="p-file-class-level-2"/>
      </w:pPr>
      <w:bookmarkStart w:name="fil-879d69cc-7b9c-4c4e-b14c-6ada24ce95a2" w:id="13"/>
      <w:r>
        <w:t xml:space="preserve">其他</w:t>
      </w:r>
      <w:bookmarkEnd w:id="13"/>
    </w:p>
    <w:p>
      <w:r>
        <w:t xml:space="preserve"> </w:t>
      </w:r>
    </w:p>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cantSplit/>
          <w:tblHeader/>
        </w:trPr>
        <w:tc>
          <w:tcPr>
            <w:tcW w:type="dxa" w:w="2082"/>
            <w:shd w:fill="efefef"/>
            <w:vAlign w:val="center"/>
          </w:tcPr>
          <w:p>
            <w:pPr>
              <w:pStyle w:val="th-table"/>
            </w:pPr>
            <w:r>
              <w:t xml:space="preserve">术语</w:t>
            </w:r>
          </w:p>
        </w:tc>
        <w:tc>
          <w:tcPr>
            <w:shd w:fill="efefef"/>
            <w:vAlign w:val="center"/>
          </w:tcPr>
          <w:p>
            <w:pPr>
              <w:pStyle w:val="th-table"/>
            </w:pPr>
            <w:r>
              <w:t xml:space="preserve">说明</w:t>
            </w:r>
          </w:p>
        </w:tc>
      </w:tr>
      <w:tr>
        <w:trPr>
          <w:cantSplit/>
          <w:tblHeader w:val="false"/>
        </w:trPr>
        <w:tc>
          <w:tcPr>
            <w:tcW w:type="dxa" w:w="2082"/>
            <w:vAlign w:val="center"/>
          </w:tcPr>
          <w:p>
            <w:pPr>
              <w:pStyle w:val="p-table"/>
            </w:pPr>
            <w:r>
              <w:t xml:space="preserve">污点（Taint）</w:t>
            </w:r>
          </w:p>
        </w:tc>
        <w:tc>
          <w:tcPr>
            <w:vAlign w:val="center"/>
          </w:tcPr>
          <w:p>
            <w:pPr>
              <w:pStyle w:val="p-table"/>
            </w:pPr>
            <w:r>
              <w:t xml:space="preserve">⽤⼾在节点上创建的标记，由键、值和效果三部分组成。与容器组上创建的容忍度配合使⽤，以确保不会将 Pod 调度到不适合的节点上。</w:t>
            </w:r>
          </w:p>
        </w:tc>
      </w:tr>
      <w:tr>
        <w:trPr>
          <w:cantSplit/>
          <w:tblHeader w:val="false"/>
        </w:trPr>
        <w:tc>
          <w:tcPr>
            <w:tcW w:type="dxa" w:w="2082"/>
            <w:vAlign w:val="center"/>
          </w:tcPr>
          <w:p>
            <w:pPr>
              <w:pStyle w:val="p-table"/>
            </w:pPr>
            <w:r>
              <w:t xml:space="preserve">容忍度（Toleration）</w:t>
            </w:r>
          </w:p>
        </w:tc>
        <w:tc>
          <w:tcPr>
            <w:vAlign w:val="center"/>
          </w:tcPr>
          <w:p>
            <w:pPr>
              <w:pStyle w:val="p-table"/>
            </w:pPr>
            <w:r>
              <w:t xml:space="preserve">容忍度表示允许将 Pod 调度到具有对应污点的节点或节点组上。由键、值和效果三部分组成。容忍度和污点共同作用可以确保不会将 Pod 调度在不适合的节点上。</w:t>
            </w:r>
          </w:p>
        </w:tc>
      </w:tr>
      <w:tr>
        <w:trPr>
          <w:cantSplit/>
          <w:tblHeader w:val="false"/>
        </w:trPr>
        <w:tc>
          <w:tcPr>
            <w:tcW w:type="dxa" w:w="2082"/>
            <w:vAlign w:val="center"/>
          </w:tcPr>
          <w:p>
            <w:pPr>
              <w:pStyle w:val="p-table"/>
            </w:pPr>
            <w:r>
              <w:t xml:space="preserve">标签（Label）</w:t>
            </w:r>
          </w:p>
        </w:tc>
        <w:tc>
          <w:tcPr>
            <w:vAlign w:val="center"/>
          </w:tcPr>
          <w:p>
            <w:pPr>
              <w:pStyle w:val="p-table"/>
            </w:pPr>
            <w:r>
              <w:t xml:space="preserve">标签是为对象设置的可标识的键值对，通常用来管理和选择对象子集。</w:t>
            </w:r>
          </w:p>
        </w:tc>
      </w:tr>
      <w:tr>
        <w:trPr>
          <w:cantSplit/>
          <w:tblHeader w:val="false"/>
        </w:trPr>
        <w:tc>
          <w:tcPr>
            <w:tcW w:type="dxa" w:w="2082"/>
            <w:vAlign w:val="center"/>
          </w:tcPr>
          <w:p>
            <w:pPr>
              <w:pStyle w:val="p-table"/>
            </w:pPr>
            <w:r>
              <w:t xml:space="preserve">注解（Annotation）</w:t>
            </w:r>
          </w:p>
        </w:tc>
        <w:tc>
          <w:tcPr>
            <w:vAlign w:val="center"/>
          </w:tcPr>
          <w:p>
            <w:pPr>
              <w:pStyle w:val="p-table"/>
            </w:pPr>
            <w:r>
              <w:t xml:space="preserve">注解是以键值对的形式给资源对象附加随机的无法标识的元数据。</w:t>
            </w:r>
          </w:p>
        </w:tc>
      </w:tr>
      <w:tr>
        <w:trPr>
          <w:cantSplit/>
          <w:tblHeader w:val="false"/>
        </w:trPr>
        <w:tc>
          <w:tcPr>
            <w:tcW w:type="dxa" w:w="2082"/>
            <w:vAlign w:val="center"/>
          </w:tcPr>
          <w:p>
            <w:pPr>
              <w:pStyle w:val="p-table"/>
            </w:pPr>
            <w:r>
              <w:t xml:space="preserve">会话保持</w:t>
            </w:r>
          </w:p>
        </w:tc>
        <w:tc>
          <w:tcPr>
            <w:vAlign w:val="center"/>
          </w:tcPr>
          <w:p>
            <w:pPr>
              <w:pStyle w:val="p-table"/>
            </w:pPr>
            <w:r>
              <w:t xml:space="preserve">将同⼀个会话中来⾃同⼀个客⼾端的请求全部转发给同⼀个容器组。</w:t>
            </w:r>
          </w:p>
        </w:tc>
      </w:tr>
      <w:tr>
        <w:trPr>
          <w:cantSplit/>
          <w:tblHeader w:val="false"/>
        </w:trPr>
        <w:tc>
          <w:tcPr>
            <w:tcW w:type="dxa" w:w="2082"/>
            <w:vAlign w:val="center"/>
          </w:tcPr>
          <w:p>
            <w:pPr>
              <w:pStyle w:val="p-table"/>
            </w:pPr>
            <w:r>
              <w:t xml:space="preserve">保密字典（Secret）</w:t>
            </w:r>
          </w:p>
        </w:tc>
        <w:tc>
          <w:tcPr>
            <w:vAlign w:val="center"/>
          </w:tcPr>
          <w:p>
            <w:pPr>
              <w:pStyle w:val="p-table"/>
            </w:pPr>
            <w:r>
              <w:t xml:space="preserve">包含 Base64 编码的键值对，⽤于存储密码、令牌、密钥等保密数据。</w:t>
            </w:r>
          </w:p>
        </w:tc>
      </w:tr>
      <w:tr>
        <w:trPr>
          <w:cantSplit/>
          <w:tblHeader w:val="false"/>
        </w:trPr>
        <w:tc>
          <w:tcPr>
            <w:tcW w:type="dxa" w:w="2082"/>
            <w:vAlign w:val="center"/>
          </w:tcPr>
          <w:p>
            <w:pPr>
              <w:pStyle w:val="p-table"/>
            </w:pPr>
            <w:r>
              <w:t xml:space="preserve">配置字典（ConfigMap）</w:t>
            </w:r>
          </w:p>
        </w:tc>
        <w:tc>
          <w:tcPr>
            <w:vAlign w:val="center"/>
          </w:tcPr>
          <w:p>
            <w:pPr>
              <w:pStyle w:val="p-table"/>
            </w:pPr>
            <w:r>
              <w:t xml:space="preserve">以键值对的形式存储环境变量、命令⾏参数和配置⽂件等⾮保密数据。</w:t>
            </w:r>
          </w:p>
        </w:tc>
      </w:tr>
      <w:tr>
        <w:trPr>
          <w:cantSplit/>
          <w:tblHeader w:val="false"/>
        </w:trPr>
        <w:tc>
          <w:tcPr>
            <w:tcW w:type="dxa" w:w="2082"/>
            <w:vAlign w:val="center"/>
          </w:tcPr>
          <w:p>
            <w:pPr>
              <w:pStyle w:val="p-table"/>
            </w:pPr>
            <w:r>
              <w:t xml:space="preserve">服务账户（ServiceAccount）</w:t>
            </w:r>
          </w:p>
        </w:tc>
        <w:tc>
          <w:tcPr>
            <w:vAlign w:val="center"/>
          </w:tcPr>
          <w:p>
            <w:pPr>
              <w:pStyle w:val="p-table"/>
            </w:pPr>
            <w:r>
              <w:t xml:space="preserve">存储当前集群的访问信息，⽤于向集群内外的应⽤程序提供集群的访问权限。</w:t>
            </w:r>
          </w:p>
        </w:tc>
      </w:tr>
      <w:tr>
        <w:trPr>
          <w:cantSplit/>
          <w:tblHeader w:val="false"/>
        </w:trPr>
        <w:tc>
          <w:tcPr>
            <w:tcW w:type="dxa" w:w="2082"/>
            <w:vAlign w:val="center"/>
          </w:tcPr>
          <w:p>
            <w:pPr>
              <w:pStyle w:val="p-table"/>
            </w:pPr>
            <w:r>
              <w:t xml:space="preserve">定制资源定义（CustomResourceDefinition）</w:t>
            </w:r>
          </w:p>
        </w:tc>
        <w:tc>
          <w:tcPr>
            <w:vAlign w:val="center"/>
          </w:tcPr>
          <w:p>
            <w:pPr>
              <w:pStyle w:val="p-table"/>
            </w:pPr>
            <w:r>
              <w:t xml:space="preserve">使⽤定制资源定义创建定制资源。通过定制化的代码给 API 服务器增加资源对象，而无需编译完整的定制 API 服务器。</w:t>
            </w:r>
          </w:p>
        </w:tc>
      </w:tr>
    </w:tbl>
    <w:p>
      <w:r>
        <w:t xml:space="preserve"> </w:t>
      </w:r>
    </w:p>
    <w:sectPr>
      <w:headerReference w:type="default" r:id="rId10"/>
      <w:footerReference w:type="default" r:id="rId11"/>
      <w:pgSz w:w="11906" w:h="16838" w:orient="portrait"/>
      <w:pgMar w:top="750" w:right="750" w:bottom="750" w:left="750" w:header="325" w:footer="325" w:gutter="0"/>
      <w:pgNumType w:start="1"/>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2000"/>
          <w:tcBorders>
            <w:left w:val="nil"/>
            <w:bottom w:val="nil"/>
            <w:right w:val="nil"/>
          </w:tcBorders>
          <w:vAlign w:val="center"/>
        </w:tcPr>
        <w:p>
          <w:pPr>
            <w:pStyle w:val="footer-bottom-left"/>
          </w:pPr>
          <w:r>
            <w:t xml:space="preserve">文档版本 01</w:t>
          </w:r>
        </w:p>
      </w:tc>
      <w:tc>
        <w:tcPr>
          <w:tcBorders>
            <w:left w:val="nil"/>
            <w:bottom w:val="nil"/>
            <w:right w:val="nil"/>
          </w:tcBorders>
          <w:vAlign w:val="center"/>
        </w:tcPr>
        <w:p>
          <w:pPr>
            <w:pStyle w:val="footer-bottom-center"/>
          </w:pPr>
          <w:r>
            <w:t xml:space="preserve">版权所有 © 北京青云科技股份有限公司</w:t>
          </w:r>
        </w:p>
      </w:tc>
      <w:tc>
        <w:tcPr>
          <w:tcW w:type="dxa" w:w="2000"/>
          <w:tcBorders>
            <w:left w:val="nil"/>
            <w:bottom w:val="nil"/>
            <w:right w:val="nil"/>
          </w:tcBorders>
          <w:vAlign w:val="center"/>
        </w:tcPr>
        <w:p>
          <w:pPr>
            <w:pStyle w:val="footer-bottom-righ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术语表</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前言</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术语表</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 </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dxa" w:w="1041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Borders>
            <w:top w:val="nil"/>
            <w:left w:val="nil"/>
            <w:right w:val="nil"/>
          </w:tcBorders>
          <w:vAlign w:val="center"/>
        </w:tcPr>
        <w:p>
          <w:pPr>
            <w:pStyle w:val="header-top-left"/>
          </w:pPr>
          <w:r>
            <w:t xml:space="preserve">KubeSphere 企业版 术语表</w:t>
          </w:r>
        </w:p>
      </w:tc>
      <w:tc>
        <w:tcPr>
          <w:tcBorders>
            <w:top w:val="nil"/>
            <w:left w:val="nil"/>
            <w:right w:val="nil"/>
          </w:tcBorders>
          <w:vAlign w:val="center"/>
        </w:tcPr>
        <w:p>
          <w:r>
            <w:t xml:space="preserve"> </w:t>
          </w:r>
        </w:p>
      </w:tc>
      <w:tc>
        <w:tcPr>
          <w:tcBorders>
            <w:top w:val="nil"/>
            <w:left w:val="nil"/>
            <w:right w:val="nil"/>
          </w:tcBorders>
          <w:vAlign w:val="center"/>
        </w:tcPr>
        <w:p>
          <w:pPr>
            <w:pStyle w:val="header-top-right"/>
          </w:pPr>
          <w:r>
            <w:t xml:space="preserve">1. 术语表</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5" w15:restartNumberingAfterBreak="0">
    <w:multiLevelType w:val="hybridMultilevel"/>
    <w:lvl w:ilvl="2" w15:tentative="1">
      <w:start w:val="1"/>
      <w:numFmt w:val="bullet"/>
      <w:suff w:val="nothing"/>
      <w:lvlText w:val="-"/>
      <w:lvlJc w:val="start"/>
    </w:lvl>
    <w:lvl w:ilvl="1" w15:tentative="1">
      <w:start w:val="1"/>
      <w:numFmt w:val="bullet"/>
      <w:suff w:val="nothing"/>
      <w:lvlText w:val="◦"/>
      <w:lvlJc w:val="start"/>
    </w:lvl>
    <w:lvl w:ilvl="0" w15:tentative="1">
      <w:start w:val="1"/>
      <w:numFmt w:val="bullet"/>
      <w:suff w:val="nothing"/>
      <w:lvlText w:val="•"/>
      <w:lvlJc w:val="start"/>
    </w:lvl>
  </w:abstractNum>
  <w:num w:numId="1">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level-2-first">
    <w:name w:val="p-level-2-first"/>
    <w:pPr>
      <w:spacing w:before="120" w:after="120"/>
      <w:ind w:left="1080" w:hanging="360"/>
      <w:jc w:val="left"/>
    </w:pPr>
    <w:rPr>
      <w:sz w:val="21"/>
      <w:szCs w:val="21"/>
      <w:rFonts w:ascii="Noto Sans SC Regular" w:cs="Noto Sans SC Regular" w:eastAsia="Noto Sans SC Regular" w:hAnsi="Noto Sans SC Regular"/>
    </w:rPr>
  </w:style>
  <w:style w:type="paragraph" w:styleId="p-level-2">
    <w:name w:val="p-level-2"/>
    <w:pPr>
      <w:spacing w:before="120" w:after="120"/>
      <w:ind w:left="1080"/>
      <w:jc w:val="left"/>
    </w:pPr>
    <w:rPr>
      <w:sz w:val="21"/>
      <w:szCs w:val="21"/>
      <w:rFonts w:ascii="Noto Sans SC Regular" w:cs="Noto Sans SC Regular" w:eastAsia="Noto Sans SC Regular" w:hAnsi="Noto Sans SC Regular"/>
    </w:rPr>
  </w:style>
  <w:style w:type="paragraph" w:styleId="pre-level-2">
    <w:pPr>
      <w:shd w:val="pct20"/>
      <w:ind w:left="1080"/>
      <w:jc w:val="left"/>
    </w:pPr>
    <w:rPr>
      <w:sz w:val="18"/>
      <w:szCs w:val="18"/>
      <w:rFonts w:ascii="Noto Sans Mono" w:cs="Noto Sans Mono" w:eastAsia="Noto Sans Mono" w:hAnsi="Noto Sans Mono"/>
    </w:rPr>
  </w:style>
  <w:style w:type="paragraph" w:styleId="p-level-1-first">
    <w:name w:val="p-level-1-first"/>
    <w:pPr>
      <w:spacing w:before="120" w:after="120"/>
      <w:ind w:left="720" w:hanging="360"/>
      <w:jc w:val="left"/>
    </w:pPr>
    <w:rPr>
      <w:sz w:val="21"/>
      <w:szCs w:val="21"/>
      <w:rFonts w:ascii="Noto Sans SC Regular" w:cs="Noto Sans SC Regular" w:eastAsia="Noto Sans SC Regular" w:hAnsi="Noto Sans SC Regular"/>
    </w:rPr>
  </w:style>
  <w:style w:type="paragraph" w:styleId="p-level-1">
    <w:name w:val="p-level-1"/>
    <w:pPr>
      <w:spacing w:before="120" w:after="120"/>
      <w:ind w:left="720"/>
      <w:jc w:val="left"/>
    </w:pPr>
    <w:rPr>
      <w:sz w:val="21"/>
      <w:szCs w:val="21"/>
      <w:rFonts w:ascii="Noto Sans SC Regular" w:cs="Noto Sans SC Regular" w:eastAsia="Noto Sans SC Regular" w:hAnsi="Noto Sans SC Regular"/>
    </w:rPr>
  </w:style>
  <w:style w:type="paragraph" w:styleId="p-level-1-first-table">
    <w:name w:val="p-level-1-first-table"/>
    <w:pPr>
      <w:spacing w:before="75" w:after="75"/>
      <w:ind w:left="840" w:hanging="360"/>
      <w:jc w:val="left"/>
    </w:pPr>
    <w:rPr>
      <w:sz w:val="21"/>
      <w:szCs w:val="21"/>
      <w:rFonts w:ascii="Noto Sans SC Regular" w:cs="Noto Sans SC Regular" w:eastAsia="Noto Sans SC Regular" w:hAnsi="Noto Sans SC Regular"/>
    </w:rPr>
  </w:style>
  <w:style w:type="paragraph" w:styleId="p-level-1-table">
    <w:name w:val="p-level-1-table"/>
    <w:pPr>
      <w:spacing w:before="75" w:after="75"/>
      <w:ind w:left="840"/>
      <w:jc w:val="left"/>
    </w:pPr>
    <w:rPr>
      <w:sz w:val="21"/>
      <w:szCs w:val="21"/>
      <w:rFonts w:ascii="Noto Sans SC Regular" w:cs="Noto Sans SC Regular" w:eastAsia="Noto Sans SC Regular" w:hAnsi="Noto Sans SC Regular"/>
    </w:rPr>
  </w:style>
  <w:style w:type="paragraph" w:styleId="pre-level-1">
    <w:pPr>
      <w:shd w:val="pct20"/>
      <w:ind w:left="720"/>
      <w:jc w:val="left"/>
    </w:pPr>
    <w:rPr>
      <w:sz w:val="18"/>
      <w:szCs w:val="18"/>
      <w:rFonts w:ascii="Noto Sans Mono" w:cs="Noto Sans Mono" w:eastAsia="Noto Sans Mono" w:hAnsi="Noto Sans Mono"/>
    </w:rPr>
  </w:style>
  <w:style w:type="paragraph" w:styleId="p-level-0-first">
    <w:name w:val="p-level-0-first"/>
    <w:pPr>
      <w:spacing w:before="120" w:after="120"/>
      <w:ind w:left="360" w:hanging="360"/>
      <w:jc w:val="left"/>
    </w:pPr>
    <w:rPr>
      <w:sz w:val="21"/>
      <w:szCs w:val="21"/>
      <w:rFonts w:ascii="Noto Sans SC Regular" w:cs="Noto Sans SC Regular" w:eastAsia="Noto Sans SC Regular" w:hAnsi="Noto Sans SC Regular"/>
    </w:rPr>
  </w:style>
  <w:style w:type="paragraph" w:styleId="p-level-0">
    <w:name w:val="p-level-0"/>
    <w:pPr>
      <w:spacing w:before="120" w:after="120"/>
      <w:ind w:left="360"/>
      <w:jc w:val="left"/>
    </w:pPr>
    <w:rPr>
      <w:sz w:val="21"/>
      <w:szCs w:val="21"/>
      <w:rFonts w:ascii="Noto Sans SC Regular" w:cs="Noto Sans SC Regular" w:eastAsia="Noto Sans SC Regular" w:hAnsi="Noto Sans SC Regular"/>
    </w:rPr>
  </w:style>
  <w:style w:type="paragraph" w:styleId="pre-level-0">
    <w:pPr>
      <w:shd w:val="pct20"/>
      <w:spacing w:before="45" w:after="45"/>
      <w:ind w:left="360"/>
      <w:jc w:val="left"/>
    </w:pPr>
    <w:rPr>
      <w:sz w:val="18"/>
      <w:szCs w:val="18"/>
      <w:rFonts w:ascii="Noto Sans Mono" w:cs="Noto Sans Mono" w:eastAsia="Noto Sans Mono" w:hAnsi="Noto Sans Mono"/>
    </w:rPr>
  </w:style>
  <w:style w:type="paragraph" w:styleId="p-level-0-first-table">
    <w:name w:val="p-level-0-first-table"/>
    <w:pPr>
      <w:spacing w:before="75" w:after="75"/>
      <w:ind w:left="480" w:hanging="360"/>
      <w:jc w:val="left"/>
    </w:pPr>
    <w:rPr>
      <w:sz w:val="21"/>
      <w:szCs w:val="21"/>
      <w:rFonts w:ascii="Noto Sans SC Regular" w:cs="Noto Sans SC Regular" w:eastAsia="Noto Sans SC Regular" w:hAnsi="Noto Sans SC Regular"/>
    </w:rPr>
  </w:style>
  <w:style w:type="paragraph" w:styleId="p-level-0-table">
    <w:name w:val="p-level-0-table"/>
    <w:pPr>
      <w:spacing w:before="75" w:after="75"/>
      <w:ind w:left="480"/>
      <w:jc w:val="left"/>
    </w:pPr>
    <w:rPr>
      <w:sz w:val="21"/>
      <w:szCs w:val="21"/>
      <w:rFonts w:ascii="Noto Sans SC Regular" w:cs="Noto Sans SC Regular" w:eastAsia="Noto Sans SC Regular" w:hAnsi="Noto Sans SC Regular"/>
    </w:rPr>
  </w:style>
  <w:style w:type="paragraph" w:styleId="pre-level-0-table">
    <w:name w:val="pre-level-0-table"/>
    <w:pPr>
      <w:shd w:val="pct20"/>
      <w:spacing w:before="75" w:after="75"/>
      <w:ind w:left="480" w:right="480"/>
      <w:jc w:val="left"/>
    </w:pPr>
    <w:rPr>
      <w:sz w:val="21"/>
      <w:szCs w:val="21"/>
      <w:rFonts w:ascii="Noto Sans Mono" w:cs="Noto Sans Mono" w:eastAsia="Noto Sans Mono" w:hAnsi="Noto Sans Mono"/>
    </w:rPr>
  </w:style>
  <w:style w:type="paragraph" w:styleId="p-table">
    <w:name w:val="p-table"/>
    <w:pPr>
      <w:spacing w:before="75" w:after="75"/>
      <w:ind w:left="120"/>
      <w:jc w:val="left"/>
    </w:pPr>
    <w:rPr>
      <w:sz w:val="21"/>
      <w:szCs w:val="21"/>
      <w:rFonts w:ascii="Noto Sans SC Regular" w:cs="Noto Sans SC Regular" w:eastAsia="Noto Sans SC Regular" w:hAnsi="Noto Sans SC Regular"/>
    </w:rPr>
  </w:style>
  <w:style w:type="paragraph" w:styleId="th-table-admon">
    <w:name w:val="th-table-admon"/>
    <w:pPr>
      <w:spacing w:before="60" w:after="60"/>
      <w:ind w:left="120"/>
      <w:jc w:val="left"/>
    </w:pPr>
    <w:rPr>
      <w:color w:val="ffffff"/>
      <w:sz w:val="21"/>
      <w:szCs w:val="21"/>
      <w:rFonts w:ascii="Noto Sans SC Regular" w:cs="Noto Sans SC Regular" w:eastAsia="Noto Sans SC Regular" w:hAnsi="Noto Sans SC Regular"/>
    </w:rPr>
  </w:style>
  <w:style w:type="paragraph" w:styleId="th-table">
    <w:name w:val="th-table"/>
    <w:pPr>
      <w:spacing w:before="60" w:after="60"/>
      <w:ind w:left="120"/>
      <w:jc w:val="left"/>
    </w:pPr>
    <w:rPr>
      <w:sz w:val="21"/>
      <w:szCs w:val="21"/>
      <w:rFonts w:ascii="Noto Sans SC Regular" w:cs="Noto Sans SC Regular" w:eastAsia="Noto Sans SC Regular" w:hAnsi="Noto Sans SC Regular"/>
    </w:rPr>
  </w:style>
  <w:style w:type="paragraph" w:styleId="p">
    <w:name w:val="Paragraph"/>
    <w:pPr>
      <w:spacing w:before="225" w:after="225"/>
      <w:jc w:val="left"/>
    </w:pPr>
    <w:rPr>
      <w:sz w:val="21"/>
      <w:szCs w:val="21"/>
      <w:rFonts w:ascii="Noto Sans SC Regular" w:cs="Noto Sans SC Regular" w:eastAsia="Noto Sans SC Regular" w:hAnsi="Noto Sans SC Regular"/>
    </w:rPr>
  </w:style>
  <w:style w:type="paragraph" w:styleId="p-file-class-level-2">
    <w:name w:val="p-file-class-level-2"/>
    <w:pPr>
      <w:spacing w:before="345" w:after="345"/>
      <w:jc w:val="left"/>
    </w:pPr>
    <w:rPr>
      <w:b/>
      <w:bCs/>
      <w:sz w:val="27"/>
      <w:szCs w:val="27"/>
      <w:rFonts w:ascii="Noto Sans SC Regular" w:cs="Noto Sans SC Regular" w:eastAsia="Noto Sans SC Regular" w:hAnsi="Noto Sans SC Regular"/>
    </w:rPr>
  </w:style>
  <w:style w:type="paragraph" w:styleId="p-file-class-level-3">
    <w:name w:val="p-file-class-level-3"/>
    <w:pPr>
      <w:spacing w:before="345" w:after="345"/>
      <w:jc w:val="left"/>
    </w:pPr>
    <w:rPr>
      <w:b/>
      <w:bCs/>
      <w:sz w:val="24"/>
      <w:szCs w:val="24"/>
      <w:rFonts w:ascii="Noto Sans SC Regular" w:cs="Noto Sans SC Regular" w:eastAsia="Noto Sans SC Regular" w:hAnsi="Noto Sans SC Regular"/>
    </w:rPr>
  </w:style>
  <w:style w:type="paragraph" w:styleId="pre">
    <w:name w:val="Code block"/>
    <w:pPr>
      <w:shd w:val="pct20"/>
      <w:jc w:val="left"/>
    </w:pPr>
    <w:rPr>
      <w:sz w:val="18"/>
      <w:szCs w:val="18"/>
      <w:rFonts w:ascii="Noto Sans Mono" w:cs="Noto Sans Mono" w:eastAsia="Noto Sans Mono" w:hAnsi="Noto Sans Mono"/>
    </w:rPr>
  </w:style>
  <w:style w:type="paragraph" w:styleId="h2">
    <w:name w:val="Heading 2"/>
    <w:pPr>
      <w:pBdr>
        <w:bottom w:val="single" w:color="auto" w:sz="6" w:space="1"/>
      </w:pBdr>
      <w:spacing w:before="1087.5" w:after="217.5"/>
      <w:jc w:val="right"/>
    </w:pPr>
    <w:rPr>
      <w:sz w:val="43"/>
      <w:szCs w:val="43"/>
      <w:rFonts w:ascii="Noto Sans SC Medium" w:cs="Noto Sans SC Medium" w:eastAsia="Noto Sans SC Medium" w:hAnsi="Noto Sans SC Medium"/>
    </w:rPr>
  </w:style>
  <w:style w:type="paragraph" w:styleId="h3">
    <w:name w:val="Heading 3"/>
    <w:pPr>
      <w:spacing w:before="420" w:after="420"/>
      <w:jc w:val="left"/>
    </w:pPr>
    <w:rPr>
      <w:sz w:val="36"/>
      <w:szCs w:val="36"/>
      <w:rFonts w:ascii="Noto Sans SC Medium" w:cs="Noto Sans SC Medium" w:eastAsia="Noto Sans SC Medium" w:hAnsi="Noto Sans SC Medium"/>
    </w:rPr>
  </w:style>
  <w:style w:type="paragraph" w:styleId="h4">
    <w:name w:val="Heading 4"/>
    <w:pPr>
      <w:spacing w:before="382.5" w:after="382.5"/>
      <w:jc w:val="left"/>
    </w:pPr>
    <w:rPr>
      <w:sz w:val="31"/>
      <w:szCs w:val="31"/>
      <w:rFonts w:ascii="Noto Sans SC Medium" w:cs="Noto Sans SC Medium" w:eastAsia="Noto Sans SC Medium" w:hAnsi="Noto Sans SC Medium"/>
    </w:rPr>
  </w:style>
  <w:style w:type="paragraph" w:styleId="h5">
    <w:name w:val="Heading 5"/>
    <w:pPr>
      <w:spacing w:before="345" w:after="345"/>
      <w:jc w:val="left"/>
    </w:pPr>
    <w:rPr>
      <w:sz w:val="27"/>
      <w:szCs w:val="27"/>
      <w:rFonts w:ascii="Noto Sans SC Medium" w:cs="Noto Sans SC Medium" w:eastAsia="Noto Sans SC Medium" w:hAnsi="Noto Sans SC Medium"/>
    </w:rPr>
  </w:style>
  <w:style w:type="paragraph" w:styleId="h6">
    <w:name w:val="Heading 6"/>
    <w:pPr>
      <w:spacing w:before="345" w:after="345"/>
      <w:jc w:val="left"/>
    </w:pPr>
    <w:rPr>
      <w:sz w:val="24"/>
      <w:szCs w:val="24"/>
      <w:rFonts w:ascii="Noto Sans SC Medium" w:cs="Noto Sans SC Medium" w:eastAsia="Noto Sans SC Medium" w:hAnsi="Noto Sans SC Medium"/>
    </w:rPr>
  </w:style>
  <w:style w:type="paragraph" w:styleId="h7">
    <w:name w:val="Heading 7"/>
    <w:pPr>
      <w:spacing w:before="308" w:after="308"/>
      <w:jc w:val="left"/>
    </w:pPr>
    <w:rPr>
      <w:sz w:val="22"/>
      <w:szCs w:val="22"/>
      <w:rFonts w:ascii="Noto Sans SC Medium" w:cs="Noto Sans SC Medium" w:eastAsia="Noto Sans SC Medium" w:hAnsi="Noto Sans SC Medium"/>
    </w:rPr>
  </w:style>
  <w:style w:type="paragraph" w:styleId="h8">
    <w:name w:val="Heading 8"/>
    <w:pPr>
      <w:spacing w:before="280" w:after="280"/>
      <w:jc w:val="left"/>
    </w:pPr>
    <w:rPr>
      <w:sz w:val="22"/>
      <w:szCs w:val="22"/>
      <w:rFonts w:ascii="Noto Sans SC Medium" w:cs="Noto Sans SC Medium" w:eastAsia="Noto Sans SC Medium" w:hAnsi="Noto Sans SC Medium"/>
    </w:rPr>
  </w:style>
  <w:style w:type="paragraph" w:styleId="h9">
    <w:name w:val="Heading 9"/>
    <w:pPr>
      <w:spacing w:before="280" w:after="280"/>
      <w:jc w:val="left"/>
    </w:pPr>
    <w:rPr>
      <w:sz w:val="22"/>
      <w:szCs w:val="22"/>
      <w:rFonts w:ascii="Noto Sans SC Medium" w:cs="Noto Sans SC Medium" w:eastAsia="Noto Sans SC Medium" w:hAnsi="Noto Sans SC Medium"/>
    </w:rPr>
  </w:style>
  <w:style w:type="paragraph" w:styleId="discrete">
    <w:name w:val="Discrete heading"/>
    <w:pPr>
      <w:spacing w:before="345" w:after="345"/>
      <w:jc w:val="left"/>
    </w:pPr>
    <w:rPr>
      <w:sz w:val="27"/>
      <w:szCs w:val="27"/>
      <w:rFonts w:ascii="Noto Sans SC Medium" w:cs="Noto Sans SC Medium" w:eastAsia="Noto Sans SC Medium" w:hAnsi="Noto Sans SC Medium"/>
    </w:rPr>
  </w:style>
  <w:style w:type="paragraph" w:styleId="header-top-left">
    <w:name w:val="Header top left"/>
    <w:pPr>
      <w:jc w:val="left"/>
    </w:pPr>
    <w:rPr>
      <w:sz w:val="21"/>
      <w:szCs w:val="21"/>
      <w:rFonts w:ascii="Noto Sans SC Regular" w:cs="Noto Sans SC Regular" w:eastAsia="Noto Sans SC Regular" w:hAnsi="Noto Sans SC Regular"/>
    </w:rPr>
  </w:style>
  <w:style w:type="paragraph" w:styleId="header-top-right">
    <w:name w:val="Header top right"/>
    <w:pPr>
      <w:jc w:val="right"/>
    </w:pPr>
    <w:rPr>
      <w:sz w:val="21"/>
      <w:szCs w:val="21"/>
      <w:rFonts w:ascii="Noto Sans SC Regular" w:cs="Noto Sans SC Regular" w:eastAsia="Noto Sans SC Regular" w:hAnsi="Noto Sans SC Regular"/>
    </w:rPr>
  </w:style>
  <w:style w:type="paragraph" w:styleId="footer-bottom-left">
    <w:name w:val="Footer bottom left"/>
    <w:pPr>
      <w:jc w:val="left"/>
    </w:pPr>
    <w:rPr>
      <w:sz w:val="21"/>
      <w:szCs w:val="21"/>
      <w:rFonts w:ascii="Noto Sans SC Regular" w:cs="Noto Sans SC Regular" w:eastAsia="Noto Sans SC Regular" w:hAnsi="Noto Sans SC Regular"/>
    </w:rPr>
  </w:style>
  <w:style w:type="paragraph" w:styleId="footer-bottom-center">
    <w:name w:val="Footer bottom center"/>
    <w:pPr>
      <w:jc w:val="center"/>
    </w:pPr>
    <w:rPr>
      <w:sz w:val="21"/>
      <w:szCs w:val="21"/>
      <w:rFonts w:ascii="Noto Sans SC Regular" w:cs="Noto Sans SC Regular" w:eastAsia="Noto Sans SC Regular" w:hAnsi="Noto Sans SC Regular"/>
    </w:rPr>
  </w:style>
  <w:style w:type="paragraph" w:styleId="footer-bottom-right">
    <w:name w:val="Footer bottom right"/>
    <w:pPr>
      <w:jc w:val="right"/>
    </w:pPr>
    <w:rPr>
      <w:sz w:val="21"/>
      <w:szCs w:val="21"/>
      <w:rFonts w:ascii="Noto Sans SC Regular" w:cs="Noto Sans SC Regular" w:eastAsia="Noto Sans SC Regular" w:hAnsi="Noto Sans SC Regular"/>
    </w:rPr>
  </w:style>
  <w:style w:type="paragraph" w:styleId="TOC2">
    <w:name w:val="toc 2"/>
    <w:pPr>
      <w:spacing w:before="75" w:after="75"/>
      <w:jc w:val="left"/>
    </w:pPr>
    <w:rPr>
      <w:color w:val="0000ff"/>
      <w:sz w:val="21"/>
      <w:szCs w:val="21"/>
      <w:rFonts w:ascii="Noto Sans SC Regular" w:cs="Noto Sans SC Regular" w:eastAsia="Noto Sans SC Regular" w:hAnsi="Noto Sans SC Regular"/>
    </w:rPr>
  </w:style>
  <w:style w:type="paragraph" w:styleId="TOC3">
    <w:name w:val="toc 3"/>
    <w:pPr>
      <w:spacing w:before="75" w:after="75"/>
      <w:ind w:left="360"/>
      <w:jc w:val="left"/>
    </w:pPr>
    <w:rPr>
      <w:color w:val="0000ff"/>
      <w:sz w:val="21"/>
      <w:szCs w:val="21"/>
      <w:rFonts w:ascii="Noto Sans SC Regular" w:cs="Noto Sans SC Regular" w:eastAsia="Noto Sans SC Regular" w:hAnsi="Noto Sans SC Regular"/>
    </w:rPr>
  </w:style>
  <w:style w:type="paragraph" w:styleId="TOC4">
    <w:name w:val="toc 4"/>
    <w:pPr>
      <w:spacing w:before="75" w:after="75"/>
      <w:ind w:left="720"/>
      <w:jc w:val="left"/>
    </w:pPr>
    <w:rPr>
      <w:color w:val="0000ff"/>
      <w:sz w:val="21"/>
      <w:szCs w:val="21"/>
      <w:rFonts w:ascii="Noto Sans SC Regular" w:cs="Noto Sans SC Regular" w:eastAsia="Noto Sans SC Regular" w:hAnsi="Noto Sans SC Regular"/>
    </w:rPr>
  </w:style>
  <w:style w:type="paragraph" w:styleId="TOC5">
    <w:name w:val="toc 5"/>
    <w:pPr>
      <w:spacing w:before="75" w:after="75"/>
      <w:ind w:left="1080"/>
      <w:jc w:val="left"/>
    </w:pPr>
    <w:rPr>
      <w:color w:val="0000ff"/>
      <w:sz w:val="21"/>
      <w:szCs w:val="21"/>
      <w:rFonts w:ascii="Noto Sans SC Regular" w:cs="Noto Sans SC Regular" w:eastAsia="Noto Sans SC Regular" w:hAnsi="Noto Sans SC Regular"/>
    </w:rPr>
  </w:style>
  <w:style w:type="paragraph" w:styleId="TOC6">
    <w:name w:val="toc 6"/>
    <w:pPr>
      <w:spacing w:before="75" w:after="75"/>
      <w:ind w:left="1440"/>
      <w:jc w:val="left"/>
    </w:pPr>
    <w:rPr>
      <w:color w:val="0000ff"/>
      <w:sz w:val="21"/>
      <w:szCs w:val="21"/>
      <w:rFonts w:ascii="Noto Sans SC Regular" w:cs="Noto Sans SC Regular" w:eastAsia="Noto Sans SC Regular" w:hAnsi="Noto Sans SC Regular"/>
    </w:rPr>
  </w:style>
  <w:style w:type="paragraph" w:styleId="cover_product_logo">
    <w:name w:val="cover_product_logo"/>
    <w:pPr>
      <w:spacing w:before="450"/>
      <w:ind w:left="750"/>
      <w:jc w:val="left"/>
    </w:pPr>
    <w:rPr>
      <w:sz w:val="21"/>
      <w:szCs w:val="21"/>
      <w:rFonts w:ascii="Noto Sans SC Regular" w:cs="Noto Sans SC Regular" w:eastAsia="Noto Sans SC Regular" w:hAnsi="Noto Sans SC Regular"/>
    </w:rPr>
  </w:style>
  <w:style w:type="paragraph" w:styleId="cover_doc_image">
    <w:name w:val="cover_doc_logo"/>
    <w:pPr>
      <w:spacing w:before="1350" w:after="450"/>
      <w:ind w:left="2205"/>
      <w:jc w:val="left"/>
    </w:pPr>
    <w:rPr>
      <w:sz w:val="21"/>
      <w:szCs w:val="21"/>
      <w:rFonts w:ascii="Noto Sans SC Regular" w:cs="Noto Sans SC Regular" w:eastAsia="Noto Sans SC Regular" w:hAnsi="Noto Sans SC Regular"/>
    </w:rPr>
  </w:style>
  <w:style w:type="paragraph" w:styleId="cover_doc_name">
    <w:name w:val="cover_doc_name"/>
    <w:pPr>
      <w:spacing w:before="60" w:after="60"/>
      <w:ind w:left="180"/>
      <w:jc w:val="left"/>
    </w:pPr>
    <w:rPr>
      <w:color w:val="ffffff"/>
      <w:sz w:val="45"/>
      <w:szCs w:val="45"/>
      <w:rFonts w:ascii="Noto Sans SC Medium" w:cs="Noto Sans SC Medium" w:eastAsia="Noto Sans SC Medium" w:hAnsi="Noto Sans SC Medium"/>
    </w:rPr>
  </w:style>
  <w:style w:type="paragraph" w:styleId="cover_doc_name_secondary">
    <w:name w:val="cover_doc_name_secondary"/>
    <w:pPr>
      <w:spacing w:before="60" w:after="120"/>
      <w:ind w:left="180"/>
      <w:jc w:val="left"/>
    </w:pPr>
    <w:rPr>
      <w:color w:val="ffffff"/>
      <w:sz w:val="23"/>
      <w:szCs w:val="23"/>
      <w:rFonts w:ascii="Noto Sans SC Medium" w:cs="Noto Sans SC Medium" w:eastAsia="Noto Sans SC Medium" w:hAnsi="Noto Sans SC Medium"/>
    </w:rPr>
  </w:style>
  <w:style w:type="paragraph" w:styleId="cover_footer_spacing">
    <w:name w:val="cover_footer_spacing"/>
    <w:pPr>
      <w:spacing w:before="870" w:after="870"/>
    </w:pPr>
    <w:rPr>
      <w:sz w:val="21"/>
      <w:szCs w:val="21"/>
      <w:rFonts w:ascii="Noto Sans SC Medium" w:cs="Noto Sans SC Medium" w:eastAsia="Noto Sans SC Medium" w:hAnsi="Noto Sans SC Medium"/>
    </w:rPr>
  </w:style>
  <w:style w:type="paragraph" w:styleId="p-cover_footer">
    <w:name w:val="p-cover_footer"/>
    <w:pPr>
      <w:spacing w:before="120"/>
    </w:pPr>
    <w:rPr>
      <w:sz w:val="21"/>
      <w:szCs w:val="21"/>
      <w:rFonts w:ascii="Noto Sans SC Regular" w:cs="Noto Sans SC Regular" w:eastAsia="Noto Sans SC Regular" w:hAnsi="Noto Sans SC Regular"/>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tcgddkmn1stnm85wly7al" Type="http://schemas.openxmlformats.org/officeDocument/2006/relationships/hyperlink" Target="https://www.qingcloud.com" TargetMode="External"/><Relationship Id="rId1whv8q-hgzjxlazdfmamf" Type="http://schemas.openxmlformats.org/officeDocument/2006/relationships/hyperlink" Target="https://kubernetes.io/zh/docs/concepts/workloads/controllers/deployment/" TargetMode="External"/><Relationship Id="rIdtpv73wadbzcznixleeuvc" Type="http://schemas.openxmlformats.org/officeDocument/2006/relationships/hyperlink" Target="https://kubernetes.io/zh/docs/concepts/workloads/controllers/statefulset/" TargetMode="External"/><Relationship Id="rIdmf0agug0mu7-pzfmzraql" Type="http://schemas.openxmlformats.org/officeDocument/2006/relationships/hyperlink" Target="https://kubernetes.io/zh/docs/concepts/workloads/controllers/daemonset/" TargetMode="External"/><Relationship Id="rIdwflh8j-r-depfrptonemg" Type="http://schemas.openxmlformats.org/officeDocument/2006/relationships/hyperlink" Target="https://kubernetes.io/zh/docs/concepts/workloads/controllers/job/" TargetMode="External"/><Relationship Id="rIdw4vzn3dzbvm7dhwchcmrx" Type="http://schemas.openxmlformats.org/officeDocument/2006/relationships/hyperlink" Target="https://kubernetes.io/zh/docs/concepts/workloads/controllers/cron-jobs/" TargetMode="External"/><Relationship Id="rId8e8r6mv5vf2v8zn8moxed" Type="http://schemas.openxmlformats.org/officeDocument/2006/relationships/hyperlink" Target="https://kubernetes.io/zh/docs/concepts/services-networking/service/" TargetMode="External"/><Relationship Id="rId12" Type="http://schemas.openxmlformats.org/officeDocument/2006/relationships/image" Target="media/oeqd8iog0ysf0nfu2rodd.png"/><Relationship Id="rId13" Type="http://schemas.openxmlformats.org/officeDocument/2006/relationships/image" Target="media/vdvpcpj7ptfag8hz4ij6u.png"/><Relationship Id="rId14" Type="http://schemas.openxmlformats.org/officeDocument/2006/relationships/image" Target="media/dbuosfy8kq1eq9zj3xeco.png"/></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word/_rels/header3.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2023-09-01T02:43:31.803Z</dcterms:created>
  <dcterms:modified xsi:type="dcterms:W3CDTF">2023-09-01T02:43:31.803Z</dcterms:modified>
</cp:coreProperties>
</file>

<file path=docProps/custom.xml><?xml version="1.0" encoding="utf-8"?>
<Properties xmlns="http://schemas.openxmlformats.org/officeDocument/2006/custom-properties" xmlns:vt="http://schemas.openxmlformats.org/officeDocument/2006/docPropsVTypes"/>
</file>