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nw9olvna7t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1: Dataset-Verified Design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/>
      </w:pPr>
      <w:bookmarkStart w:colFirst="0" w:colLast="0" w:name="_8v0hwshoh1d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Conceptual ER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87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kgkgd19za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Relational schema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Following W4, five entity tables and four relationship tables are first identified. The three 1:N relationships are merged into their many-side tables; the M:N Proximity relationship remains a separate table. The result is six base relations. Underlining denotes the primary key, arrows denote foreign keys, and ? denotes nullable.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Town(</w:t>
      </w:r>
      <w:r w:rsidDel="00000000" w:rsidR="00000000" w:rsidRPr="00000000">
        <w:rPr>
          <w:u w:val="single"/>
          <w:rtl w:val="0"/>
        </w:rPr>
        <w:t xml:space="preserve">town_id</w:t>
      </w:r>
      <w:r w:rsidDel="00000000" w:rsidR="00000000" w:rsidRPr="00000000">
        <w:rPr>
          <w:rtl w:val="0"/>
        </w:rPr>
        <w:t xml:space="preserve">, town_name)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HDBBuilding(</w:t>
      </w:r>
      <w:r w:rsidDel="00000000" w:rsidR="00000000" w:rsidRPr="00000000">
        <w:rPr>
          <w:u w:val="single"/>
          <w:rtl w:val="0"/>
        </w:rPr>
        <w:t xml:space="preserve">building_id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town_id → Town, block, street_name, longitude?, latitude?)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HDBFlat(</w:t>
      </w:r>
      <w:r w:rsidDel="00000000" w:rsidR="00000000" w:rsidRPr="00000000">
        <w:rPr>
          <w:u w:val="single"/>
          <w:rtl w:val="0"/>
        </w:rPr>
        <w:t xml:space="preserve">flat_id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building_id → HDBBuilding, flat_type, flat_model, floor_area_sqm, storey_lower, storey_upper, lease_commence_year)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ResaleTransaction(</w:t>
      </w:r>
      <w:r w:rsidDel="00000000" w:rsidR="00000000" w:rsidRPr="00000000">
        <w:rPr>
          <w:u w:val="single"/>
          <w:rtl w:val="0"/>
        </w:rPr>
        <w:t xml:space="preserve">transaction_id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flat_id → HDBFlat, transaction_month, resale_price, reported_remaining_lease_months?, source_sha256, source_row_number)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HawkerCentre(</w:t>
      </w:r>
      <w:r w:rsidDel="00000000" w:rsidR="00000000" w:rsidRPr="00000000">
        <w:rPr>
          <w:u w:val="single"/>
          <w:rtl w:val="0"/>
        </w:rPr>
        <w:t xml:space="preserve">hawker_id</w:t>
      </w:r>
      <w:r w:rsidDel="00000000" w:rsidR="00000000" w:rsidRPr="00000000">
        <w:rPr>
          <w:rtl w:val="0"/>
        </w:rPr>
        <w:t xml:space="preserve">, centre_name, address?, centre_type?, longitude?, latitude?, total_stalls?, cooked_food_stalls?, market_produce_stalls?)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BuildingHawkerDistance(</w:t>
      </w:r>
      <w:r w:rsidDel="00000000" w:rsidR="00000000" w:rsidRPr="00000000">
        <w:rPr>
          <w:u w:val="single"/>
          <w:rtl w:val="0"/>
        </w:rPr>
        <w:t xml:space="preserve">building_id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HDBBuilding, </w:t>
      </w:r>
      <w:r w:rsidDel="00000000" w:rsidR="00000000" w:rsidRPr="00000000">
        <w:rPr>
          <w:u w:val="single"/>
          <w:rtl w:val="0"/>
        </w:rPr>
        <w:t xml:space="preserve">hawker_id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HawkerCentre, distance_m)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two underlined distance-table attributes form one composite key. Alternate keys are town_name; (block,street_name); the complete flat-profile combination; and (source_sha256,source_row_number). The source hash and row number are loading metadata, not raw business fields.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 the stated FDs, every nontrivial determinant is a superkey, so the base relations satisfy BCNF and therefore 3NF. Closures and minimal keys were checked. Splitting combined transaction/building/town data along their ID dependencies is lossless because each intersection is a key of an extracted relation (W5).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kohls3bjr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Proximity and missing values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Haversine straight-line distances use building and centre coordinates. The chosen classes are Near ≤500 m, Medium &gt;500–1,000 m and Far &gt;1,000 m. These thresholds are a project choice. All valid geocoded pairs are retained; classes are calculated in views.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Q4 assigns each building its nearest centre. Q5 selects its nearest centre with known market_produce_stalls &gt;0. Equal-distance ties use the smaller hawker_id, preventing duplicate transaction counts. The supplied centre cohort includes market-only sites; centre_type supports an explicit alternative filter if the team chooses one.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Years-only leases in 2015–2016 are converted to months with year precision disclosed; 2017-onward year/month strings are parsed into total months. Pre-2015 leases remain unknown: Q2 needs an UNKNOWN bucket or a clearly disclosed reported-only cohort.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（For example:</w:t>
      </w:r>
    </w:p>
    <w:tbl>
      <w:tblPr>
        <w:tblStyle w:val="Table1"/>
        <w:tblW w:w="933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2325"/>
        <w:gridCol w:w="1650"/>
        <w:gridCol w:w="1755"/>
        <w:gridCol w:w="2025"/>
        <w:tblGridChange w:id="0">
          <w:tblGrid>
            <w:gridCol w:w="1575"/>
            <w:gridCol w:w="2325"/>
            <w:gridCol w:w="1650"/>
            <w:gridCol w:w="1755"/>
            <w:gridCol w:w="20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Street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Hawker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Distance KM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ProximityClass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Jurong West St 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Jurong West St 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Jurong West St 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Far</w:t>
            </w:r>
          </w:p>
        </w:tc>
      </w:tr>
    </w:tbl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not choose other distance calculation methods?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2a2fmyhqc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Table connections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Arrows point from FK to referenced PK. The distance bridge implements the building-to-centre M:N relationship; descriptive attributes are omitted from this overview.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448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p70hcsn46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SQL and validation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See in the SQL Scripts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