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t>Invoice Builder Customer Guide</w:t>
      </w:r>
    </w:p>
    <w:p>
      <w:pPr>
        <w:spacing w:after="240"/>
      </w:pPr>
      <w:r>
        <w:rPr>
          <w:rFonts w:ascii="Arial" w:hAnsi="Arial"/>
          <w:color w:val="177E89"/>
          <w:sz w:val="24"/>
        </w:rPr>
        <w:t>Create cargo invoices, save their spreadsheets, and prepare customer statements</w:t>
      </w:r>
    </w:p>
    <w:p>
      <w:pPr>
        <w:spacing w:after="100" w:line="269" w:lineRule="auto"/>
      </w:pPr>
      <w:r>
        <w:t>Use this guide to enter loads for Spodumene, Containers, or Break Bulk; create an invoice and its cargo workbook; and prepare a statement. The app saves invoices to the preset Faith Trucking folders. When you generate a statement, it can also prepare a Gmail draft for you to review and send.</w:t>
      </w:r>
    </w:p>
    <w:p>
      <w:pPr>
        <w:pStyle w:val="Heading1"/>
      </w:pPr>
      <w:r>
        <w:t>Start a new invoice</w:t>
      </w:r>
    </w:p>
    <w:p>
      <w:pPr>
        <w:pStyle w:val="ListNumber"/>
        <w:spacing w:after="100" w:line="264" w:lineRule="auto"/>
        <w:ind w:left="403" w:hanging="288"/>
      </w:pPr>
      <w:r>
        <w:rPr>
          <w:b/>
        </w:rPr>
        <w:t xml:space="preserve">Choose the cargo type. </w:t>
      </w:r>
      <w:r>
        <w:t>Select Spodumene, Containers, or Break Bulk in the top bar. Containers default to Flat calculation. Spodumene and Break Bulk default to Weight calculation.</w:t>
      </w:r>
    </w:p>
    <w:p>
      <w:pPr>
        <w:pStyle w:val="ListNumber"/>
        <w:spacing w:after="100" w:line="264" w:lineRule="auto"/>
        <w:ind w:left="403" w:hanging="288"/>
      </w:pPr>
      <w:r>
        <w:rPr>
          <w:b/>
        </w:rPr>
        <w:t xml:space="preserve">Choose the calculation method. </w:t>
      </w:r>
      <w:r>
        <w:t>The top Calculation choice sets the default for new rows. Use the CALC field on a row if that load needs a different method. Changing cargo type resets the rows to that cargo type’s default.</w:t>
      </w:r>
    </w:p>
    <w:p>
      <w:pPr>
        <w:pStyle w:val="ListNumber"/>
        <w:spacing w:after="100" w:line="264" w:lineRule="auto"/>
        <w:ind w:left="403" w:hanging="288"/>
      </w:pPr>
      <w:r>
        <w:rPr>
          <w:b/>
        </w:rPr>
        <w:t xml:space="preserve">Enter one load per row. </w:t>
      </w:r>
      <w:r>
        <w:t>Use the row DATE for the load date and GRV NR for that load’s goods received voucher number. GRV NR is required and must be unique within the invoice.</w:t>
      </w:r>
    </w:p>
    <w:p>
      <w:pPr>
        <w:pStyle w:val="ListNumber"/>
        <w:spacing w:after="100" w:line="264" w:lineRule="auto"/>
        <w:ind w:left="403" w:hanging="288"/>
      </w:pPr>
      <w:r>
        <w:rPr>
          <w:b/>
        </w:rPr>
        <w:t xml:space="preserve">Enter cargo and pricing details. </w:t>
      </w:r>
      <w:r>
        <w:t>The fields vary by cargo type; see the next page. Enter the weight, rate, and quantity needed for the app to calculate each amount correctly.</w:t>
      </w:r>
    </w:p>
    <w:p>
      <w:pPr>
        <w:pStyle w:val="ListNumber"/>
        <w:spacing w:after="100" w:line="264" w:lineRule="auto"/>
        <w:ind w:left="403" w:hanging="288"/>
      </w:pPr>
      <w:r>
        <w:rPr>
          <w:b/>
        </w:rPr>
        <w:t xml:space="preserve">Check the totals. </w:t>
      </w:r>
      <w:r>
        <w:t>Amounts and totals update as you edit. Select Calculate to refresh them. Add Row or press Enter to add another load; for Break Bulk, the Product carries into the next row.</w:t>
      </w:r>
    </w:p>
    <w:tbl>
      <w:tblPr>
        <w:tblW w:type="auto" w:w="0"/>
        <w:jc w:val="center"/>
        <w:tblLook w:firstColumn="1" w:firstRow="1" w:lastColumn="0" w:lastRow="0" w:noHBand="0" w:noVBand="1" w:val="04A0"/>
      </w:tblPr>
      <w:tblGrid>
        <w:gridCol w:w="9835"/>
      </w:tblGrid>
      <w:tr>
        <w:tc>
          <w:tcPr>
            <w:tcW w:type="dxa" w:w="9835"/>
            <w:shd w:fill="E7F3F1"/>
            <w:tcMar>
              <w:top w:w="150" w:type="dxa"/>
              <w:start w:w="190" w:type="dxa"/>
              <w:bottom w:w="150" w:type="dxa"/>
              <w:end w:w="190" w:type="dxa"/>
            </w:tcMar>
          </w:tcPr>
          <w:p>
            <w:pPr>
              <w:spacing w:after="60"/>
            </w:pPr>
            <w:r/>
            <w:r>
              <w:rPr>
                <w:rFonts w:ascii="Arial" w:hAnsi="Arial"/>
                <w:b/>
                <w:color w:val="177E89"/>
                <w:sz w:val="20"/>
              </w:rPr>
              <w:t>Before generating</w:t>
            </w:r>
          </w:p>
          <w:p>
            <w:pPr>
              <w:spacing w:after="0" w:line="259" w:lineRule="auto"/>
            </w:pPr>
            <w:r>
              <w:rPr>
                <w:rFonts w:ascii="Arial" w:hAnsi="Arial"/>
                <w:color w:val="17324D"/>
                <w:sz w:val="18"/>
              </w:rPr>
              <w:t>Use Check GRVs to highlight duplicate GRV numbers. Order GRVs sorts the rows numerically from low to high. Duplicate GRVs must be corrected before the invoice can be generated.</w:t>
            </w:r>
          </w:p>
        </w:tc>
      </w:tr>
    </w:tbl>
    <w:p>
      <w:pPr>
        <w:spacing w:after="20"/>
      </w:pPr>
    </w:p>
    <w:p>
      <w:pPr>
        <w:pStyle w:val="Heading2"/>
      </w:pPr>
      <w:r>
        <w:t>What the dates mean</w:t>
      </w:r>
    </w:p>
    <w:p>
      <w:pPr>
        <w:spacing w:after="100" w:line="269" w:lineRule="auto"/>
      </w:pPr>
      <w:r>
        <w:t>The DATE column in the load grid is the date for an individual load. When you select Generate Invoice, the required-details popup asks you to confirm the invoice date and enter the vessel name. The invoice date is also used to organize saved files by month.</w:t>
      </w:r>
    </w:p>
    <w:p>
      <w:r>
        <w:br w:type="page"/>
      </w:r>
    </w:p>
    <w:p>
      <w:pPr>
        <w:pStyle w:val="Heading1"/>
      </w:pPr>
      <w:r>
        <w:t>Cargo fields and invoice generation</w:t>
      </w:r>
    </w:p>
    <w:p>
      <w:pPr>
        <w:spacing w:after="100" w:line="269" w:lineRule="auto"/>
      </w:pPr>
      <w:r>
        <w:t>Each row represents one load. Enter the cargo-specific information below; the workbook and invoice PDF use the same load entries.</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1440"/>
            <w:vAlign w:val="center"/>
            <w:tcMar>
              <w:top w:w="100" w:type="dxa"/>
              <w:start w:w="120" w:type="dxa"/>
              <w:bottom w:w="100" w:type="dxa"/>
              <w:end w:w="120" w:type="dxa"/>
            </w:tcMar>
            <w:shd w:fill="17324D"/>
          </w:tcPr>
          <w:p>
            <w:pPr>
              <w:spacing w:after="0" w:before="0" w:line="259" w:lineRule="auto"/>
            </w:pPr>
            <w:r/>
            <w:r>
              <w:rPr>
                <w:rFonts w:ascii="Arial" w:hAnsi="Arial"/>
                <w:b/>
                <w:color w:val="FFFFFF"/>
                <w:sz w:val="18"/>
              </w:rPr>
              <w:t>Cargo type</w:t>
            </w:r>
          </w:p>
        </w:tc>
        <w:tc>
          <w:tcPr>
            <w:tcW w:type="dxa" w:w="3384"/>
            <w:vAlign w:val="center"/>
            <w:tcMar>
              <w:top w:w="100" w:type="dxa"/>
              <w:start w:w="120" w:type="dxa"/>
              <w:bottom w:w="100" w:type="dxa"/>
              <w:end w:w="120" w:type="dxa"/>
            </w:tcMar>
            <w:shd w:fill="17324D"/>
          </w:tcPr>
          <w:p>
            <w:pPr>
              <w:spacing w:after="0" w:before="0" w:line="259" w:lineRule="auto"/>
            </w:pPr>
            <w:r/>
            <w:r>
              <w:rPr>
                <w:rFonts w:ascii="Arial" w:hAnsi="Arial"/>
                <w:b/>
                <w:color w:val="FFFFFF"/>
                <w:sz w:val="18"/>
              </w:rPr>
              <w:t>Enter for each load</w:t>
            </w:r>
          </w:p>
        </w:tc>
        <w:tc>
          <w:tcPr>
            <w:tcW w:type="dxa" w:w="4968"/>
            <w:vAlign w:val="center"/>
            <w:tcMar>
              <w:top w:w="100" w:type="dxa"/>
              <w:start w:w="120" w:type="dxa"/>
              <w:bottom w:w="100" w:type="dxa"/>
              <w:end w:w="120" w:type="dxa"/>
            </w:tcMar>
            <w:shd w:fill="17324D"/>
          </w:tcPr>
          <w:p>
            <w:pPr>
              <w:spacing w:after="0" w:before="0" w:line="259" w:lineRule="auto"/>
            </w:pPr>
            <w:r/>
            <w:r>
              <w:rPr>
                <w:rFonts w:ascii="Arial" w:hAnsi="Arial"/>
                <w:b/>
                <w:color w:val="FFFFFF"/>
                <w:sz w:val="18"/>
              </w:rPr>
              <w:t>Optional or special handling</w:t>
            </w:r>
          </w:p>
        </w:tc>
      </w:tr>
      <w:tr>
        <w:trPr>
          <w:cantSplit/>
        </w:trPr>
        <w:tc>
          <w:tcPr>
            <w:tcW w:type="dxa" w:w="1440"/>
            <w:vAlign w:val="center"/>
            <w:tcMar>
              <w:top w:w="100" w:type="dxa"/>
              <w:start w:w="120" w:type="dxa"/>
              <w:bottom w:w="100" w:type="dxa"/>
              <w:end w:w="120" w:type="dxa"/>
            </w:tcMar>
            <w:shd w:fill="FFFFFF"/>
          </w:tcPr>
          <w:p>
            <w:pPr>
              <w:spacing w:after="0" w:before="0" w:line="259" w:lineRule="auto"/>
            </w:pPr>
            <w:r/>
            <w:r>
              <w:rPr>
                <w:rFonts w:ascii="Arial" w:hAnsi="Arial"/>
                <w:b w:val="0"/>
                <w:color w:val="17324D"/>
                <w:sz w:val="17"/>
              </w:rPr>
              <w:t>Spodumene</w:t>
            </w:r>
          </w:p>
        </w:tc>
        <w:tc>
          <w:tcPr>
            <w:tcW w:type="dxa" w:w="3384"/>
            <w:vAlign w:val="center"/>
            <w:tcMar>
              <w:top w:w="100" w:type="dxa"/>
              <w:start w:w="120" w:type="dxa"/>
              <w:bottom w:w="100" w:type="dxa"/>
              <w:end w:w="120" w:type="dxa"/>
            </w:tcMar>
            <w:shd w:fill="FFFFFF"/>
          </w:tcPr>
          <w:p>
            <w:pPr>
              <w:spacing w:after="0" w:before="0" w:line="259" w:lineRule="auto"/>
            </w:pPr>
            <w:r/>
            <w:r>
              <w:rPr>
                <w:rFonts w:ascii="Arial" w:hAnsi="Arial"/>
                <w:b w:val="0"/>
                <w:color w:val="17324D"/>
                <w:sz w:val="17"/>
              </w:rPr>
              <w:t>GRV NR, load date, weight, rate, and the load description when available.</w:t>
            </w:r>
          </w:p>
        </w:tc>
        <w:tc>
          <w:tcPr>
            <w:tcW w:type="dxa" w:w="4968"/>
            <w:vAlign w:val="center"/>
            <w:tcMar>
              <w:top w:w="100" w:type="dxa"/>
              <w:start w:w="120" w:type="dxa"/>
              <w:bottom w:w="100" w:type="dxa"/>
              <w:end w:w="120" w:type="dxa"/>
            </w:tcMar>
            <w:shd w:fill="FFFFFF"/>
          </w:tcPr>
          <w:p>
            <w:pPr>
              <w:spacing w:after="0" w:before="0" w:line="259" w:lineRule="auto"/>
            </w:pPr>
            <w:r/>
            <w:r>
              <w:rPr>
                <w:rFonts w:ascii="Arial" w:hAnsi="Arial"/>
                <w:b w:val="0"/>
                <w:color w:val="17324D"/>
                <w:sz w:val="17"/>
              </w:rPr>
              <w:t>Weighbridge ticket is optional. It is recorded in the Excel workbook but does not appear on the invoice PDF. The description appears in the PDF line for that load.</w:t>
            </w:r>
          </w:p>
        </w:tc>
      </w:tr>
      <w:tr>
        <w:trPr>
          <w:cantSplit/>
        </w:trPr>
        <w:tc>
          <w:tcPr>
            <w:tcW w:type="dxa" w:w="1440"/>
            <w:vAlign w:val="center"/>
            <w:tcMar>
              <w:top w:w="100" w:type="dxa"/>
              <w:start w:w="120" w:type="dxa"/>
              <w:bottom w:w="100" w:type="dxa"/>
              <w:end w:w="120" w:type="dxa"/>
            </w:tcMar>
            <w:shd w:fill="F3F6F8"/>
          </w:tcPr>
          <w:p>
            <w:pPr>
              <w:spacing w:after="0" w:before="0" w:line="259" w:lineRule="auto"/>
            </w:pPr>
            <w:r/>
            <w:r>
              <w:rPr>
                <w:rFonts w:ascii="Arial" w:hAnsi="Arial"/>
                <w:b w:val="0"/>
                <w:color w:val="17324D"/>
                <w:sz w:val="17"/>
              </w:rPr>
              <w:t>Containers</w:t>
            </w:r>
          </w:p>
        </w:tc>
        <w:tc>
          <w:tcPr>
            <w:tcW w:type="dxa" w:w="3384"/>
            <w:vAlign w:val="center"/>
            <w:tcMar>
              <w:top w:w="100" w:type="dxa"/>
              <w:start w:w="120" w:type="dxa"/>
              <w:bottom w:w="100" w:type="dxa"/>
              <w:end w:w="120" w:type="dxa"/>
            </w:tcMar>
            <w:shd w:fill="F3F6F8"/>
          </w:tcPr>
          <w:p>
            <w:pPr>
              <w:spacing w:after="0" w:before="0" w:line="259" w:lineRule="auto"/>
            </w:pPr>
            <w:r/>
            <w:r>
              <w:rPr>
                <w:rFonts w:ascii="Arial" w:hAnsi="Arial"/>
                <w:b w:val="0"/>
                <w:color w:val="17324D"/>
                <w:sz w:val="17"/>
              </w:rPr>
              <w:t>GRV NR, container number, Full or Empty, load date, weight, and rate.</w:t>
            </w:r>
          </w:p>
        </w:tc>
        <w:tc>
          <w:tcPr>
            <w:tcW w:type="dxa" w:w="4968"/>
            <w:vAlign w:val="center"/>
            <w:tcMar>
              <w:top w:w="100" w:type="dxa"/>
              <w:start w:w="120" w:type="dxa"/>
              <w:bottom w:w="100" w:type="dxa"/>
              <w:end w:w="120" w:type="dxa"/>
            </w:tcMar>
            <w:shd w:fill="F3F6F8"/>
          </w:tcPr>
          <w:p>
            <w:pPr>
              <w:spacing w:after="0" w:before="0" w:line="259" w:lineRule="auto"/>
            </w:pPr>
            <w:r/>
            <w:r>
              <w:rPr>
                <w:rFonts w:ascii="Arial" w:hAnsi="Arial"/>
                <w:b w:val="0"/>
                <w:color w:val="17324D"/>
                <w:sz w:val="17"/>
              </w:rPr>
              <w:t>Calculation starts as Flat. You can choose Weight for an individual row. ISO group is left blank.</w:t>
            </w:r>
          </w:p>
        </w:tc>
      </w:tr>
      <w:tr>
        <w:trPr>
          <w:cantSplit/>
        </w:trPr>
        <w:tc>
          <w:tcPr>
            <w:tcW w:type="dxa" w:w="1440"/>
            <w:vAlign w:val="center"/>
            <w:tcMar>
              <w:top w:w="100" w:type="dxa"/>
              <w:start w:w="120" w:type="dxa"/>
              <w:bottom w:w="100" w:type="dxa"/>
              <w:end w:w="120" w:type="dxa"/>
            </w:tcMar>
            <w:shd w:fill="FFFFFF"/>
          </w:tcPr>
          <w:p>
            <w:pPr>
              <w:spacing w:after="0" w:before="0" w:line="259" w:lineRule="auto"/>
            </w:pPr>
            <w:r/>
            <w:r>
              <w:rPr>
                <w:rFonts w:ascii="Arial" w:hAnsi="Arial"/>
                <w:b w:val="0"/>
                <w:color w:val="17324D"/>
                <w:sz w:val="17"/>
              </w:rPr>
              <w:t>Break Bulk</w:t>
            </w:r>
          </w:p>
        </w:tc>
        <w:tc>
          <w:tcPr>
            <w:tcW w:type="dxa" w:w="3384"/>
            <w:vAlign w:val="center"/>
            <w:tcMar>
              <w:top w:w="100" w:type="dxa"/>
              <w:start w:w="120" w:type="dxa"/>
              <w:bottom w:w="100" w:type="dxa"/>
              <w:end w:w="120" w:type="dxa"/>
            </w:tcMar>
            <w:shd w:fill="FFFFFF"/>
          </w:tcPr>
          <w:p>
            <w:pPr>
              <w:spacing w:after="0" w:before="0" w:line="259" w:lineRule="auto"/>
            </w:pPr>
            <w:r/>
            <w:r>
              <w:rPr>
                <w:rFonts w:ascii="Arial" w:hAnsi="Arial"/>
                <w:b w:val="0"/>
                <w:color w:val="17324D"/>
                <w:sz w:val="17"/>
              </w:rPr>
              <w:t>GRV NR, Product, load date, quantity, weight, and rate.</w:t>
            </w:r>
          </w:p>
        </w:tc>
        <w:tc>
          <w:tcPr>
            <w:tcW w:type="dxa" w:w="4968"/>
            <w:vAlign w:val="center"/>
            <w:tcMar>
              <w:top w:w="100" w:type="dxa"/>
              <w:start w:w="120" w:type="dxa"/>
              <w:bottom w:w="100" w:type="dxa"/>
              <w:end w:w="120" w:type="dxa"/>
            </w:tcMar>
            <w:shd w:fill="FFFFFF"/>
          </w:tcPr>
          <w:p>
            <w:pPr>
              <w:spacing w:after="0" w:before="0" w:line="259" w:lineRule="auto"/>
            </w:pPr>
            <w:r/>
            <w:r>
              <w:rPr>
                <w:rFonts w:ascii="Arial" w:hAnsi="Arial"/>
                <w:b w:val="0"/>
                <w:color w:val="17324D"/>
                <w:sz w:val="17"/>
              </w:rPr>
              <w:t>Serial/Bag NR is optional. Product carries over when you add a row with Enter or Add Row.</w:t>
            </w:r>
          </w:p>
        </w:tc>
      </w:tr>
    </w:tbl>
    <w:p>
      <w:pPr>
        <w:spacing w:after="20"/>
      </w:pPr>
    </w:p>
    <w:p>
      <w:pPr>
        <w:pStyle w:val="Heading2"/>
      </w:pPr>
      <w:r>
        <w:t>Generate and save the invoice</w:t>
      </w:r>
    </w:p>
    <w:p>
      <w:pPr>
        <w:pStyle w:val="ListNumber"/>
        <w:spacing w:after="100" w:line="264" w:lineRule="auto"/>
        <w:ind w:left="403" w:hanging="288"/>
      </w:pPr>
      <w:r>
        <w:rPr>
          <w:b/>
        </w:rPr>
        <w:t xml:space="preserve">Select Generate Invoice in the top bar. </w:t>
      </w:r>
      <w:r>
        <w:t>A short loading window appears while the app creates the PDF and cargo workbook.</w:t>
      </w:r>
    </w:p>
    <w:p>
      <w:pPr>
        <w:pStyle w:val="ListNumber"/>
        <w:spacing w:after="100" w:line="264" w:lineRule="auto"/>
        <w:ind w:left="403" w:hanging="288"/>
      </w:pPr>
      <w:r>
        <w:rPr>
          <w:b/>
        </w:rPr>
        <w:t xml:space="preserve">Complete the required details. </w:t>
      </w:r>
      <w:r>
        <w:t>In the popup, select the invoice date and enter the vessel name. Both are required. Select Generate Invoice to continue, or Cancel to return to the load grid.</w:t>
      </w:r>
    </w:p>
    <w:p>
      <w:pPr>
        <w:pStyle w:val="ListNumber"/>
        <w:spacing w:after="100" w:line="264" w:lineRule="auto"/>
        <w:ind w:left="403" w:hanging="288"/>
      </w:pPr>
      <w:r>
        <w:rPr>
          <w:b/>
        </w:rPr>
        <w:t xml:space="preserve">Review the completion message. </w:t>
      </w:r>
      <w:r>
        <w:t>The PDF and matching cargo spreadsheet save automatically. No Save As prompt appears. The app then prepares the next invoice number.</w:t>
      </w:r>
    </w:p>
    <w:tbl>
      <w:tblPr>
        <w:tblW w:type="auto" w:w="0"/>
        <w:jc w:val="center"/>
        <w:tblLook w:firstColumn="1" w:firstRow="1" w:lastColumn="0" w:lastRow="0" w:noHBand="0" w:noVBand="1" w:val="04A0"/>
      </w:tblPr>
      <w:tblGrid>
        <w:gridCol w:w="9835"/>
      </w:tblGrid>
      <w:tr>
        <w:tc>
          <w:tcPr>
            <w:tcW w:type="dxa" w:w="9835"/>
            <w:shd w:fill="EAF3F6"/>
            <w:tcMar>
              <w:top w:w="150" w:type="dxa"/>
              <w:start w:w="190" w:type="dxa"/>
              <w:bottom w:w="150" w:type="dxa"/>
              <w:end w:w="190" w:type="dxa"/>
            </w:tcMar>
          </w:tcPr>
          <w:p>
            <w:pPr>
              <w:spacing w:after="60"/>
            </w:pPr>
            <w:r/>
            <w:r>
              <w:rPr>
                <w:rFonts w:ascii="Arial" w:hAnsi="Arial"/>
                <w:b/>
                <w:color w:val="177E89"/>
                <w:sz w:val="20"/>
              </w:rPr>
              <w:t>Where files are saved</w:t>
            </w:r>
          </w:p>
          <w:p>
            <w:pPr>
              <w:spacing w:after="0" w:line="259" w:lineRule="auto"/>
            </w:pPr>
            <w:r>
              <w:rPr>
                <w:rFonts w:ascii="Arial" w:hAnsi="Arial"/>
                <w:color w:val="17324D"/>
                <w:sz w:val="18"/>
              </w:rPr>
              <w:t>Invoice PDFs: Desktop &gt; Faith Trucking &gt; Books &gt; year &gt; month and year &gt; Invoices. Cargo workbooks: Desktop &gt; Faith Trucking &gt; Books &gt; Everest Docs &gt; year &gt; month and year. Filenames include the invoice number.</w:t>
            </w:r>
          </w:p>
        </w:tc>
      </w:tr>
    </w:tbl>
    <w:p>
      <w:pPr>
        <w:spacing w:after="20"/>
      </w:pPr>
    </w:p>
    <w:p>
      <w:pPr>
        <w:spacing w:after="100" w:line="269" w:lineRule="auto"/>
      </w:pPr>
      <w:r>
        <w:t>The invoice PDF shows the vessel and cargo description, followed by the load rows. For Spodumene, each row shows its Description instead of the weighbridge ticket. The Excel workbook still includes the ticket number when entered.</w:t>
      </w:r>
    </w:p>
    <w:p>
      <w:r>
        <w:br w:type="page"/>
      </w:r>
    </w:p>
    <w:p>
      <w:pPr>
        <w:pStyle w:val="Heading1"/>
      </w:pPr>
      <w:r>
        <w:t>Build a customer statement</w:t>
      </w:r>
    </w:p>
    <w:p>
      <w:pPr>
        <w:spacing w:after="100" w:line="269" w:lineRule="auto"/>
      </w:pPr>
      <w:r>
        <w:t>Select Generate Statement in the top bar to open Statement Builder. The invoice list contains previously generated invoices. A statement can include one or more of them.</w:t>
      </w:r>
    </w:p>
    <w:p>
      <w:pPr>
        <w:pStyle w:val="ListNumber"/>
        <w:spacing w:after="100" w:line="264" w:lineRule="auto"/>
        <w:ind w:left="403" w:hanging="288"/>
      </w:pPr>
      <w:r>
        <w:rPr>
          <w:b/>
        </w:rPr>
        <w:t xml:space="preserve">Choose invoices. </w:t>
      </w:r>
      <w:r>
        <w:t>Tick the first column for each invoice you want to include. Use Refresh Invoices if a newly generated invoice is not listed yet.</w:t>
      </w:r>
    </w:p>
    <w:p>
      <w:pPr>
        <w:pStyle w:val="ListNumber"/>
        <w:spacing w:after="100" w:line="264" w:lineRule="auto"/>
        <w:ind w:left="403" w:hanging="288"/>
      </w:pPr>
      <w:r>
        <w:rPr>
          <w:b/>
        </w:rPr>
        <w:t xml:space="preserve">Enter a statement description for every selected invoice. </w:t>
      </w:r>
      <w:r>
        <w:t>The Statement Description cells start blank. A description is required for each checked invoice; there is no automatic load-count or cargo description. Missing descriptions are highlighted when you try to generate the statement.</w:t>
      </w:r>
    </w:p>
    <w:p>
      <w:pPr>
        <w:pStyle w:val="ListNumber"/>
        <w:spacing w:after="100" w:line="264" w:lineRule="auto"/>
        <w:ind w:left="403" w:hanging="288"/>
      </w:pPr>
      <w:r>
        <w:rPr>
          <w:b/>
        </w:rPr>
        <w:t xml:space="preserve">Review the vehicle registration and statement details. </w:t>
      </w:r>
      <w:r>
        <w:t>Vehicle registrations can be edited in the list. Check the statement date, customer, bill-to name, and vessel details before continuing.</w:t>
      </w:r>
    </w:p>
    <w:p>
      <w:pPr>
        <w:pStyle w:val="ListNumber"/>
        <w:spacing w:after="100" w:line="264" w:lineRule="auto"/>
        <w:ind w:left="403" w:hanging="288"/>
      </w:pPr>
      <w:r>
        <w:rPr>
          <w:b/>
        </w:rPr>
        <w:t xml:space="preserve">Generate the statement. </w:t>
      </w:r>
      <w:r>
        <w:t>The app saves the statement PDF and prepares a Gmail draft. A loading window remains open while the statement and draft are being prepared.</w:t>
      </w:r>
    </w:p>
    <w:p>
      <w:pPr>
        <w:pStyle w:val="Heading2"/>
      </w:pPr>
      <w:r>
        <w:t>Review and send the Gmail draft</w:t>
      </w:r>
    </w:p>
    <w:p>
      <w:pPr>
        <w:spacing w:after="100" w:line="269" w:lineRule="auto"/>
      </w:pPr>
      <w:r>
        <w:t>The app creates a draft only; it does not send email. Gmail Drafts opens after the draft is created. Check the recipient, subject, message, and attachments before you manually send it.</w:t>
      </w:r>
    </w:p>
    <w:p>
      <w:pPr>
        <w:pStyle w:val="ListBullet"/>
        <w:spacing w:after="80"/>
        <w:ind w:left="403" w:hanging="230"/>
      </w:pPr>
      <w:r>
        <w:rPr>
          <w:b/>
        </w:rPr>
        <w:t xml:space="preserve">Attachments </w:t>
      </w:r>
      <w:r>
        <w:t>The draft includes the statement PDF plus the selected invoices’ PDFs and cargo spreadsheets when those files are available.</w:t>
      </w:r>
    </w:p>
    <w:p>
      <w:pPr>
        <w:pStyle w:val="ListBullet"/>
        <w:spacing w:after="80"/>
        <w:ind w:left="403" w:hanging="230"/>
      </w:pPr>
      <w:r>
        <w:rPr>
          <w:b/>
        </w:rPr>
        <w:t xml:space="preserve">Statement PDF </w:t>
      </w:r>
      <w:r>
        <w:t>Saved to Desktop &gt; Faith Trucking &gt; Books &gt; year &gt; month and year &gt; Statements.</w:t>
      </w:r>
    </w:p>
    <w:p>
      <w:pPr>
        <w:pStyle w:val="ListBullet"/>
        <w:spacing w:after="80"/>
        <w:ind w:left="403" w:hanging="230"/>
      </w:pPr>
      <w:r>
        <w:rPr>
          <w:b/>
        </w:rPr>
        <w:t xml:space="preserve">If Gmail is not configured </w:t>
      </w:r>
      <w:r>
        <w:t>The statement PDF can still be generated. The app displays a warning if it cannot create the Gmail draft.</w:t>
      </w:r>
    </w:p>
    <w:tbl>
      <w:tblPr>
        <w:tblW w:type="auto" w:w="0"/>
        <w:jc w:val="center"/>
        <w:tblLook w:firstColumn="1" w:firstRow="1" w:lastColumn="0" w:lastRow="0" w:noHBand="0" w:noVBand="1" w:val="04A0"/>
      </w:tblPr>
      <w:tblGrid>
        <w:gridCol w:w="9835"/>
      </w:tblGrid>
      <w:tr>
        <w:tc>
          <w:tcPr>
            <w:tcW w:type="dxa" w:w="9835"/>
            <w:shd w:fill="E7F3F1"/>
            <w:tcMar>
              <w:top w:w="150" w:type="dxa"/>
              <w:start w:w="190" w:type="dxa"/>
              <w:bottom w:w="150" w:type="dxa"/>
              <w:end w:w="190" w:type="dxa"/>
            </w:tcMar>
          </w:tcPr>
          <w:p>
            <w:pPr>
              <w:spacing w:after="60"/>
            </w:pPr>
            <w:r/>
            <w:r>
              <w:rPr>
                <w:rFonts w:ascii="Arial" w:hAnsi="Arial"/>
                <w:b/>
                <w:color w:val="177E89"/>
                <w:sz w:val="20"/>
              </w:rPr>
              <w:t>Descriptions are required</w:t>
            </w:r>
          </w:p>
          <w:p>
            <w:pPr>
              <w:spacing w:after="0" w:line="259" w:lineRule="auto"/>
            </w:pPr>
            <w:r>
              <w:rPr>
                <w:rFonts w:ascii="Arial" w:hAnsi="Arial"/>
                <w:color w:val="17324D"/>
                <w:sz w:val="18"/>
              </w:rPr>
              <w:t>Only checked invoices need a statement description. Enter a brief service or delivery description for each checked row. Unchecked invoice rows can remain blank.</w:t>
            </w:r>
          </w:p>
        </w:tc>
      </w:tr>
    </w:tbl>
    <w:p>
      <w:pPr>
        <w:spacing w:after="20"/>
      </w:pPr>
    </w:p>
    <w:p>
      <w:r>
        <w:br w:type="page"/>
      </w:r>
    </w:p>
    <w:p>
      <w:pPr>
        <w:pStyle w:val="Heading1"/>
      </w:pPr>
      <w:r>
        <w:t>Settings and first-time Gmail setup</w:t>
      </w:r>
    </w:p>
    <w:p>
      <w:pPr>
        <w:spacing w:after="100" w:line="269" w:lineRule="auto"/>
      </w:pPr>
      <w:r>
        <w:t>The Settings button is in the top bar and is protected by the administrator password. Ask your app administrator to configure company defaults and Gmail credentials. Most customers only need to authorize Gmail once on their computer.</w:t>
      </w:r>
    </w:p>
    <w:p>
      <w:pPr>
        <w:pStyle w:val="Heading2"/>
      </w:pPr>
      <w:r>
        <w:t>Administrator Gmail setup</w:t>
      </w:r>
    </w:p>
    <w:p>
      <w:pPr>
        <w:pStyle w:val="ListNumber"/>
        <w:spacing w:after="100" w:line="264" w:lineRule="auto"/>
        <w:ind w:left="403" w:hanging="288"/>
      </w:pPr>
      <w:r>
        <w:rPr>
          <w:b/>
        </w:rPr>
        <w:t xml:space="preserve">Create a Google Cloud project and enable the Gmail API. </w:t>
      </w:r>
      <w:r>
        <w:t>Use the Google account that will create and manage the drafts.</w:t>
      </w:r>
    </w:p>
    <w:p>
      <w:pPr>
        <w:pStyle w:val="ListNumber"/>
        <w:spacing w:after="100" w:line="264" w:lineRule="auto"/>
        <w:ind w:left="403" w:hanging="288"/>
      </w:pPr>
      <w:r>
        <w:rPr>
          <w:b/>
        </w:rPr>
        <w:t xml:space="preserve">Configure Google OAuth consent. </w:t>
      </w:r>
      <w:r>
        <w:t>For a personal setup, use the External audience and add the intended Gmail account as a test user while the app is in Testing.</w:t>
      </w:r>
    </w:p>
    <w:p>
      <w:pPr>
        <w:pStyle w:val="ListNumber"/>
        <w:spacing w:after="100" w:line="264" w:lineRule="auto"/>
        <w:ind w:left="403" w:hanging="288"/>
      </w:pPr>
      <w:r>
        <w:rPr>
          <w:b/>
        </w:rPr>
        <w:t xml:space="preserve">Create a Desktop app OAuth client. </w:t>
      </w:r>
      <w:r>
        <w:t>Download its JSON file, rename it credentials.json, and place it beside InvoiceBuilder.exe. Keep this credentials file private; do not put it in a shared public folder or send it with customer invoices.</w:t>
      </w:r>
    </w:p>
    <w:p>
      <w:pPr>
        <w:pStyle w:val="ListNumber"/>
        <w:spacing w:after="100" w:line="264" w:lineRule="auto"/>
        <w:ind w:left="403" w:hanging="288"/>
      </w:pPr>
      <w:r>
        <w:rPr>
          <w:b/>
        </w:rPr>
        <w:t xml:space="preserve">Set the email defaults in Settings. </w:t>
      </w:r>
      <w:r>
        <w:t>Enter the Default Email Recipient and the sender name/company details used in the draft.</w:t>
      </w:r>
    </w:p>
    <w:p>
      <w:pPr>
        <w:pStyle w:val="ListNumber"/>
        <w:spacing w:after="100" w:line="264" w:lineRule="auto"/>
        <w:ind w:left="403" w:hanging="288"/>
      </w:pPr>
      <w:r>
        <w:rPr>
          <w:b/>
        </w:rPr>
        <w:t xml:space="preserve">Authorize the Gmail account. </w:t>
      </w:r>
      <w:r>
        <w:t>The first time you generate a statement, Google opens a sign-in and consent flow. Sign in to the Gmail account that should own the draft and approve the requested permission.</w:t>
      </w:r>
    </w:p>
    <w:tbl>
      <w:tblPr>
        <w:tblW w:type="auto" w:w="0"/>
        <w:jc w:val="center"/>
        <w:tblLook w:firstColumn="1" w:firstRow="1" w:lastColumn="0" w:lastRow="0" w:noHBand="0" w:noVBand="1" w:val="04A0"/>
      </w:tblPr>
      <w:tblGrid>
        <w:gridCol w:w="9835"/>
      </w:tblGrid>
      <w:tr>
        <w:tc>
          <w:tcPr>
            <w:tcW w:type="dxa" w:w="9835"/>
            <w:shd w:fill="EAF3F6"/>
            <w:tcMar>
              <w:top w:w="150" w:type="dxa"/>
              <w:start w:w="190" w:type="dxa"/>
              <w:bottom w:w="150" w:type="dxa"/>
              <w:end w:w="190" w:type="dxa"/>
            </w:tcMar>
          </w:tcPr>
          <w:p>
            <w:pPr>
              <w:spacing w:after="60"/>
            </w:pPr>
            <w:r/>
            <w:r>
              <w:rPr>
                <w:rFonts w:ascii="Arial" w:hAnsi="Arial"/>
                <w:b/>
                <w:color w:val="177E89"/>
                <w:sz w:val="20"/>
              </w:rPr>
              <w:t>Testing-mode authorization</w:t>
            </w:r>
          </w:p>
          <w:p>
            <w:pPr>
              <w:spacing w:after="0" w:line="259" w:lineRule="auto"/>
            </w:pPr>
            <w:r>
              <w:rPr>
                <w:rFonts w:ascii="Arial" w:hAnsi="Arial"/>
                <w:color w:val="17324D"/>
                <w:sz w:val="18"/>
              </w:rPr>
              <w:t>Google says authorizations for External apps in Testing expire after seven days. If draft creation later asks you to sign in again, repeat the Gmail authorization from Generate Statement.</w:t>
            </w:r>
          </w:p>
        </w:tc>
      </w:tr>
    </w:tbl>
    <w:p>
      <w:pPr>
        <w:spacing w:after="20"/>
      </w:pPr>
    </w:p>
    <w:p>
      <w:pPr>
        <w:spacing w:before="100" w:after="60"/>
      </w:pPr>
      <w:r>
        <w:t xml:space="preserve">Google setup references: </w:t>
      </w:r>
      <w:hyperlink r:id="rId10">
        <w:r>
          <w:rPr>
            <w:color w:val="177E89"/>
            <w:u w:val="single"/>
          </w:rPr>
          <w:t>Gmail API desktop quickstart</w:t>
        </w:r>
      </w:hyperlink>
      <w:r>
        <w:t xml:space="preserve">  |  </w:t>
      </w:r>
      <w:hyperlink r:id="rId11">
        <w:r>
          <w:rPr>
            <w:color w:val="177E89"/>
            <w:u w:val="single"/>
          </w:rPr>
          <w:t>OAuth testing and test users</w:t>
        </w:r>
      </w:hyperlink>
    </w:p>
    <w:sectPr w:rsidR="00FC693F" w:rsidRPr="0006063C" w:rsidSect="00034616">
      <w:footerReference w:type="default" r:id="rId9"/>
      <w:pgSz w:w="11909" w:h="16834"/>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Pr>
    <w:r>
      <w:rPr>
        <w:rFonts w:ascii="Arial" w:hAnsi="Arial"/>
        <w:color w:val="526575"/>
        <w:sz w:val="16"/>
      </w:rPr>
      <w:t xml:space="preserve">INVOICE BUILDER  |  CUSTOMER GUIDE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17324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77E8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00"/>
      <w:contextualSpacing/>
    </w:pPr>
    <w:rPr>
      <w:rFonts w:asciiTheme="majorHAnsi" w:eastAsiaTheme="majorEastAsia" w:hAnsiTheme="majorHAnsi" w:cstheme="majorBidi" w:ascii="Arial" w:hAnsi="Arial"/>
      <w:b w:val="0"/>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evelopers.google.com/workspace/gmail/api/quickstart/java" TargetMode="External"/><Relationship Id="rId11" Type="http://schemas.openxmlformats.org/officeDocument/2006/relationships/hyperlink" Target="https://support.google.com/cloud/answer/15549945?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Invoice Builder Customer Guide</dc:title>
  <dc:subject>Instructions for creating invoices, cargo workbooks, statements, and Gmail drafts</dc:subject>
  <dc:creator>Faith Trucking</dc:creator>
  <cp:keywords>Invoice Builder, customer guide, cargo, statement, Gmail</cp:keywords>
  <dc:description>generated by python-docx</dc:description>
  <cp:lastModifiedBy/>
  <cp:revision>1</cp:revision>
  <dcterms:created xsi:type="dcterms:W3CDTF">2013-12-23T23:15:00Z</dcterms:created>
  <dcterms:modified xsi:type="dcterms:W3CDTF">2013-12-23T23:15:00Z</dcterms:modified>
  <cp:category/>
</cp:coreProperties>
</file>