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AEA00" w14:textId="50162F2C" w:rsidR="00EF576D" w:rsidRDefault="00000000">
      <w:pPr>
        <w:pStyle w:val="Vnbnnidung0"/>
        <w:tabs>
          <w:tab w:val="left" w:pos="4458"/>
        </w:tabs>
        <w:spacing w:after="340"/>
        <w:ind w:left="320" w:firstLine="20"/>
        <w:jc w:val="both"/>
        <w:rPr>
          <w:sz w:val="28"/>
          <w:szCs w:val="28"/>
        </w:rPr>
      </w:pPr>
      <w:r>
        <w:rPr>
          <w:b/>
          <w:bCs/>
          <w:i w:val="0"/>
          <w:iCs w:val="0"/>
          <w:color w:val="000000"/>
          <w:sz w:val="28"/>
          <w:szCs w:val="28"/>
        </w:rPr>
        <w:t xml:space="preserve">ỦY BAN NHÂN DÂN </w:t>
      </w:r>
      <w:r w:rsidR="00DA24FA">
        <w:rPr>
          <w:b/>
          <w:bCs/>
          <w:i w:val="0"/>
          <w:iCs w:val="0"/>
          <w:color w:val="000000"/>
          <w:sz w:val="28"/>
          <w:szCs w:val="28"/>
          <w:lang w:val="en-US"/>
        </w:rPr>
        <w:t xml:space="preserve">    </w:t>
      </w:r>
      <w:r>
        <w:rPr>
          <w:b/>
          <w:bCs/>
          <w:i w:val="0"/>
          <w:iCs w:val="0"/>
          <w:color w:val="000000"/>
          <w:sz w:val="28"/>
          <w:szCs w:val="28"/>
        </w:rPr>
        <w:t>CỘNG HÒA XÃ HỘI CHỦ NGHĨA VIỆT NAM TỈNH QUẢNG NINH</w:t>
      </w:r>
      <w:r>
        <w:rPr>
          <w:b/>
          <w:bCs/>
          <w:i w:val="0"/>
          <w:iCs w:val="0"/>
          <w:color w:val="000000"/>
          <w:sz w:val="28"/>
          <w:szCs w:val="28"/>
        </w:rPr>
        <w:tab/>
        <w:t>Độc lập - Tự do - Hạnh phúc</w:t>
      </w:r>
    </w:p>
    <w:p w14:paraId="659FA9DC" w14:textId="77777777" w:rsidR="00EF576D" w:rsidRDefault="00000000">
      <w:pPr>
        <w:pStyle w:val="Vnbnnidung0"/>
        <w:spacing w:after="660"/>
        <w:ind w:firstLine="840"/>
        <w:jc w:val="both"/>
      </w:pPr>
      <w:r>
        <w:rPr>
          <w:noProof/>
        </w:rPr>
        <mc:AlternateContent>
          <mc:Choice Requires="wps">
            <w:drawing>
              <wp:anchor distT="0" distB="0" distL="114300" distR="114300" simplePos="0" relativeHeight="125829378" behindDoc="0" locked="0" layoutInCell="1" allowOverlap="1" wp14:anchorId="5BF01D9F" wp14:editId="25AD540D">
                <wp:simplePos x="0" y="0"/>
                <wp:positionH relativeFrom="page">
                  <wp:posOffset>1300480</wp:posOffset>
                </wp:positionH>
                <wp:positionV relativeFrom="paragraph">
                  <wp:posOffset>12700</wp:posOffset>
                </wp:positionV>
                <wp:extent cx="1588135" cy="234950"/>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1588135" cy="234950"/>
                        </a:xfrm>
                        <a:prstGeom prst="rect">
                          <a:avLst/>
                        </a:prstGeom>
                        <a:noFill/>
                      </wps:spPr>
                      <wps:txbx>
                        <w:txbxContent>
                          <w:p w14:paraId="0AFD5111" w14:textId="77777777" w:rsidR="00EF576D" w:rsidRDefault="00000000">
                            <w:pPr>
                              <w:pStyle w:val="Vnbnnidung0"/>
                              <w:spacing w:after="0"/>
                              <w:ind w:firstLine="0"/>
                              <w:rPr>
                                <w:sz w:val="28"/>
                                <w:szCs w:val="28"/>
                              </w:rPr>
                            </w:pPr>
                            <w:r>
                              <w:rPr>
                                <w:i w:val="0"/>
                                <w:iCs w:val="0"/>
                                <w:sz w:val="28"/>
                                <w:szCs w:val="28"/>
                              </w:rPr>
                              <w:t>Số: 1054 /QĐ-UBND</w:t>
                            </w:r>
                          </w:p>
                        </w:txbxContent>
                      </wps:txbx>
                      <wps:bodyPr wrap="none" lIns="0" tIns="0" rIns="0" bIns="0"/>
                    </wps:wsp>
                  </a:graphicData>
                </a:graphic>
              </wp:anchor>
            </w:drawing>
          </mc:Choice>
          <mc:Fallback>
            <w:pict>
              <v:shapetype w14:anchorId="5BF01D9F" id="_x0000_t202" coordsize="21600,21600" o:spt="202" path="m,l,21600r21600,l21600,xe">
                <v:stroke joinstyle="miter"/>
                <v:path gradientshapeok="t" o:connecttype="rect"/>
              </v:shapetype>
              <v:shape id="Shape 1" o:spid="_x0000_s1026" type="#_x0000_t202" style="position:absolute;left:0;text-align:left;margin-left:102.4pt;margin-top:1pt;width:125.05pt;height:18.5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" filled="f" stroked="f">
                <v:textbox inset="0,0,0,0">
                  <w:txbxContent>
                    <w:p w14:paraId="0AFD5111" w14:textId="77777777" w:rsidR="00EF576D" w:rsidRDefault="00000000">
                      <w:pPr>
                        <w:pStyle w:val="Vnbnnidung0"/>
                        <w:spacing w:after="0"/>
                        <w:ind w:firstLine="0"/>
                        <w:rPr>
                          <w:sz w:val="28"/>
                          <w:szCs w:val="28"/>
                        </w:rPr>
                      </w:pPr>
                      <w:r>
                        <w:rPr>
                          <w:i w:val="0"/>
                          <w:iCs w:val="0"/>
                          <w:sz w:val="28"/>
                          <w:szCs w:val="28"/>
                        </w:rPr>
                        <w:t>Số: 1054 /QĐ-UBND</w:t>
                      </w:r>
                    </w:p>
                  </w:txbxContent>
                </v:textbox>
                <w10:wrap type="square" side="right" anchorx="page"/>
              </v:shape>
            </w:pict>
          </mc:Fallback>
        </mc:AlternateContent>
      </w:r>
      <w:r>
        <w:rPr>
          <w:color w:val="000000"/>
        </w:rPr>
        <w:t>Quảng Ninh, ngày 04 thảng 4 năm 2025</w:t>
      </w:r>
    </w:p>
    <w:p w14:paraId="39444F0A" w14:textId="77777777" w:rsidR="00EF576D" w:rsidRDefault="00000000">
      <w:pPr>
        <w:pStyle w:val="Vnbnnidung0"/>
        <w:spacing w:after="0"/>
        <w:ind w:firstLine="0"/>
        <w:jc w:val="center"/>
        <w:rPr>
          <w:sz w:val="28"/>
          <w:szCs w:val="28"/>
        </w:rPr>
      </w:pPr>
      <w:r>
        <w:rPr>
          <w:b/>
          <w:bCs/>
          <w:i w:val="0"/>
          <w:iCs w:val="0"/>
          <w:color w:val="000000"/>
          <w:sz w:val="28"/>
          <w:szCs w:val="28"/>
        </w:rPr>
        <w:t>QUYẾT ĐỊNH</w:t>
      </w:r>
    </w:p>
    <w:p w14:paraId="0C98FE9D" w14:textId="77777777" w:rsidR="00EF576D" w:rsidRDefault="00000000">
      <w:pPr>
        <w:pStyle w:val="Vnbnnidung0"/>
        <w:spacing w:after="660"/>
        <w:ind w:firstLine="0"/>
        <w:jc w:val="center"/>
        <w:rPr>
          <w:sz w:val="28"/>
          <w:szCs w:val="28"/>
        </w:rPr>
      </w:pPr>
      <w:r>
        <w:rPr>
          <w:b/>
          <w:bCs/>
          <w:i w:val="0"/>
          <w:iCs w:val="0"/>
          <w:color w:val="000000"/>
          <w:sz w:val="28"/>
          <w:szCs w:val="28"/>
        </w:rPr>
        <w:t>về việc xếp hạng di tích cấp tỉnh</w:t>
      </w:r>
    </w:p>
    <w:p w14:paraId="646C878D" w14:textId="77777777" w:rsidR="00EF576D" w:rsidRDefault="00000000">
      <w:pPr>
        <w:pStyle w:val="Vnbnnidung0"/>
        <w:spacing w:after="480"/>
        <w:ind w:firstLine="0"/>
        <w:jc w:val="center"/>
        <w:rPr>
          <w:sz w:val="28"/>
          <w:szCs w:val="28"/>
        </w:rPr>
      </w:pPr>
      <w:r>
        <w:rPr>
          <w:b/>
          <w:bCs/>
          <w:i w:val="0"/>
          <w:iCs w:val="0"/>
          <w:color w:val="000000"/>
          <w:sz w:val="28"/>
          <w:szCs w:val="28"/>
        </w:rPr>
        <w:t>CHỦ TỊCH ỦY BAN NHÂN DÂN TỈNH QUẢNG NINH</w:t>
      </w:r>
    </w:p>
    <w:p w14:paraId="3299271B" w14:textId="77777777" w:rsidR="00EF576D" w:rsidRDefault="00000000">
      <w:pPr>
        <w:pStyle w:val="Vnbnnidung0"/>
        <w:spacing w:line="262" w:lineRule="auto"/>
        <w:ind w:firstLine="860"/>
        <w:jc w:val="both"/>
      </w:pPr>
      <w:r>
        <w:t>Căn cứ Luật Tố chức chính quyền địa phương năm 2025;</w:t>
      </w:r>
    </w:p>
    <w:p w14:paraId="387E0C74" w14:textId="77777777" w:rsidR="00EF576D" w:rsidRDefault="00000000">
      <w:pPr>
        <w:pStyle w:val="Vnbnnidung0"/>
        <w:spacing w:line="259" w:lineRule="auto"/>
        <w:ind w:firstLine="860"/>
        <w:jc w:val="both"/>
      </w:pPr>
      <w:r>
        <w:t>Căn cứ Luật di sản văn hóa năm 2001; Luật sửa đối, bố sung một sổ điều của Luật di sản văn hóa năm 2009;</w:t>
      </w:r>
    </w:p>
    <w:p w14:paraId="56B08938" w14:textId="77777777" w:rsidR="00EF576D" w:rsidRDefault="00000000">
      <w:pPr>
        <w:pStyle w:val="Vnbnnidung0"/>
        <w:spacing w:line="259" w:lineRule="auto"/>
        <w:ind w:firstLine="860"/>
        <w:jc w:val="both"/>
      </w:pPr>
      <w:r>
        <w:t>Căn cứ Nghị định sổ 98/NĐ-CP ngày 21/9/2010 của Chính phủ quy định chi tỉêt thi hành một sô điêu của Luật di sản văn hóa và Luật sửa đôi, bố sung một sô điêu của Luật di sản văn hóa;</w:t>
      </w:r>
    </w:p>
    <w:p w14:paraId="4D8D0355" w14:textId="77777777" w:rsidR="00EF576D" w:rsidRDefault="00000000">
      <w:pPr>
        <w:pStyle w:val="Vnbnnidung0"/>
        <w:spacing w:line="264" w:lineRule="auto"/>
        <w:ind w:firstLine="860"/>
        <w:jc w:val="both"/>
      </w:pPr>
      <w:r>
        <w:t>Căn cứ Thông tư số 09/2011/TT-BVHTTDL ngày 14/7/2011 của Bộ Văn hỏa, Thế thao và Du lịch quy định nội dung hồ sơ khoa học để xếp hạng di tích lịch sử - văn hóa và danh lam thắng cảnh; Thông tư sổ 18/2022/TT-BVHTTDL ngày 28/12/2022 của Bộ Văn hóa, Thế thao và Du lịch về sửa đối, bố sung một số điều của Thông tư 09/TT-BVHTTDL ngày 14/7/2011;</w:t>
      </w:r>
    </w:p>
    <w:p w14:paraId="35C5B37D" w14:textId="77777777" w:rsidR="00EF576D" w:rsidRDefault="00000000">
      <w:pPr>
        <w:pStyle w:val="Vnbnnidung0"/>
        <w:spacing w:after="480" w:line="262" w:lineRule="auto"/>
        <w:ind w:firstLine="860"/>
        <w:jc w:val="both"/>
      </w:pPr>
      <w:r>
        <w:t>Theo đề nghị của Sở Văn hóa, Thể thao và Du lịch tại Tờ trĩnh số 243/TTr-SVHTT ngày 03/4/2025 và Báo cáo sổ 516/BC-SVHTTDL ngày 03/4/2025 kết quả họp Hội đồng xét duyệt và hoàn thiện hồ sơ khoa học để xếp hạng di tích cấp tỉnh trên địa bàn tỉnh Quảng Ninh.</w:t>
      </w:r>
    </w:p>
    <w:p w14:paraId="7C83938E" w14:textId="77777777" w:rsidR="00EF576D" w:rsidRDefault="00000000">
      <w:pPr>
        <w:pStyle w:val="Vnbnnidung0"/>
        <w:spacing w:after="480"/>
        <w:ind w:firstLine="0"/>
        <w:jc w:val="center"/>
        <w:rPr>
          <w:sz w:val="28"/>
          <w:szCs w:val="28"/>
        </w:rPr>
      </w:pPr>
      <w:r>
        <w:rPr>
          <w:b/>
          <w:bCs/>
          <w:i w:val="0"/>
          <w:iCs w:val="0"/>
          <w:sz w:val="28"/>
          <w:szCs w:val="28"/>
        </w:rPr>
        <w:t>QUYẾT ĐỊNH:</w:t>
      </w:r>
    </w:p>
    <w:p w14:paraId="5EC0A3EC" w14:textId="77777777" w:rsidR="00EF576D" w:rsidRDefault="00000000">
      <w:pPr>
        <w:pStyle w:val="Vnbnnidung0"/>
        <w:spacing w:after="0" w:line="305" w:lineRule="auto"/>
        <w:ind w:firstLine="840"/>
        <w:jc w:val="both"/>
        <w:rPr>
          <w:sz w:val="28"/>
          <w:szCs w:val="28"/>
        </w:rPr>
      </w:pPr>
      <w:r>
        <w:rPr>
          <w:b/>
          <w:bCs/>
          <w:i w:val="0"/>
          <w:iCs w:val="0"/>
          <w:color w:val="000000"/>
          <w:sz w:val="28"/>
          <w:szCs w:val="28"/>
        </w:rPr>
        <w:t xml:space="preserve">Điều 1. </w:t>
      </w:r>
      <w:r>
        <w:rPr>
          <w:i w:val="0"/>
          <w:iCs w:val="0"/>
          <w:color w:val="000000"/>
          <w:sz w:val="28"/>
          <w:szCs w:val="28"/>
        </w:rPr>
        <w:t>xếp hạng di tích cấp tỉnh đối với:</w:t>
      </w:r>
    </w:p>
    <w:p w14:paraId="1F5D7FF6" w14:textId="77777777" w:rsidR="00EF576D" w:rsidRDefault="00000000">
      <w:pPr>
        <w:pStyle w:val="Vnbnnidung0"/>
        <w:spacing w:after="0" w:line="305" w:lineRule="auto"/>
        <w:ind w:firstLine="0"/>
        <w:jc w:val="center"/>
        <w:rPr>
          <w:sz w:val="28"/>
          <w:szCs w:val="28"/>
        </w:rPr>
      </w:pPr>
      <w:r>
        <w:rPr>
          <w:i w:val="0"/>
          <w:iCs w:val="0"/>
          <w:color w:val="000000"/>
          <w:sz w:val="28"/>
          <w:szCs w:val="28"/>
        </w:rPr>
        <w:t>DI TÍCH LỊCH sử</w:t>
      </w:r>
      <w:r>
        <w:rPr>
          <w:i w:val="0"/>
          <w:iCs w:val="0"/>
          <w:color w:val="000000"/>
          <w:sz w:val="28"/>
          <w:szCs w:val="28"/>
        </w:rPr>
        <w:br/>
      </w:r>
      <w:r>
        <w:rPr>
          <w:b/>
          <w:bCs/>
          <w:i w:val="0"/>
          <w:iCs w:val="0"/>
          <w:color w:val="000000"/>
          <w:sz w:val="28"/>
          <w:szCs w:val="28"/>
        </w:rPr>
        <w:t>ĐÈN, CHÙA KÊNH GIANG</w:t>
      </w:r>
    </w:p>
    <w:p w14:paraId="6102B112" w14:textId="77777777" w:rsidR="00EF576D" w:rsidRDefault="00000000">
      <w:pPr>
        <w:pStyle w:val="Vnbnnidung0"/>
        <w:spacing w:after="0" w:line="305" w:lineRule="auto"/>
        <w:ind w:firstLine="0"/>
        <w:jc w:val="center"/>
        <w:rPr>
          <w:sz w:val="28"/>
          <w:szCs w:val="28"/>
        </w:rPr>
      </w:pPr>
      <w:r>
        <w:rPr>
          <w:b/>
          <w:bCs/>
          <w:color w:val="000000"/>
          <w:sz w:val="28"/>
          <w:szCs w:val="28"/>
        </w:rPr>
        <w:t>Xã Nguyễn Huệ, thành pho Đông Triều, tình Quảng Ninh</w:t>
      </w:r>
    </w:p>
    <w:p w14:paraId="3F4FDBED" w14:textId="77777777" w:rsidR="00EF576D" w:rsidRDefault="00000000">
      <w:pPr>
        <w:pStyle w:val="Vnbnnidung0"/>
        <w:ind w:firstLine="860"/>
        <w:jc w:val="both"/>
        <w:rPr>
          <w:sz w:val="28"/>
          <w:szCs w:val="28"/>
        </w:rPr>
      </w:pPr>
      <w:r>
        <w:rPr>
          <w:i w:val="0"/>
          <w:iCs w:val="0"/>
          <w:color w:val="000000"/>
          <w:sz w:val="28"/>
          <w:szCs w:val="28"/>
        </w:rPr>
        <w:t>Khu vực bảo vệ di tích được xác định theo Biên bản và Bản đồ khoanh vùng bảo vệ di tích trong hồ sơ.</w:t>
      </w:r>
    </w:p>
    <w:p w14:paraId="75B4EB83" w14:textId="77777777" w:rsidR="00EF576D" w:rsidRDefault="00000000">
      <w:pPr>
        <w:pStyle w:val="Vnbnnidung0"/>
        <w:ind w:firstLine="860"/>
        <w:jc w:val="both"/>
        <w:rPr>
          <w:sz w:val="28"/>
          <w:szCs w:val="28"/>
        </w:rPr>
      </w:pPr>
      <w:r>
        <w:rPr>
          <w:b/>
          <w:bCs/>
          <w:i w:val="0"/>
          <w:iCs w:val="0"/>
          <w:color w:val="000000"/>
          <w:sz w:val="28"/>
          <w:szCs w:val="28"/>
        </w:rPr>
        <w:t xml:space="preserve">Điều 2. </w:t>
      </w:r>
      <w:r>
        <w:rPr>
          <w:i w:val="0"/>
          <w:iCs w:val="0"/>
          <w:color w:val="000000"/>
          <w:sz w:val="28"/>
          <w:szCs w:val="28"/>
        </w:rPr>
        <w:t>Nghiêm cấm mọi hoạt động xây dựng, khai thác trong khu vực khoanh vùng bảo vệ di tích. Trường họp đặc biệt phải sử dụng đất đai tại khu vực di tích đã khoanh vùng bảo vệ phải được phép của ủy ban nhân dân tỉnh.</w:t>
      </w:r>
    </w:p>
    <w:p w14:paraId="38BBE751" w14:textId="77777777" w:rsidR="00EF576D" w:rsidRDefault="00000000">
      <w:pPr>
        <w:pStyle w:val="Vnbnnidung0"/>
        <w:ind w:firstLine="860"/>
        <w:jc w:val="both"/>
        <w:rPr>
          <w:sz w:val="28"/>
          <w:szCs w:val="28"/>
        </w:rPr>
      </w:pPr>
      <w:r>
        <w:rPr>
          <w:i w:val="0"/>
          <w:iCs w:val="0"/>
          <w:color w:val="000000"/>
          <w:sz w:val="28"/>
          <w:szCs w:val="28"/>
        </w:rPr>
        <w:t>ủy ban nhân dân các cấp nơi có di tích được xếp hạng tại Điều 1 Quyết định này trong phạm vi nhiệm vụ và quyền hạn của mình thực hiện việc quản lý nhà nước đối với di tích theo quy định của pháp luật về di sản vãn hóa.</w:t>
      </w:r>
      <w:r>
        <w:br w:type="page"/>
      </w:r>
    </w:p>
    <w:p w14:paraId="1BA5E977" w14:textId="77777777" w:rsidR="00EF576D" w:rsidRDefault="00000000">
      <w:pPr>
        <w:pStyle w:val="Vnbnnidung0"/>
        <w:spacing w:after="80"/>
        <w:ind w:firstLine="840"/>
        <w:rPr>
          <w:sz w:val="28"/>
          <w:szCs w:val="28"/>
        </w:rPr>
      </w:pPr>
      <w:r>
        <w:rPr>
          <w:b/>
          <w:bCs/>
          <w:i w:val="0"/>
          <w:iCs w:val="0"/>
          <w:sz w:val="28"/>
          <w:szCs w:val="28"/>
        </w:rPr>
        <w:lastRenderedPageBreak/>
        <w:t xml:space="preserve">Điều 3. </w:t>
      </w:r>
      <w:r>
        <w:rPr>
          <w:i w:val="0"/>
          <w:iCs w:val="0"/>
          <w:sz w:val="28"/>
          <w:szCs w:val="28"/>
        </w:rPr>
        <w:t>Quyết định này có hiệu lực kể từ ngày ký ban hành.</w:t>
      </w:r>
    </w:p>
    <w:p w14:paraId="46FA484E" w14:textId="77777777" w:rsidR="00EF576D" w:rsidRDefault="00000000">
      <w:pPr>
        <w:pStyle w:val="Vnbnnidung0"/>
        <w:spacing w:after="520"/>
        <w:ind w:firstLine="840"/>
        <w:rPr>
          <w:sz w:val="28"/>
          <w:szCs w:val="28"/>
        </w:rPr>
      </w:pPr>
      <w:r>
        <w:rPr>
          <w:i w:val="0"/>
          <w:iCs w:val="0"/>
          <w:sz w:val="28"/>
          <w:szCs w:val="28"/>
        </w:rPr>
        <w:t xml:space="preserve">Chánh Văn phòng ủy ban nhân dân tỉnh, Giám đốc Sở Văn hóa, Thể thao và Du lịch, Chủ tịch ủy ban nhân dân thành phố Đông Triều, Chủ tịch ủy ban nhân dân xã Nguyễn Huệ và Thủ trưởng các cơ quan có liên quan căn cứ quyết định thi </w:t>
      </w:r>
      <w:r>
        <w:rPr>
          <w:i w:val="0"/>
          <w:iCs w:val="0"/>
          <w:color w:val="1A1B43"/>
          <w:sz w:val="28"/>
          <w:szCs w:val="28"/>
        </w:rPr>
        <w:t>hành./.ệx</w:t>
      </w:r>
    </w:p>
    <w:p w14:paraId="0AB4BC85" w14:textId="77777777" w:rsidR="00EF576D" w:rsidRDefault="00000000">
      <w:pPr>
        <w:pStyle w:val="Vnbnnidung0"/>
        <w:spacing w:after="0" w:line="221" w:lineRule="auto"/>
        <w:ind w:firstLine="0"/>
        <w:rPr>
          <w:sz w:val="24"/>
          <w:szCs w:val="24"/>
        </w:rPr>
      </w:pPr>
      <w:r>
        <w:rPr>
          <w:b/>
          <w:bCs/>
          <w:sz w:val="24"/>
          <w:szCs w:val="24"/>
        </w:rPr>
        <w:t>Nơi nhận:</w:t>
      </w:r>
    </w:p>
    <w:p w14:paraId="52B0E82C" w14:textId="77777777" w:rsidR="00EF576D" w:rsidRDefault="00000000">
      <w:pPr>
        <w:pStyle w:val="Vnbnnidung20"/>
      </w:pPr>
      <w:r>
        <w:t>-NhưĐiều 3;</w:t>
      </w:r>
    </w:p>
    <w:p w14:paraId="67C7C01E" w14:textId="77777777" w:rsidR="00EF576D" w:rsidRDefault="00000000">
      <w:pPr>
        <w:pStyle w:val="Vnbnnidung20"/>
        <w:numPr>
          <w:ilvl w:val="0"/>
          <w:numId w:val="1"/>
        </w:numPr>
        <w:tabs>
          <w:tab w:val="left" w:pos="258"/>
        </w:tabs>
      </w:pPr>
      <w:bookmarkStart w:id="0" w:name="bookmark0"/>
      <w:bookmarkEnd w:id="0"/>
      <w:r>
        <w:t>Chủ tịch, các PCT. UBND tinh;</w:t>
      </w:r>
    </w:p>
    <w:p w14:paraId="75221A75" w14:textId="77777777" w:rsidR="00EF576D" w:rsidRDefault="00000000">
      <w:pPr>
        <w:pStyle w:val="Vnbnnidung20"/>
        <w:numPr>
          <w:ilvl w:val="0"/>
          <w:numId w:val="1"/>
        </w:numPr>
        <w:tabs>
          <w:tab w:val="left" w:pos="258"/>
        </w:tabs>
      </w:pPr>
      <w:bookmarkStart w:id="1" w:name="bookmark1"/>
      <w:bookmarkEnd w:id="1"/>
      <w:r>
        <w:t>Bộ VHTTDL (báo cáo);</w:t>
      </w:r>
    </w:p>
    <w:p w14:paraId="385DF95C" w14:textId="77777777" w:rsidR="00EF576D" w:rsidRDefault="00000000">
      <w:pPr>
        <w:pStyle w:val="Vnbnnidung20"/>
        <w:numPr>
          <w:ilvl w:val="0"/>
          <w:numId w:val="1"/>
        </w:numPr>
        <w:tabs>
          <w:tab w:val="left" w:pos="258"/>
        </w:tabs>
      </w:pPr>
      <w:bookmarkStart w:id="2" w:name="bookmark2"/>
      <w:bookmarkEnd w:id="2"/>
      <w:r>
        <w:t>Ban Tuyên giáo và Dân vận Tỉnh ủy;</w:t>
      </w:r>
    </w:p>
    <w:p w14:paraId="083405D5" w14:textId="77777777" w:rsidR="00EF576D" w:rsidRDefault="00000000">
      <w:pPr>
        <w:pStyle w:val="Vnbnnidung20"/>
        <w:numPr>
          <w:ilvl w:val="0"/>
          <w:numId w:val="1"/>
        </w:numPr>
        <w:tabs>
          <w:tab w:val="left" w:pos="262"/>
        </w:tabs>
      </w:pPr>
      <w:bookmarkStart w:id="3" w:name="bookmark3"/>
      <w:bookmarkEnd w:id="3"/>
      <w:r>
        <w:t>Các Sở: Xây dựng, NN&amp;MT, KH&amp;CN, DT&amp;TG;</w:t>
      </w:r>
    </w:p>
    <w:p w14:paraId="4ED073D3" w14:textId="77777777" w:rsidR="00EF576D" w:rsidRDefault="00000000">
      <w:pPr>
        <w:pStyle w:val="Vnbnnidung20"/>
        <w:numPr>
          <w:ilvl w:val="0"/>
          <w:numId w:val="1"/>
        </w:numPr>
        <w:tabs>
          <w:tab w:val="left" w:pos="258"/>
        </w:tabs>
      </w:pPr>
      <w:bookmarkStart w:id="4" w:name="bookmark4"/>
      <w:bookmarkEnd w:id="4"/>
      <w:r>
        <w:t>VO, VI-4;</w:t>
      </w:r>
    </w:p>
    <w:p w14:paraId="2DF84F61" w14:textId="77777777" w:rsidR="00EF576D" w:rsidRDefault="00000000">
      <w:pPr>
        <w:pStyle w:val="Vnbnnidung20"/>
      </w:pPr>
      <w:r>
        <w:t>-Lưu VT, VX1;</w:t>
      </w:r>
    </w:p>
    <w:p w14:paraId="2A09FB08" w14:textId="77777777" w:rsidR="00EF576D" w:rsidRDefault="00000000">
      <w:pPr>
        <w:pStyle w:val="Vnbnnidung20"/>
        <w:ind w:left="1560"/>
      </w:pPr>
      <w:r>
        <w:rPr>
          <w:noProof/>
        </w:rPr>
        <w:drawing>
          <wp:anchor distT="0" distB="0" distL="114300" distR="114300" simplePos="0" relativeHeight="125829380" behindDoc="0" locked="0" layoutInCell="1" allowOverlap="1" wp14:anchorId="057E30CC" wp14:editId="5522ACD1">
            <wp:simplePos x="0" y="0"/>
            <wp:positionH relativeFrom="page">
              <wp:posOffset>3639820</wp:posOffset>
            </wp:positionH>
            <wp:positionV relativeFrom="margin">
              <wp:posOffset>1438910</wp:posOffset>
            </wp:positionV>
            <wp:extent cx="3425825" cy="1682750"/>
            <wp:effectExtent l="0" t="0" r="0" b="0"/>
            <wp:wrapSquare wrapText="bothSides"/>
            <wp:docPr id="3" name="Shape 3"/>
            <wp:cNvGraphicFramePr/>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7"/>
                    <a:stretch/>
                  </pic:blipFill>
                  <pic:spPr>
                    <a:xfrm>
                      <a:off x="0" y="0"/>
                      <a:ext cx="3425825" cy="1682750"/>
                    </a:xfrm>
                    <a:prstGeom prst="rect">
                      <a:avLst/>
                    </a:prstGeom>
                  </pic:spPr>
                </pic:pic>
              </a:graphicData>
            </a:graphic>
          </wp:anchor>
        </w:drawing>
      </w:r>
      <w:r>
        <w:t>12Ò-QĐ21</w:t>
      </w:r>
    </w:p>
    <w:sectPr w:rsidR="00EF576D">
      <w:headerReference w:type="even" r:id="rId8"/>
      <w:headerReference w:type="default" r:id="rId9"/>
      <w:pgSz w:w="11900" w:h="16840"/>
      <w:pgMar w:top="988" w:right="1111" w:bottom="699" w:left="1602" w:header="0"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AFD6B" w14:textId="77777777" w:rsidR="00144FDA" w:rsidRDefault="00144FDA">
      <w:r>
        <w:separator/>
      </w:r>
    </w:p>
  </w:endnote>
  <w:endnote w:type="continuationSeparator" w:id="0">
    <w:p w14:paraId="4C71BBE4" w14:textId="77777777" w:rsidR="00144FDA" w:rsidRDefault="00144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696CD" w14:textId="77777777" w:rsidR="00144FDA" w:rsidRDefault="00144FDA"/>
  </w:footnote>
  <w:footnote w:type="continuationSeparator" w:id="0">
    <w:p w14:paraId="4E7BD16E" w14:textId="77777777" w:rsidR="00144FDA" w:rsidRDefault="00144F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79B7" w14:textId="77777777" w:rsidR="00EF576D" w:rsidRDefault="00000000">
    <w:pPr>
      <w:spacing w:line="1" w:lineRule="exact"/>
    </w:pPr>
    <w:r>
      <w:rPr>
        <w:noProof/>
      </w:rPr>
      <mc:AlternateContent>
        <mc:Choice Requires="wps">
          <w:drawing>
            <wp:anchor distT="0" distB="0" distL="0" distR="0" simplePos="0" relativeHeight="62914690" behindDoc="1" locked="0" layoutInCell="1" allowOverlap="1" wp14:anchorId="3D8018DC" wp14:editId="764688DC">
              <wp:simplePos x="0" y="0"/>
              <wp:positionH relativeFrom="page">
                <wp:posOffset>3883660</wp:posOffset>
              </wp:positionH>
              <wp:positionV relativeFrom="page">
                <wp:posOffset>200660</wp:posOffset>
              </wp:positionV>
              <wp:extent cx="76200" cy="128270"/>
              <wp:effectExtent l="0" t="0" r="0" b="0"/>
              <wp:wrapNone/>
              <wp:docPr id="5" name="Shape 5"/>
              <wp:cNvGraphicFramePr/>
              <a:graphic xmlns:a="http://schemas.openxmlformats.org/drawingml/2006/main">
                <a:graphicData uri="http://schemas.microsoft.com/office/word/2010/wordprocessingShape">
                  <wps:wsp>
                    <wps:cNvSpPr txBox="1"/>
                    <wps:spPr>
                      <a:xfrm>
                        <a:off x="0" y="0"/>
                        <a:ext cx="76200" cy="128270"/>
                      </a:xfrm>
                      <a:prstGeom prst="rect">
                        <a:avLst/>
                      </a:prstGeom>
                      <a:noFill/>
                    </wps:spPr>
                    <wps:txbx>
                      <w:txbxContent>
                        <w:p w14:paraId="003AF741" w14:textId="77777777" w:rsidR="00EF576D" w:rsidRDefault="00000000">
                          <w:pPr>
                            <w:pStyle w:val="utranghocchntrang20"/>
                            <w:rPr>
                              <w:sz w:val="28"/>
                              <w:szCs w:val="28"/>
                            </w:rPr>
                          </w:pPr>
                          <w:r>
                            <w:rPr>
                              <w:sz w:val="28"/>
                              <w:szCs w:val="28"/>
                            </w:rPr>
                            <w:t>2</w:t>
                          </w:r>
                        </w:p>
                      </w:txbxContent>
                    </wps:txbx>
                    <wps:bodyPr wrap="none" lIns="0" tIns="0" rIns="0" bIns="0">
                      <a:spAutoFit/>
                    </wps:bodyPr>
                  </wps:wsp>
                </a:graphicData>
              </a:graphic>
            </wp:anchor>
          </w:drawing>
        </mc:Choice>
        <mc:Fallback>
          <w:pict>
            <v:shapetype w14:anchorId="3D8018DC" id="_x0000_t202" coordsize="21600,21600" o:spt="202" path="m,l,21600r21600,l21600,xe">
              <v:stroke joinstyle="miter"/>
              <v:path gradientshapeok="t" o:connecttype="rect"/>
            </v:shapetype>
            <v:shape id="Shape 5" o:spid="_x0000_s1027" type="#_x0000_t202" style="position:absolute;margin-left:305.8pt;margin-top:15.8pt;width:6pt;height:10.1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" filled="f" stroked="f">
              <v:textbox style="mso-fit-shape-to-text:t" inset="0,0,0,0">
                <w:txbxContent>
                  <w:p w14:paraId="003AF741" w14:textId="77777777" w:rsidR="00EF576D" w:rsidRDefault="00000000">
                    <w:pPr>
                      <w:pStyle w:val="utranghocchntrang20"/>
                      <w:rPr>
                        <w:sz w:val="28"/>
                        <w:szCs w:val="28"/>
                      </w:rPr>
                    </w:pPr>
                    <w:r>
                      <w:rPr>
                        <w:sz w:val="28"/>
                        <w:szCs w:val="28"/>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5181" w14:textId="77777777" w:rsidR="00EF576D" w:rsidRDefault="00EF576D">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3767D"/>
    <w:multiLevelType w:val="multilevel"/>
    <w:tmpl w:val="37087FFA"/>
    <w:lvl w:ilvl="0">
      <w:start w:val="1"/>
      <w:numFmt w:val="bullet"/>
      <w:lvlText w:val="-"/>
      <w:lvlJc w:val="left"/>
      <w:rPr>
        <w:rFonts w:ascii="Times New Roman" w:eastAsia="Times New Roman" w:hAnsi="Times New Roman" w:cs="Times New Roman"/>
        <w:b w:val="0"/>
        <w:bCs w:val="0"/>
        <w:i w:val="0"/>
        <w:iCs w:val="0"/>
        <w:smallCaps w:val="0"/>
        <w:strike w:val="0"/>
        <w:color w:val="15151A"/>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88537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76D"/>
    <w:rsid w:val="00144FDA"/>
    <w:rsid w:val="00CA54F1"/>
    <w:rsid w:val="00DA24FA"/>
    <w:rsid w:val="00EF5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71D6"/>
  <w15:docId w15:val="{41230465-E94F-4C62-BBAF-5B78189DE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iCs/>
      <w:smallCaps w:val="0"/>
      <w:strike w:val="0"/>
      <w:color w:val="15151A"/>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color w:val="15151A"/>
      <w:sz w:val="20"/>
      <w:szCs w:val="20"/>
      <w:u w:val="none"/>
      <w:shd w:val="clear" w:color="auto" w:fill="auto"/>
    </w:rPr>
  </w:style>
  <w:style w:type="paragraph" w:customStyle="1" w:styleId="Vnbnnidung0">
    <w:name w:val="Văn bản nội dung"/>
    <w:basedOn w:val="Normal"/>
    <w:link w:val="Vnbnnidung"/>
    <w:pPr>
      <w:spacing w:after="60"/>
      <w:ind w:firstLine="400"/>
    </w:pPr>
    <w:rPr>
      <w:rFonts w:ascii="Times New Roman" w:eastAsia="Times New Roman" w:hAnsi="Times New Roman" w:cs="Times New Roman"/>
      <w:i/>
      <w:iCs/>
      <w:color w:val="15151A"/>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spacing w:line="266" w:lineRule="auto"/>
    </w:pPr>
    <w:rPr>
      <w:rFonts w:ascii="Times New Roman" w:eastAsia="Times New Roman" w:hAnsi="Times New Roman" w:cs="Times New Roman"/>
      <w:color w:val="15151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347</Words>
  <Characters>1978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Kubo Nagisa</cp:lastModifiedBy>
  <cp:revision>2</cp:revision>
  <dcterms:created xsi:type="dcterms:W3CDTF">2026-07-20T02:25:00Z</dcterms:created>
  <dcterms:modified xsi:type="dcterms:W3CDTF">2026-07-20T02:26:00Z</dcterms:modified>
</cp:coreProperties>
</file>