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0">
            <w:r>
              <w:rPr>
                <w:webHidden/>
                <w:rStyle w:val="Odkaznaregister"/>
              </w:rPr>
              <w:t>Štruktúra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Integrácia – aplikovanie zvolených technológií a postupov pre dosiahnutie žiadaného výsledku, zlučovanie prvkov multimediálneho obsahu do kohézneho celku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3" w:name="_Toc21550170"/>
      <w:r>
        <w:rPr>
          <w:color w:val="000000" w:themeColor="text1"/>
        </w:rPr>
        <w:t>Štruktúra</w:t>
      </w:r>
      <w:bookmarkEnd w:id="3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3b - návrh ​všetkých ​obrazoviek a štruktúry web stránky</w:t>
      </w:r>
    </w:p>
    <w:p>
      <w:pPr>
        <w:pStyle w:val="Normal"/>
        <w:jc w:val="both"/>
        <w:rPr>
          <w:color w:val="000000" w:themeColor="text1"/>
        </w:rPr>
      </w:pPr>
      <w:r>
        <w:rPr/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  <w:t>1b - návrh navigačného dizajnu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5700224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Pt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 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Application>LibreOffice/6.2.6.2$Linux_X86_64 LibreOffice_project/20$Build-2</Application>
  <Pages>14</Pages>
  <Words>545</Words>
  <Characters>3588</Characters>
  <CharactersWithSpaces>4076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2019-10-11T18:50:32Z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