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Нодири Хисравхон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P3131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980565" cy="7804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Формирование личного финансового плана</w:t>
      </w:r>
    </w:p>
    <w:p>
      <w:pPr>
        <w:pStyle w:val="Normal"/>
        <w:shd w:val="clear" w:fill="FFFFFF"/>
        <w:spacing w:lineRule="auto" w:line="240" w:before="120"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1.1 Личный финансовый план на год</w:t>
      </w:r>
    </w:p>
    <w:tbl>
      <w:tblPr>
        <w:tblStyle w:val="Table1"/>
        <w:tblW w:w="9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38"/>
        <w:gridCol w:w="1625"/>
        <w:gridCol w:w="1789"/>
        <w:gridCol w:w="1848"/>
        <w:gridCol w:w="1703"/>
      </w:tblGrid>
      <w:tr>
        <w:trPr>
          <w:trHeight w:val="375" w:hRule="atLeast"/>
        </w:trPr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>
        <w:trPr>
          <w:trHeight w:val="375" w:hRule="atLeast"/>
        </w:trPr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 2 полугодии</w:t>
            </w:r>
          </w:p>
        </w:tc>
      </w:tr>
      <w:tr>
        <w:trPr>
          <w:trHeight w:val="375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Каникулы на море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120000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6 месяцев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120000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Новый ноутбук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60000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 месяцев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30000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30000</w:t>
            </w:r>
          </w:p>
        </w:tc>
      </w:tr>
      <w:tr>
        <w:trPr>
          <w:trHeight w:val="375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Путешествие в Европу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240000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 месяцев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120000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120000</w:t>
            </w:r>
          </w:p>
        </w:tc>
      </w:tr>
      <w:tr>
        <w:trPr>
          <w:trHeight w:val="375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420000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30 месяцев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270000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150000</w:t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Комментарий: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Исходя из приведённой выше таблицы, мы видим, что для достижения заданных целей необходимо ежемесячно накапливать 95,000 рублей. Суммы, выделенные на каждую из целей, распределены таким образом, чтобы обеспечить выполнение плана в установленные сроки. Например, для отпуска на море, который планируется через 6 месяцев, каждый месяц откладывается 20,000 рублей.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Анализ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2.1.1 Учет расходов за неделю. Базовый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Table2"/>
        <w:tblW w:w="3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11"/>
        <w:gridCol w:w="1185"/>
      </w:tblGrid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Аренда жилья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интернет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мобильную связь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Проездной на общественный транспорт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Продукты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Одежда и обувь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Развлечения (кино, кафе и т.д.)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Фитнес-клуб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Непредвиденные расходы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17000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2.1.2 Учет расходов за неделю. Продвинутый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3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11"/>
        <w:gridCol w:w="1726"/>
        <w:gridCol w:w="1126"/>
        <w:gridCol w:w="1680"/>
        <w:gridCol w:w="948"/>
        <w:gridCol w:w="956"/>
        <w:gridCol w:w="1302"/>
      </w:tblGrid>
      <w:tr>
        <w:trPr>
          <w:trHeight w:val="1055" w:hRule="atLeast"/>
        </w:trPr>
        <w:tc>
          <w:tcPr>
            <w:tcW w:w="1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 по группе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>
        <w:trPr>
          <w:trHeight w:val="854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5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группе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Жилье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Аренда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Коммунальнаые услуги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Свет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Вода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77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Продукты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5000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Транспорт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Проездной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Такси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40%</w:t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Развлечения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Кино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9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100%</w:t>
            </w:r>
          </w:p>
        </w:tc>
      </w:tr>
      <w:tr>
        <w:trPr>
          <w:trHeight w:val="515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Кафе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95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12%</w:t>
            </w:r>
          </w:p>
        </w:tc>
      </w:tr>
      <w:tr>
        <w:trPr>
          <w:trHeight w:val="6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22000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3000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2.2. План расходов на следующий месяц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ды на следующий месяц (....). Базовый уровень.</w:t>
      </w:r>
    </w:p>
    <w:tbl>
      <w:tblPr>
        <w:tblStyle w:val="Table4"/>
        <w:tblW w:w="57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75"/>
        <w:gridCol w:w="962"/>
      </w:tblGrid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Аренда жилья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интернет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мобильную связь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/>
              <w:t>Проездной на общественный транспорт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Продукты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Одежда и обувь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1500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Развлечения (кино, кафе и т.д.)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Фитнес-клуб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Непредвиденные расходы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13800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на следующий месяц (....). Продвинутый уровень.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5"/>
        <w:tblW w:w="93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11"/>
        <w:gridCol w:w="1726"/>
        <w:gridCol w:w="1126"/>
        <w:gridCol w:w="1680"/>
        <w:gridCol w:w="948"/>
        <w:gridCol w:w="956"/>
        <w:gridCol w:w="1302"/>
      </w:tblGrid>
      <w:tr>
        <w:trPr>
          <w:trHeight w:val="1055" w:hRule="atLeast"/>
        </w:trPr>
        <w:tc>
          <w:tcPr>
            <w:tcW w:w="1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 по группе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>
        <w:trPr>
          <w:trHeight w:val="854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5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16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группе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Жилье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Аренда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Коммунальнаые услуги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Свет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Вода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77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Продукты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5000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Транспорт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Проездной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Такси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40%</w:t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Развлечения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Кино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100%</w:t>
            </w:r>
          </w:p>
        </w:tc>
      </w:tr>
      <w:tr>
        <w:trPr>
          <w:trHeight w:val="515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Кафе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12%</w:t>
            </w:r>
          </w:p>
        </w:tc>
      </w:tr>
      <w:tr>
        <w:trPr>
          <w:trHeight w:val="100" w:hRule="atLeast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22000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3400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28000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Структура расходов на будущий месяц (...)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/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-179705</wp:posOffset>
            </wp:positionH>
            <wp:positionV relativeFrom="paragraph">
              <wp:posOffset>113030</wp:posOffset>
            </wp:positionV>
            <wp:extent cx="5759450" cy="3239770"/>
            <wp:effectExtent l="0" t="0" r="0" b="0"/>
            <wp:wrapSquare wrapText="largest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 xml:space="preserve">Комментарии: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1. Сбалансированность бюджета: Бюджет для следующего месяца выглядит сбалансированным, с адекватным соотношением между постоянными и переменными расходами. Это важно для поддержания финансовой стабильности.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2. Контроль над переменными расходами: Разделы "Развлечения", "Одежда" и "Фитнес" варьируются и могут быть точками для снижения расходов в случае необходимости. Это демонстрирует важность мониторинга и контроля над переменными расходами.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3. Подготовка к непредвиденным ситуациям: Расходы на "непредвиденные" события включены в бюджет, что является хорошей практикой. Это помогает смягчить влияние возможных финансовых ударов, которые могут возникнуть в следующем месяце.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 Оптимизация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Исходя из предыдущих данных, наиболее существенным является раздел "Аренда", поэтому оптимизацию следует начинать с него.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2.3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Планируемые расходы на ..... в следующем месяце  (...).</w:t>
      </w:r>
    </w:p>
    <w:tbl>
      <w:tblPr>
        <w:tblStyle w:val="Table6"/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0"/>
        <w:gridCol w:w="984"/>
        <w:gridCol w:w="1268"/>
        <w:gridCol w:w="1419"/>
        <w:gridCol w:w="1416"/>
        <w:gridCol w:w="2570"/>
      </w:tblGrid>
      <w:tr>
        <w:trPr>
          <w:trHeight w:val="315" w:hRule="atLeast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Аренда большой квартиры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34%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4000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Переезд в меньшую квартиру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Коммунальные услуги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Экономия на электроэнергии и воде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Интернет и кабельное ТВ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Отказ от кабельного ТВ</w:t>
            </w:r>
          </w:p>
        </w:tc>
      </w:tr>
      <w:tr>
        <w:trPr>
          <w:trHeight w:val="94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6200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42%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5000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1200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Снижение расходов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составило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~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19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%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Формирование личного бюджета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бюджет на следующий месяц (....)</w:t>
      </w:r>
    </w:p>
    <w:tbl>
      <w:tblPr>
        <w:tblStyle w:val="Table7"/>
        <w:tblW w:w="971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27"/>
        <w:gridCol w:w="1025"/>
        <w:gridCol w:w="2399"/>
        <w:gridCol w:w="1002"/>
        <w:gridCol w:w="2208"/>
        <w:gridCol w:w="1557"/>
      </w:tblGrid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Зарплата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Аренда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Накопление на автомобиль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10000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Фриланс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250000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Коммунальные услуги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Накопление на путешествие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50000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Интернет и кабельное ТВ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Накопление на аварийные случаи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Одежда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1500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Развлечения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Непредвиденные расходы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750000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12300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65000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заданию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 В результате балансировки бюджета мы смогли значительно сократить общие расходы, не снижая уровень жизни. Путем анализа и оптимизации крупных статей расходов, таких как аренда, мы смогли снизить общие расходы на 19%.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 Более того, благодаря пересмотру и перебалансировке расходов, удалось выделить средства для накоплений, которые ранее не были предусмотрены. Это позволит укрепить финансовую стабильность в долгосрочной перспективе и создать "подушку безопасности" на случай непредвиденных ситуаций или осуществления долгосрочных целей.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 В конечном итоге, главным выводом является то, что осознанный подход к управлению личными финансами может иметь значительное влияние на общую финансовую ситуацию. Планирование бюджета и его периодический анализ позволяют не только контролировать расходы, но и распределять деньги таким образом, чтобы они работали на вас, помогая достигать ваших финансовых целей.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4.1 Выбор дебетовой карты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Таблица 4.1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eastAsia="Times New Roman" w:cs="Times New Roman" w:ascii="Times New Roman" w:hAnsi="Times New Roman"/>
          <w:sz w:val="24"/>
          <w:szCs w:val="24"/>
        </w:rPr>
        <w:t>кешбэка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tbl>
      <w:tblPr>
        <w:tblStyle w:val="Table8"/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4"/>
        <w:gridCol w:w="2145"/>
        <w:gridCol w:w="3600"/>
        <w:gridCol w:w="1486"/>
        <w:gridCol w:w="1419"/>
      </w:tblGrid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Кэшбек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Сбербанк – "Молодежная"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12121"/>
                <w:sz w:val="24"/>
                <w:szCs w:val="24"/>
              </w:rPr>
              <w:t>1.5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Альфа-Банк – "CashBack"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4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Тинькофф – "Black"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ВТБ – "Multicard"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Росбанк – "Cashback Premium"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Газпромбанк – "SOVEST"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37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Райффайзенбанк – "CashBack"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1.5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84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ОТП Банк – "CashBack"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 w:before="12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Вывод: мне больше всего подходит карта "Cashback Premium" от Росбанка, потому что она предлагает наибольший размер кешбэка - 2.5%. Это означает, что с каждого потраченного рубля я получу обратно 2.5 копейки, что является наиболее выгодным предложением из всех рассмотренных.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1" w:name="_heading=h.nh1as9i0kww2"/>
      <w:bookmarkStart w:id="2" w:name="_heading=h.nh1as9i0kww2"/>
      <w:bookmarkEnd w:id="2"/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4.2 Формирование инвестиционного портфеля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Основной целью инвестирования является покупка квартиры, срок 5 лет, так как это важный шаг в обеспечении стабильного и комфортного будущего для моей семьи.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Объем вложений 500,000 руб., ежемесячно портфель будет пополняться на 10,000 руб.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Я не готов потерять более 10% данной суммы, так как это максимальный риск, который я готов принять, учитывая важность цели инвестирования и мою финансовую стабильность.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Так как срок вложений 5 лет и является среднесрочным, наиболее целесообразным будет вложение средств в смешанный портфель акций и облигаций. Поэтому оптимальным вариантом считаю вложение 60% средств в акции и 40% в облигации. Анализ динамики финансовых рынков показал, что такое распределение может обеспечить хорошую доходность при ограниченном риске, соответственно объем моего портфеля не должен снизиться более чем на 10%, так как я вложился в разные активы для диверсификации риска.</w:t>
      </w:r>
    </w:p>
    <w:p>
      <w:pPr>
        <w:pStyle w:val="Normal"/>
        <w:jc w:val="both"/>
        <w:rPr/>
      </w:pPr>
      <w:r>
        <w:rPr>
          <w:b w:val="false"/>
          <w:bCs w:val="false"/>
        </w:rPr>
        <w:t>5. Анализ прошлой доходности инвестиций показал, что это распределение активов обеспечивает хороший баланс между риском и доходностью.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работе: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Наиболее масштабной финансовой целью на ближайший год является покупка автомобиля, в среднем накопления на реализацию финансовых целей составляют 20% от моего бюджета на ближайший месяц.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Размер сбережений на «подушку безопасности» составляет 200 тыс. рублей, или 30% от доходов.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Основными статьями расходов являются питание, коммунальные платежи и развлечения, в результате оптимизации расходы были сокращены на 15% за счет экономии на ненужные покупки и перехода на более экономичные альтернативы.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В перспективе источники доходов планируется дополнить инвестициями и работой по свободному графику.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 Учет доходов и расходов предполагается вести в мобильном приложении "Money Manager", так как это удобно и позволяет контролировать все финансовые операции в реальном времени.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 Сейчас я пользуюсь картой Сбербанка, для расчетов была выбрана карта "Cashback Premium" от Росбанка из-за высокого уровня кешбэка.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 Был сформирован инвестиционный портфель, состоящий из акций и облигаций, потому что это дает возможность получить стабильную доходность при приемлемом уровне риска, ожидаемая доходность портфеля должна составить 7% годовых. Данный портфель является сбалансированным и ориентирован на достижение среднесрочной финансовой цели - покупки автомобиля.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LO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Сумма 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Pt>
            <c:idx val="4"/>
            <c:spPr>
              <a:solidFill>
                <a:srgbClr val="7e0021"/>
              </a:solidFill>
              <a:ln w="0">
                <a:noFill/>
              </a:ln>
            </c:spPr>
          </c:dPt>
          <c:dPt>
            <c:idx val="5"/>
            <c:spPr>
              <a:solidFill>
                <a:srgbClr val="83caff"/>
              </a:solidFill>
              <a:ln w="0">
                <a:noFill/>
              </a:ln>
            </c:spPr>
          </c:dPt>
          <c:dPt>
            <c:idx val="6"/>
            <c:spPr>
              <a:solidFill>
                <a:srgbClr val="314004"/>
              </a:solidFill>
              <a:ln w="0">
                <a:noFill/>
              </a:ln>
            </c:spPr>
          </c:dPt>
          <c:dPt>
            <c:idx val="7"/>
            <c:spPr>
              <a:solidFill>
                <a:srgbClr val="aecf00"/>
              </a:solidFill>
              <a:ln w="0">
                <a:noFill/>
              </a:ln>
            </c:spPr>
          </c:dPt>
          <c:dPt>
            <c:idx val="8"/>
            <c:spPr>
              <a:solidFill>
                <a:srgbClr val="4b1f6f"/>
              </a:solidFill>
              <a:ln w="0">
                <a:noFill/>
              </a:ln>
            </c:spPr>
          </c:dPt>
          <c:dPt>
            <c:idx val="9"/>
            <c:spPr>
              <a:solidFill>
                <a:srgbClr val="ff950e"/>
              </a:solidFill>
              <a:ln w="0">
                <a:noFill/>
              </a:ln>
            </c:spPr>
          </c:dPt>
          <c:dPt>
            <c:idx val="10"/>
            <c:spPr>
              <a:solidFill>
                <a:srgbClr val="c5000b"/>
              </a:solidFill>
              <a:ln w="0">
                <a:noFill/>
              </a:ln>
            </c:spPr>
          </c:dPt>
          <c:dPt>
            <c:idx val="11"/>
            <c:spPr>
              <a:solidFill>
                <a:srgbClr val="0084d1"/>
              </a:solidFill>
              <a:ln w="0">
                <a:noFill/>
              </a:ln>
            </c:spPr>
          </c:dPt>
          <c:dPt>
            <c:idx val="12"/>
            <c:spPr>
              <a:solidFill>
                <a:srgbClr val="004586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4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5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6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7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8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9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2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13"/>
                <c:pt idx="0">
                  <c:v>Постоянные</c:v>
                </c:pt>
                <c:pt idx="1">
                  <c:v>Аренда жилья</c:v>
                </c:pt>
                <c:pt idx="2">
                  <c:v>Плата за интернет</c:v>
                </c:pt>
                <c:pt idx="3">
                  <c:v>Плата за мобильную связь</c:v>
                </c:pt>
                <c:pt idx="4">
                  <c:v>Проездной на общественный транспорт</c:v>
                </c:pt>
                <c:pt idx="5">
                  <c:v>Переменные</c:v>
                </c:pt>
                <c:pt idx="6">
                  <c:v>Продукты</c:v>
                </c:pt>
                <c:pt idx="7">
                  <c:v>Одежда и обувь</c:v>
                </c:pt>
                <c:pt idx="8">
                  <c:v>Развлечения (кино, кафе и т.д.)</c:v>
                </c:pt>
                <c:pt idx="9">
                  <c:v>Фитнес-клуб</c:v>
                </c:pt>
                <c:pt idx="10">
                  <c:v>Непредвиденные расходы</c:v>
                </c:pt>
                <c:pt idx="11">
                  <c:v/>
                </c:pt>
                <c:pt idx="12">
                  <c:v>Итого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3"/>
                <c:pt idx="1">
                  <c:v>5000</c:v>
                </c:pt>
                <c:pt idx="2">
                  <c:v>500</c:v>
                </c:pt>
                <c:pt idx="3">
                  <c:v>300</c:v>
                </c:pt>
                <c:pt idx="4">
                  <c:v>700</c:v>
                </c:pt>
                <c:pt idx="6">
                  <c:v>3000</c:v>
                </c:pt>
                <c:pt idx="7">
                  <c:v>1500</c:v>
                </c:pt>
                <c:pt idx="8">
                  <c:v>2000</c:v>
                </c:pt>
                <c:pt idx="9">
                  <c:v>300</c:v>
                </c:pt>
                <c:pt idx="10">
                  <c:v>500</c:v>
                </c:pt>
                <c:pt idx="12">
                  <c:v>13800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LibreOffice/7.4.2.3$Linux_X86_64 LibreOffice_project/40$Build-3</Application>
  <AppVersion>15.0000</AppVersion>
  <Pages>9</Pages>
  <Words>1188</Words>
  <Characters>7391</Characters>
  <CharactersWithSpaces>8372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User</dc:creator>
  <dc:description/>
  <dc:language>en-US</dc:language>
  <cp:lastModifiedBy/>
  <dcterms:modified xsi:type="dcterms:W3CDTF">2023-05-20T19:30:28Z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