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cs="Times New Roman"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t>Системы компьютерной обработки изображений</w:t>
      </w:r>
    </w:p>
    <w:p>
      <w:pPr>
        <w:pStyle w:val="Norma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Лабораторная работа № </w:t>
      </w:r>
      <w:sdt>
        <w:sdtPr>
          <w:id w:val="1638949549"/>
          <w:placeholder>
            <w:docPart w:val="DefaultPlaceholder_-1854013440"/>
          </w:placeholder>
          <w:text/>
        </w:sdtPr>
        <w:sdtContent>
          <w:r>
            <w:rPr/>
            <w:t>1</w:t>
          </w:r>
        </w:sdtContent>
      </w:sdt>
    </w:p>
    <w:p>
      <w:pPr>
        <w:pStyle w:val="Normal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«Вычисление освещенности в точках поверхности»</w:t>
      </w:r>
    </w:p>
    <w:p>
      <w:pPr>
        <w:pStyle w:val="Normal"/>
        <w:jc w:val="center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</w:p>
    <w:p>
      <w:pPr>
        <w:pStyle w:val="Normal"/>
        <w:spacing w:lineRule="auto" w:line="240" w:before="0" w:after="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</w:r>
      <w:r>
        <w:br w:type="page"/>
      </w:r>
    </w:p>
    <w:p>
      <w:pPr>
        <w:pStyle w:val="Heading2"/>
        <w:rPr/>
      </w:pPr>
      <w:r>
        <w:rPr/>
        <w:t>Цель</w:t>
      </w:r>
    </w:p>
    <w:p>
      <w:pPr>
        <w:pStyle w:val="Normal"/>
        <w:jc w:val="both"/>
        <w:rPr>
          <w:rFonts w:cs="Times New Roman"/>
          <w:lang w:val="ru-RU"/>
        </w:rPr>
      </w:pPr>
      <w:r>
        <w:rPr>
          <w:rFonts w:cs="Times New Roman"/>
          <w:lang w:val="ru-RU"/>
        </w:rPr>
        <w:t>Изучить, как вычисляется освещенность в точках точки на плоскости треугольника при освещении его точечным источником света с заданной диаграммой излучения.</w:t>
      </w:r>
    </w:p>
    <w:p>
      <w:pPr>
        <w:pStyle w:val="Heading2"/>
        <w:rPr/>
      </w:pPr>
      <w:r>
        <w:rPr/>
        <w:t>Используемые формулы</w:t>
      </w:r>
    </w:p>
    <w:p>
      <w:pPr>
        <w:pStyle w:val="ListParagraph"/>
        <w:numPr>
          <w:ilvl w:val="0"/>
          <w:numId w:val="2"/>
        </w:numPr>
        <w:spacing w:before="240" w:after="0"/>
        <w:ind w:left="786" w:right="475" w:hanging="360"/>
        <w:contextualSpacing/>
        <w:rPr>
          <w:rFonts w:eastAsia="等线" w:eastAsiaTheme="minorEastAsia"/>
          <w:szCs w:val="28"/>
        </w:rPr>
      </w:pPr>
      <w:r>
        <w:rPr>
          <w:rFonts w:eastAsia="等线" w:eastAsiaTheme="minorEastAsia"/>
          <w:szCs w:val="28"/>
        </w:rPr>
        <w:t>«Цветная» интенсивность источника под углом к оси источника света:</w:t>
      </w:r>
    </w:p>
    <w:p>
      <w:pPr>
        <w:pStyle w:val="ListParagraph"/>
        <w:spacing w:before="240" w:after="0"/>
        <w:ind w:left="426" w:right="475" w:firstLine="720"/>
        <w:contextualSpacing/>
        <w:rPr>
          <w:rFonts w:eastAsia="等线" w:eastAsiaTheme="minorEastAsia"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rFonts w:eastAsia="等线" w:eastAsiaTheme="minorEastAsia"/>
          <w:i/>
          <w:szCs w:val="28"/>
        </w:rPr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</m:oMath>
      <w:r>
        <w:rPr>
          <w:rFonts w:eastAsia="等线" w:eastAsiaTheme="minorEastAsia"/>
          <w:i/>
          <w:szCs w:val="28"/>
        </w:rPr>
        <w:t xml:space="preserve"> – «цветная» интенсивность источника света в направлении его оси </w:t>
      </w: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O</m:t>
            </m:r>
          </m:e>
        </m:acc>
        <m:r>
          <w:rPr>
            <w:rFonts w:ascii="Cambria Math" w:hAnsi="Cambria Math"/>
          </w:rPr>
          <m:t xml:space="preserve">,</m:t>
        </m:r>
        <m:d>
          <m:dPr>
            <m:begChr m:val="‖"/>
            <m:endChr m:val="‖"/>
          </m:dPr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</m:acc>
          </m:e>
        </m: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等线" w:eastAsiaTheme="minorEastAsia"/>
          <w:i/>
          <w:szCs w:val="28"/>
        </w:rPr>
        <w:t xml:space="preserve">, θ - угол между направлением распространения света и осью источника света,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</m:oMath>
      <w:r>
        <w:rPr>
          <w:rFonts w:eastAsia="等线" w:eastAsiaTheme="minorEastAsia"/>
          <w:i/>
          <w:szCs w:val="28"/>
        </w:rPr>
        <w:t xml:space="preserve"> – диаграмма излучения.</w:t>
      </w:r>
      <w:r>
        <w:rPr>
          <w:rFonts w:eastAsia="等线" w:eastAsiaTheme="minorEastAsia"/>
          <w:szCs w:val="28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240" w:after="0"/>
        <w:ind w:left="786" w:right="475" w:hanging="360"/>
        <w:contextualSpacing/>
        <w:rPr>
          <w:rFonts w:eastAsia="等线" w:eastAsiaTheme="minorEastAsia"/>
          <w:szCs w:val="28"/>
        </w:rPr>
      </w:pPr>
      <w:r>
        <w:rPr>
          <w:rFonts w:eastAsia="等线" w:eastAsiaTheme="minorEastAsia"/>
          <w:szCs w:val="28"/>
        </w:rPr>
        <w:t>«Цветная» освещенность точки:</w:t>
      </w:r>
    </w:p>
    <w:p>
      <w:pPr>
        <w:pStyle w:val="ListParagraph"/>
        <w:spacing w:before="240" w:after="0"/>
        <w:ind w:left="426" w:right="475" w:firstLine="720"/>
        <w:contextualSpacing/>
        <w:rPr>
          <w:rFonts w:eastAsia="等线" w:eastAsiaTheme="minorEastAsia"/>
          <w:i/>
          <w:i/>
          <w:iCs/>
          <w:szCs w:val="28"/>
        </w:rPr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d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I</m:t>
            </m:r>
            <m:d>
              <m:dPr>
                <m:begChr m:val="("/>
                <m:endChr m:val=")"/>
              </m:dPr>
              <m:e>
                <m:r>
                  <w:rPr>
                    <w:rFonts w:ascii="Cambria Math" w:hAnsi="Cambria Math"/>
                  </w:rPr>
                  <m:t xml:space="preserve">R</m:t>
                </m:r>
                <m:r>
                  <w:rPr>
                    <w:rFonts w:ascii="Cambria Math" w:hAnsi="Cambria Math"/>
                  </w:rPr>
                  <m:t xml:space="preserve">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  <m:r>
              <w:rPr>
                <w:rFonts w:ascii="Cambria Math" w:hAnsi="Cambria Math"/>
              </w:rPr>
              <m:t xml:space="preserve">cosα</m:t>
            </m:r>
          </m:num>
          <m:den>
            <m:sSup>
              <m:e>
                <m:r>
                  <w:rPr>
                    <w:rFonts w:ascii="Cambria Math" w:hAnsi="Cambria Math"/>
                  </w:rPr>
                  <m:t xml:space="preserve">R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den>
        </m:f>
      </m:oMath>
      <w:r>
        <w:rPr>
          <w:rFonts w:eastAsia="等线" w:eastAsiaTheme="minorEastAsia"/>
          <w:i/>
          <w:szCs w:val="28"/>
        </w:rPr>
        <w:t xml:space="preserve"> </w:t>
      </w:r>
      <w:r>
        <w:rPr>
          <w:rFonts w:eastAsia="等线" w:eastAsiaTheme="minorEastAsia"/>
          <w:szCs w:val="28"/>
        </w:rPr>
        <w:t xml:space="preserve">, </w:t>
      </w:r>
      <w:r>
        <w:rPr>
          <w:rFonts w:eastAsia="等线" w:eastAsiaTheme="minorEastAsia"/>
          <w:i/>
          <w:iCs/>
          <w:szCs w:val="28"/>
        </w:rPr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  <m:r>
              <w:rPr>
                <w:rFonts w:ascii="Cambria Math" w:hAnsi="Cambria Math"/>
              </w:rPr>
              <m:t xml:space="preserve">,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</m:e>
        </m:d>
      </m:oMath>
      <w:r>
        <w:rPr>
          <w:rFonts w:eastAsia="等线" w:eastAsiaTheme="minorEastAsia"/>
          <w:i/>
          <w:iCs/>
          <w:szCs w:val="28"/>
        </w:rPr>
        <w:t xml:space="preserve"> – «цветная» интенсивность света, α - угол между направлением света и нормалью к освещаемой поверхности, R - расстояние от источника света до рассматриваемой точки.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等线" w:eastAsiaTheme="minorEastAsia"/>
          <w:szCs w:val="28"/>
        </w:rPr>
        <w:t>Перевод локальных координат точки в плоскости в глобальные</w:t>
      </w:r>
    </w:p>
    <w:p>
      <w:pPr>
        <w:pStyle w:val="ListParagraph"/>
        <w:ind w:left="426" w:right="475" w:firstLine="720"/>
        <w:rPr>
          <w:rFonts w:eastAsia="等线" w:eastAsiaTheme="minorEastAsia"/>
          <w:szCs w:val="28"/>
        </w:rPr>
      </w:pPr>
      <w:r>
        <w:rPr/>
      </w:r>
      <m:oMath xmlns:m="http://schemas.openxmlformats.org/officeDocument/2006/math"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f>
              <m:num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 xml:space="preserve">∙</m:t>
            </m:r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f>
              <m:num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hAnsi="Cambria Math"/>
              </w:rPr>
              <m:t xml:space="preserve">∙</m:t>
            </m:r>
            <m:r>
              <w:rPr>
                <w:rFonts w:ascii="Cambria Math" w:hAnsi="Cambria Math"/>
              </w:rPr>
              <m:t xml:space="preserve">y</m:t>
            </m:r>
          </m:e>
        </m:d>
      </m:oMath>
      <w:r>
        <w:rPr>
          <w:rFonts w:eastAsia="等线" w:eastAsiaTheme="minorEastAsia"/>
          <w:szCs w:val="28"/>
        </w:rPr>
        <w:t xml:space="preserve"> </w:t>
      </w:r>
      <w:r>
        <w:rPr>
          <w:rFonts w:eastAsia="等线" w:eastAsiaTheme="minorEastAsia"/>
          <w:i/>
          <w:iCs/>
          <w:szCs w:val="28"/>
        </w:rPr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>
          <w:rFonts w:eastAsia="等线" w:eastAsiaTheme="minorEastAsia"/>
          <w:i/>
          <w:iCs/>
          <w:szCs w:val="28"/>
        </w:rPr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>
          <w:rFonts w:eastAsia="等线" w:eastAsiaTheme="minorEastAsia"/>
          <w:i/>
          <w:iCs/>
          <w:szCs w:val="28"/>
        </w:rPr>
        <w:t xml:space="preserve"> смещения по ребрам треугольника.</w:t>
      </w:r>
    </w:p>
    <w:p>
      <w:pPr>
        <w:pStyle w:val="ListParagraph"/>
        <w:numPr>
          <w:ilvl w:val="0"/>
          <w:numId w:val="2"/>
        </w:numPr>
        <w:ind w:left="786" w:right="475" w:hanging="360"/>
        <w:rPr>
          <w:rFonts w:eastAsia="等线" w:eastAsiaTheme="minorEastAsia"/>
          <w:szCs w:val="28"/>
        </w:rPr>
      </w:pPr>
      <w:r>
        <w:rPr>
          <w:rFonts w:eastAsia="等线" w:eastAsiaTheme="minorEastAsia"/>
          <w:szCs w:val="28"/>
        </w:rPr>
        <w:t>Вычисление вектора нормали плоскости треугольника через 3 точки:</w:t>
      </w:r>
    </w:p>
    <w:p>
      <w:pPr>
        <w:pStyle w:val="Normal"/>
        <w:ind w:left="426" w:right="475" w:firstLine="720"/>
        <w:jc w:val="both"/>
        <w:rPr>
          <w:rFonts w:eastAsia="等线" w:eastAsiaTheme="minorEastAsia"/>
          <w:i/>
          <w:i/>
          <w:iCs/>
          <w:szCs w:val="28"/>
          <w:lang w:val="ru-RU"/>
        </w:rPr>
      </w:pPr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N</m:t>
            </m:r>
          </m:e>
        </m:acc>
        <m:r>
          <w:rPr>
            <w:rFonts w:ascii="Cambria Math" w:hAnsi="Cambria Math"/>
          </w:rPr>
          <m:t xml:space="preserve">=</m:t>
        </m:r>
        <m:f>
          <m:num>
            <m:d>
              <m:dPr>
                <m:begChr m:val="("/>
                <m:endChr m:val=")"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 xml:space="preserve">×</m:t>
            </m:r>
            <m:d>
              <m:dPr>
                <m:begChr m:val="("/>
                <m:endChr m:val=")"/>
              </m:dPr>
              <m:e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−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</m:e>
            </m:d>
          </m:num>
          <m:den>
            <m:d>
              <m:dPr>
                <m:begChr m:val="‖"/>
                <m:endChr m:val="‖"/>
              </m:dPr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 xml:space="preserve">×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P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</m:e>
                </m:d>
              </m:e>
            </m:d>
          </m:den>
        </m:f>
      </m:oMath>
      <w:r>
        <w:rPr>
          <w:rFonts w:eastAsia="等线" w:eastAsiaTheme="minorEastAsia"/>
          <w:i/>
          <w:iCs/>
          <w:szCs w:val="28"/>
        </w:rPr>
        <w:t xml:space="preserve"> </w:t>
      </w:r>
    </w:p>
    <w:p>
      <w:pPr>
        <w:pStyle w:val="ListParagraph"/>
        <w:numPr>
          <w:ilvl w:val="0"/>
          <w:numId w:val="2"/>
        </w:numPr>
        <w:ind w:left="786" w:right="475" w:hanging="360"/>
        <w:rPr>
          <w:rFonts w:eastAsia="等线" w:eastAsiaTheme="minorEastAsia"/>
          <w:szCs w:val="28"/>
        </w:rPr>
      </w:pPr>
      <w:r>
        <w:rPr>
          <w:rFonts w:eastAsia="等线" w:eastAsiaTheme="minorEastAsia"/>
          <w:szCs w:val="28"/>
        </w:rPr>
        <w:t>Вектор от точки плоскости до источника света:</w:t>
      </w:r>
    </w:p>
    <w:p>
      <w:pPr>
        <w:pStyle w:val="ListParagraph"/>
        <w:ind w:left="426" w:right="475" w:firstLine="720"/>
        <w:rPr>
          <w:i/>
          <w:i/>
          <w:iCs/>
          <w:szCs w:val="28"/>
        </w:rPr>
      </w:pPr>
      <w:bookmarkStart w:id="0" w:name="_Hlk192868021"/>
      <w:r>
        <w:rPr/>
      </w:r>
      <m:oMath xmlns:m="http://schemas.openxmlformats.org/officeDocument/2006/math"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s</m:t>
            </m:r>
          </m:e>
        </m:acc>
        <m:r>
          <w:rPr>
            <w:rFonts w:ascii="Cambria Math" w:hAnsi="Cambria Math"/>
          </w:rPr>
          <m:t xml:space="preserve">=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T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L</m:t>
            </m:r>
          </m:sub>
        </m:sSub>
        <m:r>
          <w:rPr>
            <w:rFonts w:ascii="Cambria Math" w:hAnsi="Cambria Math"/>
          </w:rPr>
          <m:t xml:space="preserve">,</m:t>
        </m:r>
        <m:sSup>
          <m:e>
            <m:r>
              <w:rPr>
                <w:rFonts w:ascii="Cambria Math" w:hAnsi="Cambria Math"/>
              </w:rPr>
              <m:t xml:space="preserve">R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=</m:t>
        </m:r>
        <m:sSup>
          <m:e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∙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f>
          <m:num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</m:acc>
            <m:r>
              <w:rPr>
                <w:rFonts w:ascii="Cambria Math" w:hAnsi="Cambria Math"/>
              </w:rPr>
              <m:t xml:space="preserve">∙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 xml:space="preserve">O</m:t>
                </m:r>
              </m:e>
            </m:acc>
          </m:num>
          <m:den>
            <m:d>
              <m:dPr>
                <m:begChr m:val="‖"/>
                <m:endChr m:val="‖"/>
              </m:dPr>
              <m:e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</m:acc>
              </m:e>
            </m:d>
          </m:den>
        </m:f>
      </m:oMath>
      <w:r>
        <w:rPr>
          <w:rFonts w:eastAsia="等线" w:eastAsiaTheme="minorEastAsia"/>
          <w:i/>
          <w:iCs/>
          <w:szCs w:val="28"/>
        </w:rPr>
        <w:t xml:space="preserve"> </w:t>
      </w:r>
      <w:bookmarkEnd w:id="0"/>
    </w:p>
    <w:p>
      <w:pPr>
        <w:pStyle w:val="Normal"/>
        <w:ind w:right="475" w:firstLine="72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right="475" w:firstLine="720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ind w:right="475" w:firstLine="720"/>
        <w:jc w:val="center"/>
        <w:rPr>
          <w:szCs w:val="28"/>
          <w:lang w:val="ru-RU"/>
        </w:rPr>
      </w:pPr>
      <w:r>
        <w:rPr/>
        <w:drawing>
          <wp:inline distT="0" distB="0" distL="0" distR="0">
            <wp:extent cx="3762375" cy="4554220"/>
            <wp:effectExtent l="0" t="0" r="0" b="0"/>
            <wp:docPr id="1" name="Picture 1" descr="A diagram of a triangle with a red line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triangle with a red line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>
          <w:lang w:val="en-US"/>
        </w:rPr>
      </w:pPr>
      <w:r>
        <w:rPr/>
        <w:t>Шаги алгоритма</w:t>
      </w:r>
    </w:p>
    <w:p>
      <w:pPr>
        <w:pStyle w:val="ListParagraph"/>
        <w:numPr>
          <w:ilvl w:val="0"/>
          <w:numId w:val="4"/>
        </w:numPr>
        <w:rPr/>
      </w:pPr>
      <w:r>
        <w:rPr/>
        <w:t>Вводим исходные данные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4"/>
        </w:numPr>
        <w:rPr/>
      </w:pPr>
      <w:r>
        <w:rPr/>
        <w:t>Пересчитываем координаты точки из локальных в глобальные;</w:t>
      </w:r>
    </w:p>
    <w:p>
      <w:pPr>
        <w:pStyle w:val="ListParagraph"/>
        <w:numPr>
          <w:ilvl w:val="0"/>
          <w:numId w:val="4"/>
        </w:numPr>
        <w:rPr/>
      </w:pPr>
      <w:r>
        <w:rPr/>
        <w:t>Рассчитываем вектор нормали треугольника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4"/>
        </w:numPr>
        <w:rPr/>
      </w:pPr>
      <w:r>
        <w:rPr/>
        <w:t>Рассчитываем вектор направления источника света;</w:t>
      </w:r>
    </w:p>
    <w:p>
      <w:pPr>
        <w:pStyle w:val="ListParagraph"/>
        <w:numPr>
          <w:ilvl w:val="0"/>
          <w:numId w:val="4"/>
        </w:numPr>
        <w:rPr/>
      </w:pPr>
      <w:r>
        <w:rPr/>
        <w:t>Вычисляем вектор луча от источника к точке (направление и длину);</w:t>
      </w:r>
    </w:p>
    <w:p>
      <w:pPr>
        <w:pStyle w:val="ListParagraph"/>
        <w:numPr>
          <w:ilvl w:val="0"/>
          <w:numId w:val="4"/>
        </w:numPr>
        <w:rPr/>
      </w:pPr>
      <w:r>
        <w:rPr/>
        <w:t>Вычисляем косинус угла θ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4"/>
        </w:numPr>
        <w:rPr/>
      </w:pPr>
      <w:r>
        <w:rPr/>
        <w:t>Вычисляем косинус угла α</w:t>
      </w:r>
      <w:r>
        <w:rPr>
          <w:lang w:val="en-US"/>
        </w:rPr>
        <w:t>;</w:t>
      </w:r>
    </w:p>
    <w:p>
      <w:pPr>
        <w:pStyle w:val="ListParagraph"/>
        <w:numPr>
          <w:ilvl w:val="0"/>
          <w:numId w:val="4"/>
        </w:numPr>
        <w:rPr/>
      </w:pPr>
      <w:r>
        <w:rPr/>
        <w:t>Рассчитываем освещенность в точке</w:t>
      </w:r>
      <w:r>
        <w:rPr>
          <w:lang w:val="en-US"/>
        </w:rPr>
        <w:t>;</w:t>
      </w:r>
    </w:p>
    <w:p>
      <w:pPr>
        <w:pStyle w:val="Heading2"/>
        <w:rPr>
          <w:lang w:val="en-US"/>
        </w:rPr>
      </w:pPr>
      <w:r>
        <w:rPr/>
        <w:t>Программа для расчета освещенности</w:t>
      </w:r>
    </w:p>
    <w:tbl>
      <w:tblPr>
        <w:tblStyle w:val="a8"/>
        <w:tblW w:w="9230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230"/>
      </w:tblGrid>
      <w:tr>
        <w:trPr/>
        <w:tc>
          <w:tcPr>
            <w:tcW w:w="9230" w:type="dxa"/>
            <w:tcBorders/>
            <w:shd w:color="auto" w:fill="E7E6E6" w:themeFill="background2" w:val="clear"/>
          </w:tcPr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import numpy as np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import matplotlib.pyplot as plt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from mpl_toolkits.mplot3d import Axes3D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def normalize(v):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</w:t>
            </w:r>
            <w:r>
              <w:rPr>
                <w:kern w:val="0"/>
                <w:lang w:bidi="ar-SA"/>
              </w:rPr>
              <w:t>n = np.linalg.norm(v)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</w:t>
            </w:r>
            <w:r>
              <w:rPr>
                <w:kern w:val="0"/>
                <w:lang w:bidi="ar-SA"/>
              </w:rPr>
              <w:t>return v / n if n != 0 else v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Исходные данные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Pl = np.array([0.0, 0.0, 1.0])      # источник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O_point = np.array([1.0, 0.0, 1.0]) # направление излучения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P0 = np.array([0.0, 0.0, 0.0])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P1 = np.array([1.0, 0.0, 0.0])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P2 = np.array([0.0, 1.0, 0.0])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точка на плоскости треугольника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x_local = 1.0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y_local = 0.0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-----------------------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Вычисления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-----------------------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глобальные координаты заданной точки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u01 = normalize(P1 - P0)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u02 = normalize(P2 - P0)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Pt = P0 + u01 * x_local + u02 * y_local  # глобальная точка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нормаль треугольника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N = normalize(np.cross(P1 - P0, P2 - P0))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направление источника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O_vec = normalize(O_point - Pl)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луч к точке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 = Pt - Pl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s_norm = normalize(s)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R = np.linalg.norm(s) # длина луча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косинус угла между ними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cos_theta = np.dot(s_norm, O_vec)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cos_theta = np.clip(cos_theta, -1.0, 1.0)  # защитный зажим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cos_alpha = np.dot(-s_norm, N)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cos_alpha = np.clip(cos_alpha, -1.0, 1.0)  # защитный зажим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рассчитываем освещенность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E = cos_theta * cos_alpha / (R * R)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print("cos_theta =", cos_theta)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print("cos_alpha =", cos_alpha)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print("R =", R)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print("E =",  E)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-----------------------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ВИЗУАЛИЗАЦИЯ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-----------------------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fig = plt.figure()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 = fig.add_subplot(111, projection='3d')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треугольник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triangle = np.array([P0, P1, P2, P0])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ax.plot(triangle[:,0], triangle[:,1], triangle[:,2], 'b-', label='Triangle')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точки вершин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ax.scatter(P0[0], P0[1], P0[2], color='blue', s=50)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ax.scatter(P1[0], P1[1], P1[2], color='blue', s=50)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ax.scatter(P2[0], P2[1], P2[2], color='blue', s=50)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точка Pt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ax.scatter(Pt[0], Pt[1], Pt[2], color='red', s=60, label='Pt')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источник света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ax.scatter(Pl[0], Pl[1], Pl[2], color='yellow', s=80, label='Light')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нормаль к треугольнику (из P0)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ax.quiver(P0[0], P0[1], P0[2],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      </w:t>
            </w:r>
            <w:r>
              <w:rPr>
                <w:kern w:val="0"/>
                <w:lang w:bidi="ar-SA"/>
              </w:rPr>
              <w:t>N[0], N[1], N[2],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      </w:t>
            </w:r>
            <w:r>
              <w:rPr>
                <w:kern w:val="0"/>
                <w:lang w:bidi="ar-SA"/>
              </w:rPr>
              <w:t>length=0.5, color='green', label='Normal')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ось источника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ax.quiver(Pl[0], Pl[1], Pl[2],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      </w:t>
            </w:r>
            <w:r>
              <w:rPr>
                <w:kern w:val="0"/>
                <w:lang w:bidi="ar-SA"/>
              </w:rPr>
              <w:t>O_vec[0], O_vec[1], O_vec[2],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 xml:space="preserve">          </w:t>
            </w:r>
            <w:r>
              <w:rPr>
                <w:kern w:val="0"/>
                <w:lang w:bidi="ar-SA"/>
              </w:rPr>
              <w:t>length=0.5, color='orange', label='Light axis')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луч от источника к точке Pt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ax.plot([Pl[0], Pt[0]], [Pl[1], Pt[1]], [Pl[2], Pt[2]], 'r--', label='Light ray')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# оформление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ax.set_xlabel('X')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ax.set_ylabel('Y')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ax.set_zlabel('Z')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ax.legend()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ax.set_box_aspect([1,1,1])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plt.show()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Web"/>
        <w:spacing w:before="280" w:after="280"/>
        <w:rPr>
          <w:rFonts w:eastAsia="Calibri" w:eastAsiaTheme="minorHAnsi"/>
          <w:b/>
          <w:b/>
          <w:sz w:val="32"/>
        </w:rPr>
      </w:pPr>
      <w:r>
        <w:rPr>
          <w:rFonts w:eastAsia="Calibri" w:eastAsiaTheme="minorHAnsi"/>
          <w:b/>
          <w:sz w:val="32"/>
        </w:rPr>
        <w:t>Пример входных данных и результаты</w:t>
      </w:r>
    </w:p>
    <w:p>
      <w:pPr>
        <w:pStyle w:val="Normal"/>
        <w:rPr>
          <w:lang w:val="ru-RU"/>
        </w:rPr>
      </w:pPr>
      <w:r>
        <w:rPr>
          <w:lang w:val="ru-RU"/>
        </w:rPr>
        <w:t>Для проверки корректности расчетов введем контрольный пример, позволяющий произвести расчет с помощью простых геометрических построений.</w:t>
      </w:r>
    </w:p>
    <w:p>
      <w:pPr>
        <w:pStyle w:val="NormalWeb"/>
        <w:numPr>
          <w:ilvl w:val="0"/>
          <w:numId w:val="3"/>
        </w:numPr>
        <w:spacing w:lineRule="auto" w:line="360" w:before="280" w:after="0"/>
        <w:rPr>
          <w:rFonts w:eastAsia="等线" w:eastAsiaTheme="minorEastAsia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I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R</m:t>
            </m:r>
            <m:r>
              <w:rPr>
                <w:rFonts w:ascii="Cambria Math" w:hAnsi="Cambria Math"/>
              </w:rPr>
              <m:t xml:space="preserve">GB</m:t>
            </m:r>
          </m:e>
        </m:d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1</m:t>
            </m:r>
          </m:e>
        </m:d>
      </m:oMath>
      <w:r>
        <w:rPr>
          <w:rFonts w:eastAsia="等线" w:eastAsiaTheme="minorEastAsia"/>
          <w:sz w:val="28"/>
          <w:szCs w:val="28"/>
          <w:lang w:val="en-US"/>
        </w:rPr>
        <w:t xml:space="preserve"> </w:t>
      </w:r>
    </w:p>
    <w:p>
      <w:pPr>
        <w:pStyle w:val="NormalWeb"/>
        <w:numPr>
          <w:ilvl w:val="0"/>
          <w:numId w:val="3"/>
        </w:numPr>
        <w:spacing w:lineRule="auto" w:line="360" w:before="0" w:after="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hAnsi="Cambria Math"/>
                </w:rPr>
                <m:t xml:space="preserve">O</m:t>
              </m:r>
            </m:e>
          </m:acc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NormalWeb"/>
        <w:numPr>
          <w:ilvl w:val="0"/>
          <w:numId w:val="3"/>
        </w:numPr>
        <w:spacing w:lineRule="auto" w:line="360" w:before="0" w:after="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L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NormalWeb"/>
        <w:numPr>
          <w:ilvl w:val="0"/>
          <w:numId w:val="3"/>
        </w:numPr>
        <w:spacing w:lineRule="auto" w:line="360" w:before="0" w:after="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</m:e>
          </m:d>
        </m:oMath>
      </m:oMathPara>
    </w:p>
    <w:p>
      <w:pPr>
        <w:pStyle w:val="NormalWeb"/>
        <w:numPr>
          <w:ilvl w:val="0"/>
          <w:numId w:val="3"/>
        </w:numPr>
        <w:spacing w:lineRule="auto" w:line="360" w:before="0" w:after="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</m:e>
          </m:d>
        </m:oMath>
      </m:oMathPara>
    </w:p>
    <w:p>
      <w:pPr>
        <w:pStyle w:val="NormalWeb"/>
        <w:numPr>
          <w:ilvl w:val="0"/>
          <w:numId w:val="3"/>
        </w:numPr>
        <w:spacing w:lineRule="auto" w:line="360" w:before="0" w:after="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acc>
                <m:accPr>
                  <m:chr m:val="⃗"/>
                </m:acc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2</m:t>
              </m:r>
            </m:sub>
          </m:sSub>
          <m:r>
            <w:rPr>
              <w:rFonts w:ascii="Cambria Math" w:hAnsi="Cambria Math"/>
            </w:rPr>
            <m:t xml:space="preserve">=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1</m:t>
              </m:r>
            </m:e>
          </m:d>
        </m:oMath>
      </m:oMathPara>
    </w:p>
    <w:p>
      <w:pPr>
        <w:pStyle w:val="NormalWeb"/>
        <w:numPr>
          <w:ilvl w:val="0"/>
          <w:numId w:val="3"/>
        </w:numPr>
        <w:spacing w:lineRule="auto" w:line="360" w:before="0" w:after="280"/>
        <w:rPr>
          <w:rFonts w:eastAsia="等线" w:eastAsiaTheme="minorEastAsia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,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rPr>
          <w:lang w:val="ru-RU"/>
        </w:rPr>
      </w:pPr>
      <w:r>
        <w:rPr>
          <w:lang w:val="ru-RU"/>
        </w:rPr>
        <w:t>Визуализация геометрического построения показана на рисунке 2.</w:t>
      </w:r>
    </w:p>
    <w:p>
      <w:pPr>
        <w:pStyle w:val="Normal"/>
        <w:ind w:hanging="0"/>
        <w:jc w:val="center"/>
        <w:rPr>
          <w:lang w:val="ru-RU"/>
        </w:rPr>
      </w:pPr>
      <w: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955040</wp:posOffset>
            </wp:positionH>
            <wp:positionV relativeFrom="paragraph">
              <wp:posOffset>46990</wp:posOffset>
            </wp:positionV>
            <wp:extent cx="4019550" cy="4010025"/>
            <wp:effectExtent l="0" t="0" r="0" b="0"/>
            <wp:wrapTopAndBottom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/>
        </w:rPr>
        <w:t>Рис. 2 Упрощенное расположение треугольника и источника света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Как видно на рисунке, угол между вектором источника света и вектором, соединяющим источник и целевую точку, составляет 45 градусов.  Угол между нормалью к плоскости треугольника и вектором направления также составляет 45 градусов. Расстояние между точками по теореме Пифагора составляет </w:t>
      </w:r>
    </w:p>
    <w:p>
      <w:pPr>
        <w:pStyle w:val="Normal"/>
        <w:jc w:val="center"/>
        <w:rPr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m:e>
          </m:rad>
          <m:r>
            <w:rPr>
              <w:rFonts w:ascii="Cambria Math" w:hAnsi="Cambria Math"/>
            </w:rPr>
            <m:t xml:space="preserve">=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 xml:space="preserve">2</m:t>
              </m:r>
            </m:e>
          </m:rad>
        </m:oMath>
      </m:oMathPara>
    </w:p>
    <w:p>
      <w:pPr>
        <w:pStyle w:val="Normal"/>
        <w:rPr>
          <w:lang w:val="ru-RU"/>
        </w:rPr>
      </w:pPr>
      <w:r>
        <w:rPr>
          <w:lang w:val="ru-RU"/>
        </w:rPr>
        <w:t xml:space="preserve">Вычисленные значения освещенности и косинусов углов соответствуют геометрическому построению. </w:t>
      </w:r>
    </w:p>
    <w:tbl>
      <w:tblPr>
        <w:tblStyle w:val="a8"/>
        <w:tblW w:w="9088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88"/>
      </w:tblGrid>
      <w:tr>
        <w:trPr/>
        <w:tc>
          <w:tcPr>
            <w:tcW w:w="9088" w:type="dxa"/>
            <w:tcBorders/>
            <w:shd w:color="auto" w:fill="E7E6E6" w:themeFill="background2" w:val="clear"/>
          </w:tcPr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cos_theta = 0.7071067811865475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cos_alpha = 0.7071067811865475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R = 1.4142135623730951</w:t>
            </w:r>
          </w:p>
          <w:p>
            <w:pPr>
              <w:pStyle w:val="Style15"/>
              <w:widowControl/>
              <w:spacing w:before="0" w:after="0"/>
              <w:jc w:val="left"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t>E = 0.2499999999999999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Теперь можно развернуть плоскость треугольника и изменить направление источника света в пространстве </w:t>
      </w:r>
      <w:bookmarkStart w:id="1" w:name="_GoBack"/>
      <w:bookmarkEnd w:id="1"/>
      <w:r>
        <w:rPr>
          <w:lang w:val="ru-RU"/>
        </w:rPr>
        <w:t xml:space="preserve">(рис.3). </w:t>
      </w:r>
    </w:p>
    <w:p>
      <w:pPr>
        <w:pStyle w:val="Normal"/>
        <w:ind w:hanging="0"/>
        <w:jc w:val="center"/>
        <w:rPr>
          <w:lang w:val="ru-RU"/>
        </w:rPr>
      </w:pPr>
      <w:r>
        <w:rPr/>
        <w:drawing>
          <wp:inline distT="0" distB="0" distL="0" distR="0">
            <wp:extent cx="3329940" cy="3407410"/>
            <wp:effectExtent l="0" t="0" r="0" b="0"/>
            <wp:docPr id="3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ru-RU"/>
        </w:rPr>
      </w:pPr>
      <w:r>
        <w:rPr>
          <w:lang w:val="ru-RU"/>
        </w:rPr>
        <w:t>Рис. 3 Произвольное положение треугольника и источника света</w:t>
      </w:r>
    </w:p>
    <w:p>
      <w:pPr>
        <w:pStyle w:val="Normal"/>
        <w:rPr>
          <w:lang w:val="ru-RU"/>
        </w:rPr>
      </w:pPr>
      <w:r>
        <w:rPr>
          <w:lang w:val="ru-RU"/>
        </w:rPr>
        <w:t>Вычислим освещенность для нескольких точек внутри треугольника и занесем расчеты в таблицу.</w:t>
      </w:r>
    </w:p>
    <w:p>
      <w:pPr>
        <w:pStyle w:val="Normal"/>
        <w:rPr>
          <w:lang w:val="ru-RU"/>
        </w:rPr>
      </w:pPr>
      <w:r>
        <w:rPr>
          <w:lang w:val="ru-RU"/>
        </w:rPr>
        <w:t>Вычисленные значения освещенности</w:t>
      </w:r>
      <w:r>
        <w:rPr>
          <w:bCs/>
          <w:lang w:val="ru-RU"/>
        </w:rPr>
        <w:t xml:space="preserve">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E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RGB</m:t>
                </m:r>
                <m:r>
                  <w:rPr>
                    <w:rFonts w:ascii="Cambria Math" w:hAnsi="Cambria Math"/>
                  </w:rPr>
                  <m:t xml:space="preserve">,</m:t>
                </m:r>
                <m:acc>
                  <m:accPr>
                    <m:chr m:val="⃗"/>
                  </m:accPr>
                  <m:e>
                    <m:r>
                      <w:rPr>
                        <w:rFonts w:ascii="Cambria Math" w:hAnsi="Cambria Math"/>
                      </w:rPr>
                      <m:t xml:space="preserve"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 xml:space="preserve">T</m:t>
                </m:r>
              </m:sub>
            </m:sSub>
          </m:e>
        </m:d>
      </m:oMath>
      <w:r>
        <w:rPr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96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val="675" w:hRule="atLeast"/>
        </w:trPr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right"/>
              <w:rPr>
                <w:iCs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</m:t>
                </m:r>
              </m:oMath>
            </m:oMathPara>
          </w:p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y</m:t>
                </m:r>
              </m:oMath>
            </m:oMathPara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0.0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0.1</m:t>
                </m:r>
              </m:oMath>
            </m:oMathPara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bCs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0.2</m:t>
                </m:r>
              </m:oMath>
            </m:oMathPara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0.3</m:t>
                </m:r>
              </m:oMath>
            </m:oMathPara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0.4</m:t>
                </m:r>
              </m:oMath>
            </m:oMathPara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0,0</m:t>
                </m:r>
              </m:oMath>
            </m:oMathPara>
          </w:p>
        </w:tc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0.362632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0.462873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0.563664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0.652383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0.716146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0,1</m:t>
                </m:r>
              </m:oMath>
            </m:oMathPara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0.414735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0.520711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0.625605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0.716144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0.779155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0,2</m:t>
                </m:r>
              </m:oMath>
            </m:oMathPara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0.447032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0.552667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0.655618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0.743003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0.802376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0,3</m:t>
                </m:r>
              </m:oMath>
            </m:oMathPara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0.457830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0.557545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0.653264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0.733374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0.786944</w:t>
            </w:r>
          </w:p>
        </w:tc>
      </w:tr>
      <w:tr>
        <w:trPr/>
        <w:tc>
          <w:tcPr>
            <w:tcW w:w="1613" w:type="dxa"/>
            <w:tcBorders/>
            <w:vAlign w:val="center"/>
          </w:tcPr>
          <w:p>
            <w:pPr>
              <w:pStyle w:val="Style16"/>
              <w:widowControl/>
              <w:spacing w:before="0" w:after="120"/>
              <w:jc w:val="center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0,4</m:t>
                </m:r>
              </m:oMath>
            </m:oMathPara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0.449158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0.538923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0.623846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0.694107</w:t>
            </w:r>
          </w:p>
        </w:tc>
        <w:tc>
          <w:tcPr>
            <w:tcW w:w="1613" w:type="dxa"/>
            <w:tcBorders/>
          </w:tcPr>
          <w:p>
            <w:pPr>
              <w:pStyle w:val="Style16"/>
              <w:widowControl/>
              <w:spacing w:before="0" w:after="120"/>
              <w:jc w:val="left"/>
              <w:rPr>
                <w:rFonts w:eastAsia="Calibri"/>
                <w:kern w:val="0"/>
                <w:lang w:bidi="ar-SA"/>
              </w:rPr>
            </w:pPr>
            <w:r>
              <w:rPr>
                <w:rFonts w:eastAsia="Calibri"/>
                <w:kern w:val="0"/>
                <w:lang w:bidi="ar-SA"/>
              </w:rPr>
              <w:t>0.740686</w:t>
            </w:r>
          </w:p>
        </w:tc>
      </w:tr>
    </w:tbl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Вывод</w:t>
      </w:r>
    </w:p>
    <w:p>
      <w:pPr>
        <w:pStyle w:val="Normal"/>
        <w:spacing w:before="0" w:after="160"/>
        <w:rPr>
          <w:szCs w:val="28"/>
          <w:lang w:val="ru-RU"/>
        </w:rPr>
      </w:pPr>
      <w:r>
        <w:rPr>
          <w:lang w:val="ru-RU"/>
        </w:rPr>
        <w:t>В результате выполнения работы был изучен и реализован алгоритм вычисления освещенности точки на плоскости от источника света. Рассмотрены основные этапы вычислений, включая преобразование координат, определение нормали к плоскости, вычисление вектора до источника света и углов между векторами.</w:t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Dotum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eastAsia="Calibri" w:cs="Times New Roman" w:eastAsiaTheme="min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uiPriority="34" w:semiHidden="0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259ba"/>
    <w:pPr>
      <w:widowControl/>
      <w:bidi w:val="0"/>
      <w:spacing w:lineRule="auto" w:line="360" w:before="0" w:after="160"/>
      <w:ind w:firstLine="72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95745"/>
    <w:pPr>
      <w:keepNext w:val="true"/>
      <w:keepLines/>
      <w:spacing w:before="240" w:after="0"/>
      <w:outlineLvl w:val="0"/>
    </w:pPr>
    <w:rPr>
      <w:rFonts w:ascii="Calibri Light" w:hAnsi="Calibri Light" w:eastAsia="等线 Light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295745"/>
    <w:pPr>
      <w:spacing w:before="360" w:after="120"/>
      <w:outlineLvl w:val="1"/>
    </w:pPr>
    <w:rPr>
      <w:rFonts w:cs="Times New Roman"/>
      <w:b/>
      <w:sz w:val="32"/>
      <w:szCs w:val="24"/>
      <w:lang w:val="ru-RU"/>
    </w:rPr>
  </w:style>
  <w:style w:type="paragraph" w:styleId="Heading3">
    <w:name w:val="Heading 3"/>
    <w:basedOn w:val="Subtitle"/>
    <w:next w:val="Normal"/>
    <w:link w:val="3"/>
    <w:uiPriority w:val="9"/>
    <w:unhideWhenUsed/>
    <w:qFormat/>
    <w:rsid w:val="00295745"/>
    <w:pPr>
      <w:ind w:left="284" w:firstLine="720"/>
      <w:outlineLvl w:val="2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1" w:customStyle="1">
    <w:name w:val="Подзаголовок Знак"/>
    <w:basedOn w:val="DefaultParagraphFont"/>
    <w:link w:val="Subtitle"/>
    <w:uiPriority w:val="11"/>
    <w:qFormat/>
    <w:rsid w:val="00006fc3"/>
    <w:rPr>
      <w:rFonts w:ascii="Times New Roman" w:hAnsi="Times New Roman" w:eastAsia="等线" w:cs="Times New Roman" w:eastAsiaTheme="minorEastAsia"/>
      <w:color w:val="000000" w:themeColor="text1"/>
      <w:spacing w:val="15"/>
      <w:sz w:val="32"/>
      <w:szCs w:val="22"/>
      <w:lang w:eastAsia="en-US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295745"/>
    <w:rPr>
      <w:rFonts w:ascii="Times New Roman" w:hAnsi="Times New Roman" w:eastAsia="等线" w:cs="Times New Roman" w:eastAsiaTheme="minorEastAsia"/>
      <w:color w:val="000000" w:themeColor="text1"/>
      <w:spacing w:val="15"/>
      <w:sz w:val="32"/>
      <w:szCs w:val="22"/>
      <w:lang w:eastAsia="en-US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295745"/>
    <w:rPr>
      <w:rFonts w:ascii="Calibri Light" w:hAnsi="Calibri Light" w:eastAsia="等线 Light" w:cs="" w:asciiTheme="majorHAnsi" w:cstheme="majorBidi" w:eastAsiaTheme="majorEastAsia" w:hAnsiTheme="majorHAnsi"/>
      <w:color w:val="2F5496" w:themeColor="accent1" w:themeShade="bf"/>
      <w:sz w:val="32"/>
      <w:szCs w:val="32"/>
      <w:lang w:val="en-US" w:eastAsia="en-US"/>
    </w:rPr>
  </w:style>
  <w:style w:type="character" w:styleId="BookTitle">
    <w:name w:val="Book Title"/>
    <w:basedOn w:val="DefaultParagraphFont"/>
    <w:uiPriority w:val="33"/>
    <w:qFormat/>
    <w:rsid w:val="000705bf"/>
    <w:rPr>
      <w:b/>
      <w:bCs/>
      <w:i/>
      <w:iCs/>
      <w:spacing w:val="5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8d652e"/>
    <w:rPr>
      <w:rFonts w:ascii="Courier New" w:hAnsi="Courier New" w:eastAsia="Times New Roman" w:cs="Courier New"/>
    </w:rPr>
  </w:style>
  <w:style w:type="character" w:styleId="Katexmathml" w:customStyle="1">
    <w:name w:val="katex-mathml"/>
    <w:basedOn w:val="DefaultParagraphFont"/>
    <w:qFormat/>
    <w:rsid w:val="00205dd5"/>
    <w:rPr/>
  </w:style>
  <w:style w:type="character" w:styleId="Mord" w:customStyle="1">
    <w:name w:val="mord"/>
    <w:basedOn w:val="DefaultParagraphFont"/>
    <w:qFormat/>
    <w:rsid w:val="00205dd5"/>
    <w:rPr/>
  </w:style>
  <w:style w:type="character" w:styleId="Strong">
    <w:name w:val="Strong"/>
    <w:basedOn w:val="DefaultParagraphFont"/>
    <w:uiPriority w:val="22"/>
    <w:qFormat/>
    <w:rsid w:val="00205dd5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f259ba"/>
    <w:rPr>
      <w:rFonts w:ascii="Tahoma" w:hAnsi="Tahoma" w:cs="Tahoma"/>
      <w:sz w:val="16"/>
      <w:szCs w:val="16"/>
      <w:lang w:val="en-US" w:eastAsia="en-US"/>
    </w:rPr>
  </w:style>
  <w:style w:type="character" w:styleId="Style13" w:customStyle="1">
    <w:name w:val="Код Знак"/>
    <w:basedOn w:val="DefaultParagraphFont"/>
    <w:link w:val="Style15"/>
    <w:qFormat/>
    <w:rsid w:val="005b2fdf"/>
    <w:rPr>
      <w:rFonts w:ascii="Dotum" w:hAnsi="Dotum" w:eastAsia="Dotum" w:cs="Consolas"/>
      <w:sz w:val="24"/>
      <w:szCs w:val="22"/>
      <w:lang w:eastAsia="en-US"/>
    </w:rPr>
  </w:style>
  <w:style w:type="character" w:styleId="Style14" w:customStyle="1">
    <w:name w:val="Таблица Знак"/>
    <w:basedOn w:val="DefaultParagraphFont"/>
    <w:link w:val="Style16"/>
    <w:qFormat/>
    <w:rsid w:val="0035046e"/>
    <w:rPr>
      <w:rFonts w:ascii="Times New Roman" w:hAnsi="Times New Roman" w:cs="Times New Roman"/>
      <w:sz w:val="28"/>
      <w:szCs w:val="22"/>
      <w:lang w:eastAsia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Mono CJK HK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link w:val="Style11"/>
    <w:uiPriority w:val="11"/>
    <w:qFormat/>
    <w:rsid w:val="00006fc3"/>
    <w:pPr>
      <w:numPr>
        <w:ilvl w:val="3"/>
        <w:numId w:val="1"/>
      </w:numPr>
      <w:spacing w:before="480" w:after="160"/>
      <w:ind w:left="0" w:firstLine="720"/>
    </w:pPr>
    <w:rPr>
      <w:rFonts w:eastAsia="等线" w:cs="Times New Roman" w:eastAsiaTheme="minorEastAsia"/>
      <w:color w:val="000000" w:themeColor="text1"/>
      <w:spacing w:val="15"/>
      <w:sz w:val="32"/>
      <w:lang w:val="ru-RU"/>
    </w:rPr>
  </w:style>
  <w:style w:type="paragraph" w:styleId="ListParagraph">
    <w:name w:val="List Paragraph"/>
    <w:basedOn w:val="Normal"/>
    <w:uiPriority w:val="34"/>
    <w:qFormat/>
    <w:rsid w:val="00983772"/>
    <w:pPr>
      <w:spacing w:before="0" w:after="0"/>
      <w:ind w:left="720" w:firstLine="720"/>
      <w:contextualSpacing/>
      <w:jc w:val="both"/>
    </w:pPr>
    <w:rPr>
      <w:rFonts w:eastAsia="Times New Roman" w:cs="Times New Roman"/>
      <w:lang w:val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8d652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qFormat/>
    <w:rsid w:val="00205dd5"/>
    <w:pPr>
      <w:spacing w:lineRule="auto" w:line="240" w:beforeAutospacing="1" w:afterAutospacing="1"/>
    </w:pPr>
    <w:rPr>
      <w:rFonts w:eastAsia="Times New Roman" w:cs="Times New Roman"/>
      <w:sz w:val="24"/>
      <w:szCs w:val="24"/>
      <w:lang w:val="ru-RU" w:eastAsia="ru-RU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f259b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5" w:customStyle="1">
    <w:name w:val="Код"/>
    <w:basedOn w:val="Normal"/>
    <w:link w:val="Style13"/>
    <w:qFormat/>
    <w:rsid w:val="005b2fdf"/>
    <w:pPr>
      <w:spacing w:lineRule="auto" w:line="240" w:before="0" w:after="0"/>
      <w:ind w:hanging="0"/>
    </w:pPr>
    <w:rPr>
      <w:rFonts w:ascii="Dotum" w:hAnsi="Dotum" w:eastAsia="Dotum" w:cs="Consolas"/>
      <w:sz w:val="24"/>
      <w:lang w:val="ru-RU"/>
    </w:rPr>
  </w:style>
  <w:style w:type="paragraph" w:styleId="Style16" w:customStyle="1">
    <w:name w:val="Таблица"/>
    <w:basedOn w:val="Normal"/>
    <w:link w:val="Style14"/>
    <w:qFormat/>
    <w:rsid w:val="0035046e"/>
    <w:pPr>
      <w:spacing w:lineRule="auto" w:line="240" w:before="0" w:after="120"/>
      <w:ind w:hanging="0"/>
    </w:pPr>
    <w:rPr>
      <w:rFonts w:cs="Times New Roman"/>
      <w:lang w:val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2"/>
    <w:uiPriority w:val="39"/>
    <w:rsid w:val="00ee23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" Type="http://schemas.openxmlformats.org/officeDocument/2006/relationships/styles" Target="styles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4B3BD6" w:rsidRDefault="00307728"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等线">
    <w:panose1 w:val="00000000000000000000"/>
    <w:charset w:val="8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218"/>
    <w:rsid w:val="000336AA"/>
    <w:rsid w:val="00063E34"/>
    <w:rsid w:val="000D7E9C"/>
    <w:rsid w:val="00161BCC"/>
    <w:rsid w:val="00176828"/>
    <w:rsid w:val="00192408"/>
    <w:rsid w:val="00307728"/>
    <w:rsid w:val="0032696A"/>
    <w:rsid w:val="00332B64"/>
    <w:rsid w:val="00381845"/>
    <w:rsid w:val="00410559"/>
    <w:rsid w:val="004B3BD6"/>
    <w:rsid w:val="00523196"/>
    <w:rsid w:val="005D3B6E"/>
    <w:rsid w:val="007E7773"/>
    <w:rsid w:val="00805DC0"/>
    <w:rsid w:val="00822B56"/>
    <w:rsid w:val="009705DD"/>
    <w:rsid w:val="00AF2D16"/>
    <w:rsid w:val="00B50637"/>
    <w:rsid w:val="00B62268"/>
    <w:rsid w:val="00B6472C"/>
    <w:rsid w:val="00B94DD8"/>
    <w:rsid w:val="00D26218"/>
    <w:rsid w:val="00D32DB9"/>
    <w:rsid w:val="00ED6E38"/>
    <w:rsid w:val="00F2080F"/>
    <w:rsid w:val="00F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Default Paragraph Font" w:uiPriority="1"/>
    <w:lsdException w:name="Subtitle" w:semiHidden="0" w:unhideWhenUsed="0"/>
    <w:lsdException w:name="Strong" w:semiHidden="0" w:unhideWhenUsed="0"/>
    <w:lsdException w:name="Emphasis" w:semiHidden="0" w:unhideWhenUsed="0"/>
    <w:lsdException w:name="Table Grid" w:semiHidden="0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D6E3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F0A8238-73A3-4B09-A315-18C1F6E285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Application>LibreOffice/7.3.7.2$Linux_X86_64 LibreOffice_project/30$Build-2</Application>
  <AppVersion>15.0000</AppVersion>
  <Pages>9</Pages>
  <Words>707</Words>
  <Characters>4625</Characters>
  <CharactersWithSpaces>5245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2025-03-14T13:38:00Z</dcterms:created>
  <dc:creator>Yuriy Boldyrev</dc:creator>
  <dc:description/>
  <dc:language>ru-RU</dc:language>
  <cp:lastModifiedBy>slazarenko@gmail.com</cp:lastModifiedBy>
  <dcterms:modified xsi:type="dcterms:W3CDTF">2025-11-17T09:04:57Z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mail">
    <vt:lpwstr>slazarenko@gmail.com</vt:lpwstr>
  </property>
  <property fmtid="{D5CDD505-2E9C-101B-9397-08002B2CF9AE}" pid="3" name="KSOProductBuildVer">
    <vt:lpwstr>1049-11.2.0.10223</vt:lpwstr>
  </property>
</Properties>
</file>