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D9428D" w14:textId="77777777" w:rsidR="007E082D" w:rsidRDefault="004840E1">
      <w:pPr>
        <w:spacing w:line="240" w:lineRule="auto"/>
      </w:pPr>
      <w:bookmarkStart w:id="0" w:name="_GoBack"/>
      <w:bookmarkEnd w:id="0"/>
      <w:r>
        <w:t>LISTED MUNKULI and</w:t>
      </w:r>
    </w:p>
    <w:p w14:paraId="40DAD644" w14:textId="77777777" w:rsidR="007E082D" w:rsidRDefault="004840E1">
      <w:pPr>
        <w:spacing w:after="531" w:line="226" w:lineRule="auto"/>
        <w:ind w:right="5880"/>
      </w:pPr>
      <w:r>
        <w:t>KUDAKWASHE NDLOVU versus THE STATE</w:t>
      </w:r>
    </w:p>
    <w:p w14:paraId="265ACDA4" w14:textId="77777777" w:rsidR="007E082D" w:rsidRDefault="004840E1">
      <w:pPr>
        <w:pStyle w:val="Heading1"/>
        <w:spacing w:after="3" w:line="264" w:lineRule="auto"/>
        <w:ind w:left="182" w:right="23"/>
        <w:jc w:val="both"/>
      </w:pPr>
      <w:r>
        <w:rPr>
          <w:u w:val="none"/>
        </w:rPr>
        <w:t>HIGH COURT OF ZITv1BABWE</w:t>
      </w:r>
    </w:p>
    <w:p w14:paraId="048FC561" w14:textId="77777777" w:rsidR="007E082D" w:rsidRDefault="004840E1">
      <w:pPr>
        <w:spacing w:line="259" w:lineRule="auto"/>
        <w:ind w:left="240" w:right="14"/>
      </w:pPr>
      <w:r>
        <w:t>DUBE JP &amp; DUBE-BANDA J</w:t>
      </w:r>
      <w:r>
        <w:rPr>
          <w:noProof/>
        </w:rPr>
        <w:drawing>
          <wp:inline distT="0" distB="0" distL="0" distR="0" wp14:anchorId="5E747842" wp14:editId="35366540">
            <wp:extent cx="3048" cy="3049"/>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7"/>
                    <a:stretch>
                      <a:fillRect/>
                    </a:stretch>
                  </pic:blipFill>
                  <pic:spPr>
                    <a:xfrm>
                      <a:off x="0" y="0"/>
                      <a:ext cx="3048" cy="3049"/>
                    </a:xfrm>
                    <a:prstGeom prst="rect">
                      <a:avLst/>
                    </a:prstGeom>
                  </pic:spPr>
                </pic:pic>
              </a:graphicData>
            </a:graphic>
          </wp:inline>
        </w:drawing>
      </w:r>
    </w:p>
    <w:p w14:paraId="1A93C194" w14:textId="77777777" w:rsidR="007E082D" w:rsidRDefault="004840E1">
      <w:pPr>
        <w:spacing w:after="402"/>
        <w:ind w:left="240" w:right="14"/>
      </w:pPr>
      <w:r>
        <w:t>BULAWAYO 24 January 2024 &amp; 26 September 2024</w:t>
      </w:r>
    </w:p>
    <w:p w14:paraId="31760C1B" w14:textId="77777777" w:rsidR="007E082D" w:rsidRDefault="004840E1">
      <w:pPr>
        <w:pStyle w:val="Heading1"/>
        <w:spacing w:after="472" w:line="264" w:lineRule="auto"/>
        <w:ind w:left="260" w:right="23"/>
        <w:jc w:val="both"/>
      </w:pPr>
      <w:r>
        <w:rPr>
          <w:u w:val="none"/>
        </w:rPr>
        <w:t>Criminal appeal</w:t>
      </w:r>
    </w:p>
    <w:p w14:paraId="18BB2A46" w14:textId="77777777" w:rsidR="007E082D" w:rsidRDefault="004840E1">
      <w:pPr>
        <w:spacing w:after="525" w:line="224" w:lineRule="auto"/>
        <w:ind w:left="221" w:right="5611"/>
      </w:pPr>
      <w:r>
        <w:t xml:space="preserve">K. Ngwenya for the appellants K. </w:t>
      </w:r>
      <w:proofErr w:type="spellStart"/>
      <w:r>
        <w:t>Shava</w:t>
      </w:r>
      <w:proofErr w:type="spellEnd"/>
      <w:r>
        <w:t xml:space="preserve"> for the respondent</w:t>
      </w:r>
    </w:p>
    <w:p w14:paraId="5F517753" w14:textId="77777777" w:rsidR="007E082D" w:rsidRDefault="004840E1">
      <w:pPr>
        <w:spacing w:after="296"/>
        <w:ind w:left="912" w:right="14"/>
      </w:pPr>
      <w:r>
        <w:t>DUBE-BANDA J:</w:t>
      </w:r>
    </w:p>
    <w:p w14:paraId="535B9852" w14:textId="77777777" w:rsidR="007E082D" w:rsidRDefault="004840E1">
      <w:pPr>
        <w:numPr>
          <w:ilvl w:val="0"/>
          <w:numId w:val="1"/>
        </w:numPr>
        <w:spacing w:after="96" w:line="259" w:lineRule="auto"/>
        <w:ind w:right="14"/>
      </w:pPr>
      <w:r>
        <w:t>The appellants, with their two erstwhile co-accused were arraigned at the Magistrates'</w:t>
      </w:r>
    </w:p>
    <w:p w14:paraId="7BEF7493" w14:textId="77777777" w:rsidR="007E082D" w:rsidRDefault="004840E1">
      <w:pPr>
        <w:ind w:left="211" w:right="14"/>
      </w:pPr>
      <w:r>
        <w:t>Court sitting in Victoria Falls, on a charge of contravening s 82(1) of the Parks and Wildlife Re</w:t>
      </w:r>
      <w:r>
        <w:t>gulations S.I. 362/1990 as read with s 128(b) of the Parks and Wildlife Act [Chapter 20:14] i.e. "to acquire, possess or transfer raw unmarked ivory without a permit." The appellants and their co-accused pleaded not guilty. It therefore followed that in or</w:t>
      </w:r>
      <w:r>
        <w:t xml:space="preserve">der to secure a conviction </w:t>
      </w:r>
      <w:r>
        <w:rPr>
          <w:noProof/>
        </w:rPr>
        <w:drawing>
          <wp:inline distT="0" distB="0" distL="0" distR="0" wp14:anchorId="02D729F6" wp14:editId="13717073">
            <wp:extent cx="3048" cy="3049"/>
            <wp:effectExtent l="0" t="0" r="0" b="0"/>
            <wp:docPr id="1719" name="Picture 1719"/>
            <wp:cNvGraphicFramePr/>
            <a:graphic xmlns:a="http://schemas.openxmlformats.org/drawingml/2006/main">
              <a:graphicData uri="http://schemas.openxmlformats.org/drawingml/2006/picture">
                <pic:pic xmlns:pic="http://schemas.openxmlformats.org/drawingml/2006/picture">
                  <pic:nvPicPr>
                    <pic:cNvPr id="1719" name="Picture 1719"/>
                    <pic:cNvPicPr/>
                  </pic:nvPicPr>
                  <pic:blipFill>
                    <a:blip r:embed="rId8"/>
                    <a:stretch>
                      <a:fillRect/>
                    </a:stretch>
                  </pic:blipFill>
                  <pic:spPr>
                    <a:xfrm>
                      <a:off x="0" y="0"/>
                      <a:ext cx="3048" cy="3049"/>
                    </a:xfrm>
                    <a:prstGeom prst="rect">
                      <a:avLst/>
                    </a:prstGeom>
                  </pic:spPr>
                </pic:pic>
              </a:graphicData>
            </a:graphic>
          </wp:inline>
        </w:drawing>
      </w:r>
      <w:r>
        <w:t>the State had to lead all relevant evidence to link the appellants and their co-accused to the commission of the offence charged. Despite the appellants' plea of not guilty, they were convicted as charged and the co-accused were</w:t>
      </w:r>
      <w:r>
        <w:t xml:space="preserve"> acquitted.</w:t>
      </w:r>
    </w:p>
    <w:p w14:paraId="2C583619" w14:textId="77777777" w:rsidR="007E082D" w:rsidRDefault="004840E1">
      <w:pPr>
        <w:numPr>
          <w:ilvl w:val="0"/>
          <w:numId w:val="1"/>
        </w:numPr>
        <w:ind w:right="14"/>
      </w:pPr>
      <w:r>
        <w:t xml:space="preserve">A summary of the relevant evidence adduced at the trial is as follows. On 2 August 2022 </w:t>
      </w:r>
      <w:proofErr w:type="spellStart"/>
      <w:r>
        <w:t>Shadreck</w:t>
      </w:r>
      <w:proofErr w:type="spellEnd"/>
      <w:r>
        <w:t xml:space="preserve"> </w:t>
      </w:r>
      <w:proofErr w:type="spellStart"/>
      <w:r>
        <w:t>Midzi</w:t>
      </w:r>
      <w:proofErr w:type="spellEnd"/>
      <w:r>
        <w:t xml:space="preserve"> ("</w:t>
      </w:r>
      <w:proofErr w:type="spellStart"/>
      <w:r>
        <w:t>Midzi</w:t>
      </w:r>
      <w:proofErr w:type="spellEnd"/>
      <w:r>
        <w:t>") who works for International Anti-Poaching Foundation received information that there was someone around Victoria Falls who was sell</w:t>
      </w:r>
      <w:r>
        <w:t>ing ivory. He later received a call on his mobile phone from a number registered in the name of the first appellant ("</w:t>
      </w:r>
      <w:proofErr w:type="spellStart"/>
      <w:r>
        <w:t>Munkuli</w:t>
      </w:r>
      <w:proofErr w:type="spellEnd"/>
      <w:r>
        <w:t xml:space="preserve">"), and the caller said he was the one with the ivory. </w:t>
      </w:r>
      <w:proofErr w:type="spellStart"/>
      <w:r>
        <w:t>Midzi</w:t>
      </w:r>
      <w:proofErr w:type="spellEnd"/>
      <w:r>
        <w:t xml:space="preserve"> in the company of an officer from </w:t>
      </w:r>
      <w:proofErr w:type="spellStart"/>
      <w:r>
        <w:t>Zimparks</w:t>
      </w:r>
      <w:proofErr w:type="spellEnd"/>
      <w:r>
        <w:t xml:space="preserve"> and officers from the Zimba</w:t>
      </w:r>
      <w:r>
        <w:t xml:space="preserve">bwe Republic Police ("ZRP") proceeded to a place called </w:t>
      </w:r>
      <w:proofErr w:type="spellStart"/>
      <w:r>
        <w:t>Mbizha</w:t>
      </w:r>
      <w:proofErr w:type="spellEnd"/>
      <w:r>
        <w:t xml:space="preserve"> turn off in Victoria Falls. When they arrived at the turn-off they saw four people at a bush on the left side of the road. The second appellant ("Ndlovu") approached the vehicle and informed th</w:t>
      </w:r>
      <w:r>
        <w:t xml:space="preserve">e officer from </w:t>
      </w:r>
      <w:proofErr w:type="spellStart"/>
      <w:r>
        <w:t>Zimparks</w:t>
      </w:r>
      <w:proofErr w:type="spellEnd"/>
      <w:r>
        <w:t xml:space="preserve">, that they had ivory. He went back to the bush, and on his return, he was now carrying a white sack. </w:t>
      </w:r>
      <w:proofErr w:type="spellStart"/>
      <w:r>
        <w:t>Munkuli</w:t>
      </w:r>
      <w:proofErr w:type="spellEnd"/>
      <w:r>
        <w:t xml:space="preserve"> joined him and got into the </w:t>
      </w:r>
      <w:r>
        <w:t xml:space="preserve">vehicle. When asked about what was in the sack, they said it contained elephant tusks. The two </w:t>
      </w:r>
      <w:r>
        <w:t xml:space="preserve">confirmed that they had no permit to possess the tusks, and they were duly arrested. </w:t>
      </w:r>
      <w:proofErr w:type="spellStart"/>
      <w:r>
        <w:t>Munkuli</w:t>
      </w:r>
      <w:proofErr w:type="spellEnd"/>
      <w:r>
        <w:t xml:space="preserve"> called the two other persons, ("co-</w:t>
      </w:r>
      <w:r>
        <w:lastRenderedPageBreak/>
        <w:t xml:space="preserve">accused") who had remained in the bush, the two came to </w:t>
      </w:r>
      <w:r>
        <w:rPr>
          <w:noProof/>
        </w:rPr>
        <w:drawing>
          <wp:inline distT="0" distB="0" distL="0" distR="0" wp14:anchorId="01F3BA75" wp14:editId="7E44DA57">
            <wp:extent cx="3048" cy="3049"/>
            <wp:effectExtent l="0" t="0" r="0" b="0"/>
            <wp:docPr id="4557" name="Picture 4557"/>
            <wp:cNvGraphicFramePr/>
            <a:graphic xmlns:a="http://schemas.openxmlformats.org/drawingml/2006/main">
              <a:graphicData uri="http://schemas.openxmlformats.org/drawingml/2006/picture">
                <pic:pic xmlns:pic="http://schemas.openxmlformats.org/drawingml/2006/picture">
                  <pic:nvPicPr>
                    <pic:cNvPr id="4557" name="Picture 4557"/>
                    <pic:cNvPicPr/>
                  </pic:nvPicPr>
                  <pic:blipFill>
                    <a:blip r:embed="rId9"/>
                    <a:stretch>
                      <a:fillRect/>
                    </a:stretch>
                  </pic:blipFill>
                  <pic:spPr>
                    <a:xfrm>
                      <a:off x="0" y="0"/>
                      <a:ext cx="3048" cy="3049"/>
                    </a:xfrm>
                    <a:prstGeom prst="rect">
                      <a:avLst/>
                    </a:prstGeom>
                  </pic:spPr>
                </pic:pic>
              </a:graphicData>
            </a:graphic>
          </wp:inline>
        </w:drawing>
      </w:r>
      <w:r>
        <w:t>the vehicle and were also arrested. The sack was found to contain two p</w:t>
      </w:r>
      <w:r>
        <w:t xml:space="preserve">ieces of ivory, and at </w:t>
      </w:r>
      <w:r>
        <w:rPr>
          <w:noProof/>
        </w:rPr>
        <w:drawing>
          <wp:inline distT="0" distB="0" distL="0" distR="0" wp14:anchorId="32793285" wp14:editId="6E93ECE8">
            <wp:extent cx="3047" cy="3049"/>
            <wp:effectExtent l="0" t="0" r="0" b="0"/>
            <wp:docPr id="4558" name="Picture 4558"/>
            <wp:cNvGraphicFramePr/>
            <a:graphic xmlns:a="http://schemas.openxmlformats.org/drawingml/2006/main">
              <a:graphicData uri="http://schemas.openxmlformats.org/drawingml/2006/picture">
                <pic:pic xmlns:pic="http://schemas.openxmlformats.org/drawingml/2006/picture">
                  <pic:nvPicPr>
                    <pic:cNvPr id="4558" name="Picture 4558"/>
                    <pic:cNvPicPr/>
                  </pic:nvPicPr>
                  <pic:blipFill>
                    <a:blip r:embed="rId10"/>
                    <a:stretch>
                      <a:fillRect/>
                    </a:stretch>
                  </pic:blipFill>
                  <pic:spPr>
                    <a:xfrm>
                      <a:off x="0" y="0"/>
                      <a:ext cx="3047" cy="3049"/>
                    </a:xfrm>
                    <a:prstGeom prst="rect">
                      <a:avLst/>
                    </a:prstGeom>
                  </pic:spPr>
                </pic:pic>
              </a:graphicData>
            </a:graphic>
          </wp:inline>
        </w:drawing>
      </w:r>
      <w:r>
        <w:t>the trial these pieces were produced as exhibits by consent. The certificate of weight was also produced as an exhibit by consent.</w:t>
      </w:r>
    </w:p>
    <w:p w14:paraId="4F2018F3" w14:textId="77777777" w:rsidR="007E082D" w:rsidRDefault="004840E1">
      <w:pPr>
        <w:numPr>
          <w:ilvl w:val="0"/>
          <w:numId w:val="1"/>
        </w:numPr>
        <w:ind w:right="14"/>
      </w:pPr>
      <w:r>
        <w:rPr>
          <w:noProof/>
        </w:rPr>
        <w:drawing>
          <wp:anchor distT="0" distB="0" distL="114300" distR="114300" simplePos="0" relativeHeight="251658240" behindDoc="0" locked="0" layoutInCell="1" allowOverlap="0" wp14:anchorId="3BF48342" wp14:editId="2E5C41EF">
            <wp:simplePos x="0" y="0"/>
            <wp:positionH relativeFrom="page">
              <wp:posOffset>6800088</wp:posOffset>
            </wp:positionH>
            <wp:positionV relativeFrom="page">
              <wp:posOffset>490868</wp:posOffset>
            </wp:positionV>
            <wp:extent cx="27432" cy="45733"/>
            <wp:effectExtent l="0" t="0" r="0" b="0"/>
            <wp:wrapTopAndBottom/>
            <wp:docPr id="4556" name="Picture 4556"/>
            <wp:cNvGraphicFramePr/>
            <a:graphic xmlns:a="http://schemas.openxmlformats.org/drawingml/2006/main">
              <a:graphicData uri="http://schemas.openxmlformats.org/drawingml/2006/picture">
                <pic:pic xmlns:pic="http://schemas.openxmlformats.org/drawingml/2006/picture">
                  <pic:nvPicPr>
                    <pic:cNvPr id="4556" name="Picture 4556"/>
                    <pic:cNvPicPr/>
                  </pic:nvPicPr>
                  <pic:blipFill>
                    <a:blip r:embed="rId11"/>
                    <a:stretch>
                      <a:fillRect/>
                    </a:stretch>
                  </pic:blipFill>
                  <pic:spPr>
                    <a:xfrm>
                      <a:off x="0" y="0"/>
                      <a:ext cx="27432" cy="45733"/>
                    </a:xfrm>
                    <a:prstGeom prst="rect">
                      <a:avLst/>
                    </a:prstGeom>
                  </pic:spPr>
                </pic:pic>
              </a:graphicData>
            </a:graphic>
          </wp:anchor>
        </w:drawing>
      </w:r>
      <w:proofErr w:type="spellStart"/>
      <w:r>
        <w:t>Munkuli</w:t>
      </w:r>
      <w:proofErr w:type="spellEnd"/>
      <w:r>
        <w:t xml:space="preserve"> and the two erstwhile co-accused did not testify in their defence. Ndlovu testified in his d</w:t>
      </w:r>
      <w:r>
        <w:t xml:space="preserve">efence and his evidence was that that one </w:t>
      </w:r>
      <w:proofErr w:type="spellStart"/>
      <w:r>
        <w:t>Bonde</w:t>
      </w:r>
      <w:proofErr w:type="spellEnd"/>
      <w:r>
        <w:t xml:space="preserve"> (real name" </w:t>
      </w:r>
      <w:proofErr w:type="spellStart"/>
      <w:r>
        <w:t>Midzi</w:t>
      </w:r>
      <w:proofErr w:type="spellEnd"/>
      <w:r>
        <w:t xml:space="preserve">") said he must find him people with elephant tusks, and was given US$50.00 with a promise that if he finds such </w:t>
      </w:r>
      <w:r>
        <w:rPr>
          <w:noProof/>
        </w:rPr>
        <w:drawing>
          <wp:inline distT="0" distB="0" distL="0" distR="0" wp14:anchorId="245A4831" wp14:editId="36903586">
            <wp:extent cx="3048" cy="15244"/>
            <wp:effectExtent l="0" t="0" r="0" b="0"/>
            <wp:docPr id="44735" name="Picture 44735"/>
            <wp:cNvGraphicFramePr/>
            <a:graphic xmlns:a="http://schemas.openxmlformats.org/drawingml/2006/main">
              <a:graphicData uri="http://schemas.openxmlformats.org/drawingml/2006/picture">
                <pic:pic xmlns:pic="http://schemas.openxmlformats.org/drawingml/2006/picture">
                  <pic:nvPicPr>
                    <pic:cNvPr id="44735" name="Picture 44735"/>
                    <pic:cNvPicPr/>
                  </pic:nvPicPr>
                  <pic:blipFill>
                    <a:blip r:embed="rId12"/>
                    <a:stretch>
                      <a:fillRect/>
                    </a:stretch>
                  </pic:blipFill>
                  <pic:spPr>
                    <a:xfrm>
                      <a:off x="0" y="0"/>
                      <a:ext cx="3048" cy="15244"/>
                    </a:xfrm>
                    <a:prstGeom prst="rect">
                      <a:avLst/>
                    </a:prstGeom>
                  </pic:spPr>
                </pic:pic>
              </a:graphicData>
            </a:graphic>
          </wp:inline>
        </w:drawing>
      </w:r>
      <w:r>
        <w:t>people he would be given a further US$ 100.00. His version was that he was in</w:t>
      </w:r>
      <w:r>
        <w:t xml:space="preserve">vited to </w:t>
      </w:r>
      <w:proofErr w:type="spellStart"/>
      <w:r>
        <w:t>Mbizha</w:t>
      </w:r>
      <w:proofErr w:type="spellEnd"/>
      <w:r>
        <w:t xml:space="preserve"> </w:t>
      </w:r>
      <w:r>
        <w:rPr>
          <w:noProof/>
        </w:rPr>
        <w:drawing>
          <wp:inline distT="0" distB="0" distL="0" distR="0" wp14:anchorId="55623896" wp14:editId="3421A357">
            <wp:extent cx="3048" cy="3049"/>
            <wp:effectExtent l="0" t="0" r="0" b="0"/>
            <wp:docPr id="4561" name="Picture 4561"/>
            <wp:cNvGraphicFramePr/>
            <a:graphic xmlns:a="http://schemas.openxmlformats.org/drawingml/2006/main">
              <a:graphicData uri="http://schemas.openxmlformats.org/drawingml/2006/picture">
                <pic:pic xmlns:pic="http://schemas.openxmlformats.org/drawingml/2006/picture">
                  <pic:nvPicPr>
                    <pic:cNvPr id="4561" name="Picture 4561"/>
                    <pic:cNvPicPr/>
                  </pic:nvPicPr>
                  <pic:blipFill>
                    <a:blip r:embed="rId7"/>
                    <a:stretch>
                      <a:fillRect/>
                    </a:stretch>
                  </pic:blipFill>
                  <pic:spPr>
                    <a:xfrm>
                      <a:off x="0" y="0"/>
                      <a:ext cx="3048" cy="3049"/>
                    </a:xfrm>
                    <a:prstGeom prst="rect">
                      <a:avLst/>
                    </a:prstGeom>
                  </pic:spPr>
                </pic:pic>
              </a:graphicData>
            </a:graphic>
          </wp:inline>
        </w:drawing>
      </w:r>
      <w:r>
        <w:t xml:space="preserve">turn-off by the State witnesses and he in turn invited </w:t>
      </w:r>
      <w:proofErr w:type="spellStart"/>
      <w:r>
        <w:t>Munkuli</w:t>
      </w:r>
      <w:proofErr w:type="spellEnd"/>
      <w:r>
        <w:t xml:space="preserve"> to get transport to go and be with </w:t>
      </w:r>
      <w:r>
        <w:rPr>
          <w:noProof/>
        </w:rPr>
        <w:drawing>
          <wp:inline distT="0" distB="0" distL="0" distR="0" wp14:anchorId="09841A13" wp14:editId="2BE8F9BC">
            <wp:extent cx="3048" cy="3049"/>
            <wp:effectExtent l="0" t="0" r="0" b="0"/>
            <wp:docPr id="4562" name="Picture 4562"/>
            <wp:cNvGraphicFramePr/>
            <a:graphic xmlns:a="http://schemas.openxmlformats.org/drawingml/2006/main">
              <a:graphicData uri="http://schemas.openxmlformats.org/drawingml/2006/picture">
                <pic:pic xmlns:pic="http://schemas.openxmlformats.org/drawingml/2006/picture">
                  <pic:nvPicPr>
                    <pic:cNvPr id="4562" name="Picture 4562"/>
                    <pic:cNvPicPr/>
                  </pic:nvPicPr>
                  <pic:blipFill>
                    <a:blip r:embed="rId13"/>
                    <a:stretch>
                      <a:fillRect/>
                    </a:stretch>
                  </pic:blipFill>
                  <pic:spPr>
                    <a:xfrm>
                      <a:off x="0" y="0"/>
                      <a:ext cx="3048" cy="3049"/>
                    </a:xfrm>
                    <a:prstGeom prst="rect">
                      <a:avLst/>
                    </a:prstGeom>
                  </pic:spPr>
                </pic:pic>
              </a:graphicData>
            </a:graphic>
          </wp:inline>
        </w:drawing>
      </w:r>
      <w:r>
        <w:t xml:space="preserve">his children at a place called </w:t>
      </w:r>
      <w:proofErr w:type="spellStart"/>
      <w:r>
        <w:t>Chikanda</w:t>
      </w:r>
      <w:proofErr w:type="spellEnd"/>
      <w:r>
        <w:t xml:space="preserve">. He said the sack with ivory was in the vehicle with </w:t>
      </w:r>
      <w:proofErr w:type="spellStart"/>
      <w:r>
        <w:t>Midzi</w:t>
      </w:r>
      <w:proofErr w:type="spellEnd"/>
      <w:r>
        <w:t xml:space="preserve"> and ZRP officers. In essence he denied th</w:t>
      </w:r>
      <w:r>
        <w:t xml:space="preserve">e allegations of unlawful possession of ivory. </w:t>
      </w:r>
      <w:r>
        <w:rPr>
          <w:noProof/>
        </w:rPr>
        <w:drawing>
          <wp:inline distT="0" distB="0" distL="0" distR="0" wp14:anchorId="23C168EE" wp14:editId="4DE33ED0">
            <wp:extent cx="3048" cy="3049"/>
            <wp:effectExtent l="0" t="0" r="0" b="0"/>
            <wp:docPr id="4563" name="Picture 4563"/>
            <wp:cNvGraphicFramePr/>
            <a:graphic xmlns:a="http://schemas.openxmlformats.org/drawingml/2006/main">
              <a:graphicData uri="http://schemas.openxmlformats.org/drawingml/2006/picture">
                <pic:pic xmlns:pic="http://schemas.openxmlformats.org/drawingml/2006/picture">
                  <pic:nvPicPr>
                    <pic:cNvPr id="4563" name="Picture 4563"/>
                    <pic:cNvPicPr/>
                  </pic:nvPicPr>
                  <pic:blipFill>
                    <a:blip r:embed="rId14"/>
                    <a:stretch>
                      <a:fillRect/>
                    </a:stretch>
                  </pic:blipFill>
                  <pic:spPr>
                    <a:xfrm>
                      <a:off x="0" y="0"/>
                      <a:ext cx="3048" cy="3049"/>
                    </a:xfrm>
                    <a:prstGeom prst="rect">
                      <a:avLst/>
                    </a:prstGeom>
                  </pic:spPr>
                </pic:pic>
              </a:graphicData>
            </a:graphic>
          </wp:inline>
        </w:drawing>
      </w:r>
      <w:r>
        <w:t xml:space="preserve">[4] The trial court found that as against the two appellants, the prosecution proved the State case beyond a reasonable doubt. In that at </w:t>
      </w:r>
      <w:proofErr w:type="spellStart"/>
      <w:r>
        <w:t>Mbizha</w:t>
      </w:r>
      <w:proofErr w:type="spellEnd"/>
      <w:r>
        <w:t xml:space="preserve"> turn-</w:t>
      </w:r>
      <w:proofErr w:type="spellStart"/>
      <w:r>
        <w:t>offthe</w:t>
      </w:r>
      <w:proofErr w:type="spellEnd"/>
      <w:r>
        <w:t xml:space="preserve"> appellants brought the ivory into the motor vehicle</w:t>
      </w:r>
      <w:r>
        <w:t xml:space="preserve">, and they knew it was ivory and they intended to sell it to </w:t>
      </w:r>
      <w:proofErr w:type="spellStart"/>
      <w:r>
        <w:t>Midzi</w:t>
      </w:r>
      <w:proofErr w:type="spellEnd"/>
      <w:r>
        <w:t xml:space="preserve"> and the ZRP officers. The trial court found no special circumstances that warranted a deviation from the minimum sentences prescribed in terms of the law. Accordingly, each appellant was se</w:t>
      </w:r>
      <w:r>
        <w:t>ntenced to nine (9) years imprisonment.</w:t>
      </w:r>
    </w:p>
    <w:p w14:paraId="1D6A0124" w14:textId="77777777" w:rsidR="007E082D" w:rsidRDefault="004840E1">
      <w:pPr>
        <w:ind w:left="47" w:right="14"/>
      </w:pPr>
      <w:r>
        <w:t>[5] Aggrieved by this result, the appellants noted an appeal against both conviction and sentence to this court. The grounds of appeal are these:</w:t>
      </w:r>
    </w:p>
    <w:p w14:paraId="06BA73E9" w14:textId="77777777" w:rsidR="007E082D" w:rsidRDefault="004840E1">
      <w:pPr>
        <w:spacing w:after="85" w:line="259" w:lineRule="auto"/>
        <w:ind w:left="677" w:right="0" w:firstLine="0"/>
        <w:jc w:val="left"/>
      </w:pPr>
      <w:r>
        <w:rPr>
          <w:u w:val="single" w:color="000000"/>
        </w:rPr>
        <w:t>Ad conviction</w:t>
      </w:r>
    </w:p>
    <w:p w14:paraId="39FD5D1B" w14:textId="77777777" w:rsidR="007E082D" w:rsidRDefault="004840E1">
      <w:pPr>
        <w:numPr>
          <w:ilvl w:val="0"/>
          <w:numId w:val="2"/>
        </w:numPr>
        <w:ind w:right="240" w:hanging="672"/>
      </w:pPr>
      <w:r>
        <w:t>The court a quo erred and misdirected itself in both fact and law by convicting appellants of be</w:t>
      </w:r>
      <w:r>
        <w:t>ing in possession of raw unmarked / unregistered ivory when the State did not prove its case beyond a reasonable doubt.</w:t>
      </w:r>
    </w:p>
    <w:p w14:paraId="47E995C5" w14:textId="77777777" w:rsidR="007E082D" w:rsidRDefault="004840E1">
      <w:pPr>
        <w:numPr>
          <w:ilvl w:val="0"/>
          <w:numId w:val="2"/>
        </w:numPr>
        <w:ind w:right="240" w:hanging="672"/>
      </w:pPr>
      <w:r>
        <w:t xml:space="preserve">The trial court erred and misdirected itself, the appellants' </w:t>
      </w:r>
      <w:proofErr w:type="spellStart"/>
      <w:r>
        <w:t>defense</w:t>
      </w:r>
      <w:proofErr w:type="spellEnd"/>
      <w:r>
        <w:t>, explanation, version of events was not proved to be false or untr</w:t>
      </w:r>
      <w:r>
        <w:t>ue. The appellants were charged with two other people, and all the four's defence was such that they can only either be all acquitted or all found guilty and so was the State evidence. No logical explanation for convicting some and acquitting some is given</w:t>
      </w:r>
      <w:r>
        <w:t>.</w:t>
      </w:r>
    </w:p>
    <w:p w14:paraId="672392E9" w14:textId="77777777" w:rsidR="007E082D" w:rsidRDefault="004840E1">
      <w:pPr>
        <w:numPr>
          <w:ilvl w:val="0"/>
          <w:numId w:val="2"/>
        </w:numPr>
        <w:ind w:right="240" w:hanging="672"/>
      </w:pPr>
      <w:r>
        <w:t>The court a quo erred in law by convicting the appellants when at the end of the trial there were serious discrepancies between the totality of State evidence, and allegations in the State outline.</w:t>
      </w:r>
    </w:p>
    <w:p w14:paraId="5AC7E782" w14:textId="77777777" w:rsidR="007E082D" w:rsidRDefault="004840E1">
      <w:pPr>
        <w:pStyle w:val="Heading1"/>
        <w:spacing w:after="352"/>
      </w:pPr>
      <w:r>
        <w:t>Ad sentence</w:t>
      </w:r>
    </w:p>
    <w:p w14:paraId="42095186" w14:textId="77777777" w:rsidR="007E082D" w:rsidRDefault="004840E1">
      <w:pPr>
        <w:spacing w:after="295"/>
        <w:ind w:left="1622" w:right="14" w:hanging="662"/>
      </w:pPr>
      <w:r>
        <w:t xml:space="preserve">iv. Without prejudice to the foregoing, the </w:t>
      </w:r>
      <w:r>
        <w:t xml:space="preserve">trial court erred and improperly exercised its discretion in sentencing the appellants to a mandatory minimum nine (9) years yet </w:t>
      </w:r>
      <w:r>
        <w:lastRenderedPageBreak/>
        <w:t>the circumstances of the case and the totality of evidence established special circumstances warranting or justifying departure</w:t>
      </w:r>
      <w:r>
        <w:t xml:space="preserve"> from the imposition of the mandatory minimum nine (9) years imprisonment.</w:t>
      </w:r>
    </w:p>
    <w:p w14:paraId="7A895FB6" w14:textId="77777777" w:rsidR="007E082D" w:rsidRDefault="004840E1">
      <w:pPr>
        <w:numPr>
          <w:ilvl w:val="0"/>
          <w:numId w:val="3"/>
        </w:numPr>
        <w:ind w:right="14"/>
      </w:pPr>
      <w:r>
        <w:t>At the commencement of the appeal hearing, Mr Ngwenya counsel for the appellants submitted that the proceedings in the trial court were irregular and not in accordance with real and</w:t>
      </w:r>
      <w:r>
        <w:t xml:space="preserve"> substantial justice in that the three accused persons, i.e., </w:t>
      </w:r>
      <w:proofErr w:type="spellStart"/>
      <w:r>
        <w:t>Munkuli</w:t>
      </w:r>
      <w:proofErr w:type="spellEnd"/>
      <w:r>
        <w:t xml:space="preserve"> and the erstwhile two </w:t>
      </w:r>
      <w:proofErr w:type="spellStart"/>
      <w:r>
        <w:t>coaccused</w:t>
      </w:r>
      <w:proofErr w:type="spellEnd"/>
      <w:r>
        <w:t xml:space="preserve"> did not testify in their defence. And the prosecution and the court did not question them in terms of s 198(9) </w:t>
      </w:r>
      <w:proofErr w:type="spellStart"/>
      <w:r>
        <w:t>ofthe</w:t>
      </w:r>
      <w:proofErr w:type="spellEnd"/>
      <w:r>
        <w:t xml:space="preserve"> Criminal Procedure and Evidence Act [</w:t>
      </w:r>
      <w:r>
        <w:t xml:space="preserve">Chapter 9:07]. Counsel submitted further that the defence outlines tendered by the accused did not constitute evidence, </w:t>
      </w:r>
      <w:r>
        <w:rPr>
          <w:noProof/>
        </w:rPr>
        <w:drawing>
          <wp:inline distT="0" distB="0" distL="0" distR="0" wp14:anchorId="21ED8EED" wp14:editId="3190DA03">
            <wp:extent cx="3048" cy="3049"/>
            <wp:effectExtent l="0" t="0" r="0" b="0"/>
            <wp:docPr id="7532" name="Picture 7532"/>
            <wp:cNvGraphicFramePr/>
            <a:graphic xmlns:a="http://schemas.openxmlformats.org/drawingml/2006/main">
              <a:graphicData uri="http://schemas.openxmlformats.org/drawingml/2006/picture">
                <pic:pic xmlns:pic="http://schemas.openxmlformats.org/drawingml/2006/picture">
                  <pic:nvPicPr>
                    <pic:cNvPr id="7532" name="Picture 7532"/>
                    <pic:cNvPicPr/>
                  </pic:nvPicPr>
                  <pic:blipFill>
                    <a:blip r:embed="rId7"/>
                    <a:stretch>
                      <a:fillRect/>
                    </a:stretch>
                  </pic:blipFill>
                  <pic:spPr>
                    <a:xfrm>
                      <a:off x="0" y="0"/>
                      <a:ext cx="3048" cy="3049"/>
                    </a:xfrm>
                    <a:prstGeom prst="rect">
                      <a:avLst/>
                    </a:prstGeom>
                  </pic:spPr>
                </pic:pic>
              </a:graphicData>
            </a:graphic>
          </wp:inline>
        </w:drawing>
      </w:r>
      <w:r>
        <w:t>and that the failure of the three to testify constituted an irregularity such that this court must in terms of s 29(4) of the High Cour</w:t>
      </w:r>
      <w:r>
        <w:t xml:space="preserve">t Act [Chapter 7:09] review and set aside the proceedings and remit the matter for trial de novo before a different magistrate. Mr </w:t>
      </w:r>
      <w:proofErr w:type="spellStart"/>
      <w:r>
        <w:t>Shava</w:t>
      </w:r>
      <w:proofErr w:type="spellEnd"/>
      <w:r>
        <w:t xml:space="preserve"> counsel for the respondent associated </w:t>
      </w:r>
      <w:proofErr w:type="spellStart"/>
      <w:r>
        <w:t>himselfwith</w:t>
      </w:r>
      <w:proofErr w:type="spellEnd"/>
      <w:r>
        <w:t xml:space="preserve"> the submissions made by Mr. Ngwenya that the proceedings were irregul</w:t>
      </w:r>
      <w:r>
        <w:t xml:space="preserve">ar. Mr </w:t>
      </w:r>
      <w:proofErr w:type="spellStart"/>
      <w:r>
        <w:t>Shava</w:t>
      </w:r>
      <w:proofErr w:type="spellEnd"/>
      <w:r>
        <w:t xml:space="preserve"> submitted further that since at the close </w:t>
      </w:r>
      <w:proofErr w:type="spellStart"/>
      <w:r>
        <w:t>ofthe</w:t>
      </w:r>
      <w:proofErr w:type="spellEnd"/>
      <w:r>
        <w:t xml:space="preserve"> case for the prosecution, the trial court found that all the accused persons had a case to answer, the three accused did not answer. Counsel then submitted that the proceedings must be reviewed a</w:t>
      </w:r>
      <w:r>
        <w:t>nd set aside in terms of s 29(4) of the High Court Act.</w:t>
      </w:r>
    </w:p>
    <w:p w14:paraId="0329C7C0" w14:textId="77777777" w:rsidR="007E082D" w:rsidRDefault="004840E1">
      <w:pPr>
        <w:numPr>
          <w:ilvl w:val="0"/>
          <w:numId w:val="3"/>
        </w:numPr>
        <w:ind w:right="14"/>
      </w:pPr>
      <w:r>
        <w:t>The three accused persons exercised their right enshrined in s 70(1)(</w:t>
      </w:r>
      <w:proofErr w:type="spellStart"/>
      <w:r>
        <w:t>i</w:t>
      </w:r>
      <w:proofErr w:type="spellEnd"/>
      <w:r>
        <w:t>) of the Constitution to remain silent and not to testify at the trial. The prosecutor and the court did not exercise the option a</w:t>
      </w:r>
      <w:r>
        <w:t>vailable to them to question these accused persons in accordance with s 198(9) of the Criminal Procedure and Evidence Act. Which says if an accused declines to give evidence, the prosecutor and the court may nevertheless question him. There is nothing irre</w:t>
      </w:r>
      <w:r>
        <w:t>gular occasioned by an accused person exercising his right to remain silent, and the prosecutor and the court not questioning him in terms of s 198(9). (For completeness, I digress and point out that on the principle of the presumption of constitutionality</w:t>
      </w:r>
      <w:r>
        <w:t xml:space="preserve"> of legislation s 198(9) is law in this country. Every statute is presumed to be constitutional, that is to say, the legislature is presumed to have acted within the parameters of the Constitution. See </w:t>
      </w:r>
      <w:proofErr w:type="spellStart"/>
      <w:r>
        <w:t>Magaya</w:t>
      </w:r>
      <w:proofErr w:type="spellEnd"/>
      <w:r>
        <w:t xml:space="preserve"> v Zimbabwe Gender Commission</w:t>
      </w:r>
    </w:p>
    <w:p w14:paraId="74E0C353" w14:textId="77777777" w:rsidR="007E082D" w:rsidRDefault="004840E1">
      <w:pPr>
        <w:spacing w:after="29"/>
        <w:ind w:left="206" w:right="14"/>
      </w:pPr>
      <w:r>
        <w:t>(105 of 2021) [202</w:t>
      </w:r>
      <w:r>
        <w:t>1] ZWSC 105 (5 October 2021); Zimbabwe Electoral Commission &amp; Anor v The Commissioner General Zimbabwe Republic Police &amp; Ors SC CCZ 3/14). Therefore, the argument that the failure of the three accused persons to testify in their defence constituted an irre</w:t>
      </w:r>
      <w:r>
        <w:t xml:space="preserve">gularity in the proceedings is ill-conceived. Equally ill-conceived is the concession made by Mr </w:t>
      </w:r>
      <w:proofErr w:type="spellStart"/>
      <w:r>
        <w:t>Shava</w:t>
      </w:r>
      <w:proofErr w:type="spellEnd"/>
      <w:r>
        <w:t xml:space="preserve"> for the respondent. No irregularity occurred in the proceedings. In the circumstances the submission that the proceedings be reviewed and set aside and t</w:t>
      </w:r>
      <w:r>
        <w:t>he matter be remitted for trial de novo before a different magistrate has no basis at law and is refused.</w:t>
      </w:r>
      <w:r>
        <w:rPr>
          <w:noProof/>
        </w:rPr>
        <w:drawing>
          <wp:inline distT="0" distB="0" distL="0" distR="0" wp14:anchorId="1D087C9C" wp14:editId="69A12624">
            <wp:extent cx="3048" cy="3049"/>
            <wp:effectExtent l="0" t="0" r="0" b="0"/>
            <wp:docPr id="10600" name="Picture 10600"/>
            <wp:cNvGraphicFramePr/>
            <a:graphic xmlns:a="http://schemas.openxmlformats.org/drawingml/2006/main">
              <a:graphicData uri="http://schemas.openxmlformats.org/drawingml/2006/picture">
                <pic:pic xmlns:pic="http://schemas.openxmlformats.org/drawingml/2006/picture">
                  <pic:nvPicPr>
                    <pic:cNvPr id="10600" name="Picture 10600"/>
                    <pic:cNvPicPr/>
                  </pic:nvPicPr>
                  <pic:blipFill>
                    <a:blip r:embed="rId14"/>
                    <a:stretch>
                      <a:fillRect/>
                    </a:stretch>
                  </pic:blipFill>
                  <pic:spPr>
                    <a:xfrm>
                      <a:off x="0" y="0"/>
                      <a:ext cx="3048" cy="3049"/>
                    </a:xfrm>
                    <a:prstGeom prst="rect">
                      <a:avLst/>
                    </a:prstGeom>
                  </pic:spPr>
                </pic:pic>
              </a:graphicData>
            </a:graphic>
          </wp:inline>
        </w:drawing>
      </w:r>
    </w:p>
    <w:p w14:paraId="6DB2384B" w14:textId="77777777" w:rsidR="007E082D" w:rsidRDefault="004840E1">
      <w:pPr>
        <w:numPr>
          <w:ilvl w:val="0"/>
          <w:numId w:val="4"/>
        </w:numPr>
        <w:spacing w:after="223"/>
        <w:ind w:right="194"/>
      </w:pPr>
      <w:r>
        <w:lastRenderedPageBreak/>
        <w:t xml:space="preserve">The first ground of appeal is that the court a quo erred and misdirected itself in both fact and law by convicting the appellants when the State did </w:t>
      </w:r>
      <w:r>
        <w:t xml:space="preserve">not prove its case beyond a reasonable doubt. This ground is much too vague and meaningless. A ground of appeal must state concisely and clearly the findings of fact or rulings of law appealed against. This is not a valid </w:t>
      </w:r>
      <w:r>
        <w:rPr>
          <w:noProof/>
        </w:rPr>
        <w:drawing>
          <wp:inline distT="0" distB="0" distL="0" distR="0" wp14:anchorId="66411921" wp14:editId="6A6DEFF6">
            <wp:extent cx="3048" cy="3049"/>
            <wp:effectExtent l="0" t="0" r="0" b="0"/>
            <wp:docPr id="10601" name="Picture 10601"/>
            <wp:cNvGraphicFramePr/>
            <a:graphic xmlns:a="http://schemas.openxmlformats.org/drawingml/2006/main">
              <a:graphicData uri="http://schemas.openxmlformats.org/drawingml/2006/picture">
                <pic:pic xmlns:pic="http://schemas.openxmlformats.org/drawingml/2006/picture">
                  <pic:nvPicPr>
                    <pic:cNvPr id="10601" name="Picture 10601"/>
                    <pic:cNvPicPr/>
                  </pic:nvPicPr>
                  <pic:blipFill>
                    <a:blip r:embed="rId15"/>
                    <a:stretch>
                      <a:fillRect/>
                    </a:stretch>
                  </pic:blipFill>
                  <pic:spPr>
                    <a:xfrm>
                      <a:off x="0" y="0"/>
                      <a:ext cx="3048" cy="3049"/>
                    </a:xfrm>
                    <a:prstGeom prst="rect">
                      <a:avLst/>
                    </a:prstGeom>
                  </pic:spPr>
                </pic:pic>
              </a:graphicData>
            </a:graphic>
          </wp:inline>
        </w:drawing>
      </w:r>
      <w:r>
        <w:t xml:space="preserve">ground of appeal. See </w:t>
      </w:r>
      <w:proofErr w:type="spellStart"/>
      <w:r>
        <w:t>Chimaiwache</w:t>
      </w:r>
      <w:proofErr w:type="spellEnd"/>
      <w:r>
        <w:t xml:space="preserve"> v The State SC 18/13; S v Jack 1990 (2) ZLR 167. In R v Emerson &amp; Ors 1958 (1) SA 442 (SR) the court stated that:</w:t>
      </w:r>
    </w:p>
    <w:p w14:paraId="692690CD" w14:textId="77777777" w:rsidR="007E082D" w:rsidRDefault="004840E1">
      <w:pPr>
        <w:spacing w:after="301" w:line="252" w:lineRule="auto"/>
        <w:ind w:left="701" w:right="245" w:hanging="10"/>
      </w:pPr>
      <w:r>
        <w:rPr>
          <w:sz w:val="20"/>
        </w:rPr>
        <w:t>"It is safe, however, to go thus far. If a ground of appeal is that the magistrate erred in law this should be stated and the particular mist</w:t>
      </w:r>
      <w:r>
        <w:rPr>
          <w:sz w:val="20"/>
        </w:rPr>
        <w:t>ake in law which the magistrate is alleged to have made should be set out."</w:t>
      </w:r>
    </w:p>
    <w:p w14:paraId="078DF68C" w14:textId="77777777" w:rsidR="007E082D" w:rsidRDefault="004840E1">
      <w:pPr>
        <w:numPr>
          <w:ilvl w:val="0"/>
          <w:numId w:val="4"/>
        </w:numPr>
        <w:ind w:right="194"/>
      </w:pPr>
      <w:r>
        <w:rPr>
          <w:noProof/>
        </w:rPr>
        <w:drawing>
          <wp:anchor distT="0" distB="0" distL="114300" distR="114300" simplePos="0" relativeHeight="251659264" behindDoc="0" locked="0" layoutInCell="1" allowOverlap="0" wp14:anchorId="169B9C91" wp14:editId="6AD2253D">
            <wp:simplePos x="0" y="0"/>
            <wp:positionH relativeFrom="page">
              <wp:posOffset>6809233</wp:posOffset>
            </wp:positionH>
            <wp:positionV relativeFrom="page">
              <wp:posOffset>496966</wp:posOffset>
            </wp:positionV>
            <wp:extent cx="24384" cy="24391"/>
            <wp:effectExtent l="0" t="0" r="0" b="0"/>
            <wp:wrapTopAndBottom/>
            <wp:docPr id="10599" name="Picture 10599"/>
            <wp:cNvGraphicFramePr/>
            <a:graphic xmlns:a="http://schemas.openxmlformats.org/drawingml/2006/main">
              <a:graphicData uri="http://schemas.openxmlformats.org/drawingml/2006/picture">
                <pic:pic xmlns:pic="http://schemas.openxmlformats.org/drawingml/2006/picture">
                  <pic:nvPicPr>
                    <pic:cNvPr id="10599" name="Picture 10599"/>
                    <pic:cNvPicPr/>
                  </pic:nvPicPr>
                  <pic:blipFill>
                    <a:blip r:embed="rId16"/>
                    <a:stretch>
                      <a:fillRect/>
                    </a:stretch>
                  </pic:blipFill>
                  <pic:spPr>
                    <a:xfrm>
                      <a:off x="0" y="0"/>
                      <a:ext cx="24384" cy="24391"/>
                    </a:xfrm>
                    <a:prstGeom prst="rect">
                      <a:avLst/>
                    </a:prstGeom>
                  </pic:spPr>
                </pic:pic>
              </a:graphicData>
            </a:graphic>
          </wp:anchor>
        </w:drawing>
      </w:r>
      <w:r>
        <w:t>A ground of appeal which says the State did not prove its case beyond a reasonable doubt, without more is vague and meaningless. It requires the appeal court and the respondent to</w:t>
      </w:r>
      <w:r>
        <w:t xml:space="preserve"> peruse the entire record to answer such a ground. A valid ground must direct the court to a particular mistake the appellant complains about. The first ground of appeal does not state the fact or law on which the trial court is said to have misdirected it</w:t>
      </w:r>
      <w:r>
        <w:t>self. It is invalid. See S v Ncube 1990 (2) ZLR 303 @ 304C-E.</w:t>
      </w:r>
    </w:p>
    <w:p w14:paraId="6C3805D0" w14:textId="77777777" w:rsidR="007E082D" w:rsidRDefault="004840E1">
      <w:pPr>
        <w:numPr>
          <w:ilvl w:val="0"/>
          <w:numId w:val="4"/>
        </w:numPr>
        <w:ind w:right="194"/>
      </w:pPr>
      <w:r>
        <w:t xml:space="preserve">In the second ground of appeal it is contended that trial court erred and misdirected itself in convicting the appellants when their </w:t>
      </w:r>
      <w:proofErr w:type="spellStart"/>
      <w:r>
        <w:t>defense</w:t>
      </w:r>
      <w:proofErr w:type="spellEnd"/>
      <w:r>
        <w:t>, explanation, and version of events was not proved to</w:t>
      </w:r>
      <w:r>
        <w:t xml:space="preserve"> be false. It is further contended that the defence of the appellants and their two erstwhile co-accused, and the adduced evidence at the trial was such that they could all be convicted or acquitted. The court a quo is attacked for the alleged failure to p</w:t>
      </w:r>
      <w:r>
        <w:t>rovide a logical explanation for convicting the appellants and acquitting their erstwhile co-accused. This ground of appeal requires closer scrutiny.</w:t>
      </w:r>
    </w:p>
    <w:p w14:paraId="3C43FC2A" w14:textId="77777777" w:rsidR="007E082D" w:rsidRDefault="004840E1">
      <w:pPr>
        <w:numPr>
          <w:ilvl w:val="0"/>
          <w:numId w:val="4"/>
        </w:numPr>
        <w:ind w:right="194"/>
      </w:pPr>
      <w:proofErr w:type="spellStart"/>
      <w:r>
        <w:t>Munkuli</w:t>
      </w:r>
      <w:proofErr w:type="spellEnd"/>
      <w:r>
        <w:t>, like all the accused persons filed a written defence outline. In his defence outline he contended</w:t>
      </w:r>
      <w:r>
        <w:t xml:space="preserve"> that the sack containing ivory was in possession of the occupants in the vehicle, i.e., </w:t>
      </w:r>
      <w:proofErr w:type="spellStart"/>
      <w:r>
        <w:t>Midzi</w:t>
      </w:r>
      <w:proofErr w:type="spellEnd"/>
      <w:r>
        <w:t xml:space="preserve"> and other officers. He contends that he was shocked when they were themselves accused of possessing ivory without a permit. The court a quo found from the eviden</w:t>
      </w:r>
      <w:r>
        <w:t xml:space="preserve">ce on record that it is </w:t>
      </w:r>
      <w:proofErr w:type="spellStart"/>
      <w:r>
        <w:t>Munkuli</w:t>
      </w:r>
      <w:proofErr w:type="spellEnd"/>
      <w:r>
        <w:t xml:space="preserve"> and Ndlovu who were in possession of the ivory. </w:t>
      </w:r>
      <w:proofErr w:type="spellStart"/>
      <w:r>
        <w:t>Munkuli</w:t>
      </w:r>
      <w:proofErr w:type="spellEnd"/>
      <w:r>
        <w:t xml:space="preserve"> did not testify in his defence and therefore did not place his version before the trial court for consideration. It cannot be seriously argued that it was not shown tha</w:t>
      </w:r>
      <w:r>
        <w:t>t his version was false, because he had no version before court, all he had was a defence outline. And a defence outline is not evidence and does not amount to a version. In Dube v The State SC 83/22 the court said the purpose of a defence outline is to in</w:t>
      </w:r>
      <w:r>
        <w:t xml:space="preserve">form the State and the court about the nature of the defence that one intends to adopt as well as to define the issues between the State and the defence. See S v </w:t>
      </w:r>
      <w:proofErr w:type="spellStart"/>
      <w:r>
        <w:t>Hitschmann</w:t>
      </w:r>
      <w:proofErr w:type="spellEnd"/>
      <w:r>
        <w:t xml:space="preserve"> SC 2-07. An accused's version can only be placed before the trial court for conside</w:t>
      </w:r>
      <w:r>
        <w:t xml:space="preserve">ration by means of evidence. </w:t>
      </w:r>
      <w:r>
        <w:lastRenderedPageBreak/>
        <w:t>Therefore, to argue that his version was not shown to be false cannot be correct. His version was not before court.</w:t>
      </w:r>
      <w:r>
        <w:rPr>
          <w:noProof/>
        </w:rPr>
        <w:drawing>
          <wp:inline distT="0" distB="0" distL="0" distR="0" wp14:anchorId="1AEB88B4" wp14:editId="58E81876">
            <wp:extent cx="3048" cy="9146"/>
            <wp:effectExtent l="0" t="0" r="0" b="0"/>
            <wp:docPr id="44738" name="Picture 44738"/>
            <wp:cNvGraphicFramePr/>
            <a:graphic xmlns:a="http://schemas.openxmlformats.org/drawingml/2006/main">
              <a:graphicData uri="http://schemas.openxmlformats.org/drawingml/2006/picture">
                <pic:pic xmlns:pic="http://schemas.openxmlformats.org/drawingml/2006/picture">
                  <pic:nvPicPr>
                    <pic:cNvPr id="44738" name="Picture 44738"/>
                    <pic:cNvPicPr/>
                  </pic:nvPicPr>
                  <pic:blipFill>
                    <a:blip r:embed="rId17"/>
                    <a:stretch>
                      <a:fillRect/>
                    </a:stretch>
                  </pic:blipFill>
                  <pic:spPr>
                    <a:xfrm>
                      <a:off x="0" y="0"/>
                      <a:ext cx="3048" cy="9146"/>
                    </a:xfrm>
                    <a:prstGeom prst="rect">
                      <a:avLst/>
                    </a:prstGeom>
                  </pic:spPr>
                </pic:pic>
              </a:graphicData>
            </a:graphic>
          </wp:inline>
        </w:drawing>
      </w:r>
    </w:p>
    <w:p w14:paraId="172DBDFD" w14:textId="77777777" w:rsidR="007E082D" w:rsidRDefault="004840E1">
      <w:pPr>
        <w:numPr>
          <w:ilvl w:val="0"/>
          <w:numId w:val="4"/>
        </w:numPr>
        <w:ind w:right="194"/>
      </w:pPr>
      <w:r>
        <w:t xml:space="preserve">Ndlovu testified, and said the sack containing ivory was in the vehicle used by the arresting officers. His evidence was that the officers produced the sack and asked him and </w:t>
      </w:r>
      <w:proofErr w:type="spellStart"/>
      <w:r>
        <w:t>Munkuli</w:t>
      </w:r>
      <w:proofErr w:type="spellEnd"/>
      <w:r>
        <w:t xml:space="preserve"> as to what was inside the sack. Viewed in isolation, his evidence might c</w:t>
      </w:r>
      <w:r>
        <w:t xml:space="preserve">arry some weight, but evidence is not viewed in separate compartments. A court does not base its conclusion, whether it be to convict or to acquit, on only part of the evidence. The conclusion which it arrives at must account for all the evidence. See R v </w:t>
      </w:r>
      <w:proofErr w:type="spellStart"/>
      <w:r>
        <w:t>Difford</w:t>
      </w:r>
      <w:proofErr w:type="spellEnd"/>
      <w:r>
        <w:t xml:space="preserve"> 1937 AD 370; S v </w:t>
      </w:r>
      <w:proofErr w:type="spellStart"/>
      <w:r>
        <w:t>Jochems</w:t>
      </w:r>
      <w:proofErr w:type="spellEnd"/>
      <w:r>
        <w:t xml:space="preserve"> 1991 (1) SACR 208 (A), S v Jaffer 1988 (2) SA 84 (C), S v Kubeka 1982 (1) SA 534 (W) at 537 F-H. After considering all the evidence the trial court rejected his version. This is a case where the State's version was so convi</w:t>
      </w:r>
      <w:r>
        <w:t xml:space="preserve">ncing and conclusive as to exclude the reasonable possibility that the second appellant was innocent, no matter his evidence to the contrary. It was false that he and the first appellant found the sack containing ivory in the car used by the officers. The </w:t>
      </w:r>
      <w:r>
        <w:t>trial court cannot be faulted for rejecting his version as false.</w:t>
      </w:r>
    </w:p>
    <w:p w14:paraId="50DE4782" w14:textId="77777777" w:rsidR="007E082D" w:rsidRDefault="004840E1">
      <w:pPr>
        <w:numPr>
          <w:ilvl w:val="0"/>
          <w:numId w:val="4"/>
        </w:numPr>
        <w:ind w:right="194"/>
      </w:pPr>
      <w:r>
        <w:t>The appellants take issue with the acquittal of their erstwhile co-accused. They contend that the evidence was such that all four would either be convicted or acquitted. Nothing turns on thi</w:t>
      </w:r>
      <w:r>
        <w:t>s issue, for the simple reason that the erstwhile co-accused are not before this court. This court cannot, in their absence start to assess whether their acquittals were in accordance with requirements of the law. Without the State appealing the acquittals</w:t>
      </w:r>
      <w:r>
        <w:t>, their cases have been finalized.</w:t>
      </w:r>
    </w:p>
    <w:p w14:paraId="7A6A33B2" w14:textId="77777777" w:rsidR="007E082D" w:rsidRDefault="004840E1">
      <w:pPr>
        <w:numPr>
          <w:ilvl w:val="0"/>
          <w:numId w:val="4"/>
        </w:numPr>
        <w:ind w:right="194"/>
      </w:pPr>
      <w:r>
        <w:t>On the facts and the evidence before it, the trial court found that there was sufficient evidence that the two appellants were in possession of the two pieces of ivory. It is trite that the appellate court's limited power</w:t>
      </w:r>
      <w:r>
        <w:t>s to interfere with a trial court's finding of fact is well established. In the absence of a demonstrable and material misdirection by the trial court, its findings of fact are presumed to be correct and will only be disregarded if the recorded evidence sh</w:t>
      </w:r>
      <w:r>
        <w:t>ows them</w:t>
      </w:r>
    </w:p>
    <w:p w14:paraId="574E1BF7" w14:textId="77777777" w:rsidR="007E082D" w:rsidRDefault="007E082D">
      <w:pPr>
        <w:sectPr w:rsidR="007E082D">
          <w:headerReference w:type="even" r:id="rId18"/>
          <w:headerReference w:type="default" r:id="rId19"/>
          <w:headerReference w:type="first" r:id="rId20"/>
          <w:pgSz w:w="11904" w:h="16834"/>
          <w:pgMar w:top="1766" w:right="1454" w:bottom="2299" w:left="1690" w:header="888" w:footer="720" w:gutter="0"/>
          <w:cols w:space="720"/>
        </w:sectPr>
      </w:pPr>
    </w:p>
    <w:p w14:paraId="6A93A693" w14:textId="77777777" w:rsidR="007E082D" w:rsidRDefault="004840E1">
      <w:pPr>
        <w:spacing w:after="309" w:line="233" w:lineRule="auto"/>
        <w:ind w:left="7596" w:right="0" w:firstLine="0"/>
        <w:jc w:val="center"/>
      </w:pPr>
      <w:r>
        <w:lastRenderedPageBreak/>
        <w:t>126 - 24 149/22</w:t>
      </w:r>
    </w:p>
    <w:p w14:paraId="3D6A390F" w14:textId="77777777" w:rsidR="007E082D" w:rsidRDefault="004840E1">
      <w:pPr>
        <w:ind w:left="47" w:right="192"/>
      </w:pPr>
      <w:r>
        <w:t xml:space="preserve">to be wrong. See Hama v National Railways </w:t>
      </w:r>
      <w:proofErr w:type="spellStart"/>
      <w:r>
        <w:t>ofZimbabwe</w:t>
      </w:r>
      <w:proofErr w:type="spellEnd"/>
      <w:r>
        <w:t xml:space="preserve"> 1996 (l) ZLR 664 (S); S v </w:t>
      </w:r>
      <w:proofErr w:type="spellStart"/>
      <w:r>
        <w:t>Hadebe</w:t>
      </w:r>
      <w:proofErr w:type="spellEnd"/>
      <w:r>
        <w:t xml:space="preserve"> &amp; others 1997 (2) SACR 641 (SCA) at 645; S v Kekana [2012] ZASCA 75; 2013 (1) SACR 101 (SCA) para 8. The appellants were at a bush on the side of the road, Ndlovu approac</w:t>
      </w:r>
      <w:r>
        <w:t xml:space="preserve">hed </w:t>
      </w:r>
      <w:r>
        <w:rPr>
          <w:noProof/>
        </w:rPr>
        <w:drawing>
          <wp:inline distT="0" distB="0" distL="0" distR="0" wp14:anchorId="5AFF541C" wp14:editId="104AAFEF">
            <wp:extent cx="3048" cy="3049"/>
            <wp:effectExtent l="0" t="0" r="0" b="0"/>
            <wp:docPr id="17347" name="Picture 17347"/>
            <wp:cNvGraphicFramePr/>
            <a:graphic xmlns:a="http://schemas.openxmlformats.org/drawingml/2006/main">
              <a:graphicData uri="http://schemas.openxmlformats.org/drawingml/2006/picture">
                <pic:pic xmlns:pic="http://schemas.openxmlformats.org/drawingml/2006/picture">
                  <pic:nvPicPr>
                    <pic:cNvPr id="17347" name="Picture 17347"/>
                    <pic:cNvPicPr/>
                  </pic:nvPicPr>
                  <pic:blipFill>
                    <a:blip r:embed="rId21"/>
                    <a:stretch>
                      <a:fillRect/>
                    </a:stretch>
                  </pic:blipFill>
                  <pic:spPr>
                    <a:xfrm>
                      <a:off x="0" y="0"/>
                      <a:ext cx="3048" cy="3049"/>
                    </a:xfrm>
                    <a:prstGeom prst="rect">
                      <a:avLst/>
                    </a:prstGeom>
                  </pic:spPr>
                </pic:pic>
              </a:graphicData>
            </a:graphic>
          </wp:inline>
        </w:drawing>
      </w:r>
      <w:r>
        <w:t xml:space="preserve">the vehicle with the officers and informed them that he and others had ivory. He went back to the bush and returned carrying a white sack. On his return he was now with </w:t>
      </w:r>
      <w:proofErr w:type="spellStart"/>
      <w:r>
        <w:t>Munkuli</w:t>
      </w:r>
      <w:proofErr w:type="spellEnd"/>
      <w:r>
        <w:t xml:space="preserve"> and the </w:t>
      </w:r>
      <w:r>
        <w:rPr>
          <w:noProof/>
        </w:rPr>
        <w:drawing>
          <wp:inline distT="0" distB="0" distL="0" distR="0" wp14:anchorId="1C4C1DAC" wp14:editId="2F1B0BA7">
            <wp:extent cx="3048" cy="9147"/>
            <wp:effectExtent l="0" t="0" r="0" b="0"/>
            <wp:docPr id="17348" name="Picture 17348"/>
            <wp:cNvGraphicFramePr/>
            <a:graphic xmlns:a="http://schemas.openxmlformats.org/drawingml/2006/main">
              <a:graphicData uri="http://schemas.openxmlformats.org/drawingml/2006/picture">
                <pic:pic xmlns:pic="http://schemas.openxmlformats.org/drawingml/2006/picture">
                  <pic:nvPicPr>
                    <pic:cNvPr id="17348" name="Picture 17348"/>
                    <pic:cNvPicPr/>
                  </pic:nvPicPr>
                  <pic:blipFill>
                    <a:blip r:embed="rId22"/>
                    <a:stretch>
                      <a:fillRect/>
                    </a:stretch>
                  </pic:blipFill>
                  <pic:spPr>
                    <a:xfrm>
                      <a:off x="0" y="0"/>
                      <a:ext cx="3048" cy="9147"/>
                    </a:xfrm>
                    <a:prstGeom prst="rect">
                      <a:avLst/>
                    </a:prstGeom>
                  </pic:spPr>
                </pic:pic>
              </a:graphicData>
            </a:graphic>
          </wp:inline>
        </w:drawing>
      </w:r>
      <w:r>
        <w:t>sack had ivory, leading to the arrests of the two. The factual fi</w:t>
      </w:r>
      <w:r>
        <w:t>ndings of the trial court that the two were in possession of ivory cannot be faulted.</w:t>
      </w:r>
    </w:p>
    <w:p w14:paraId="2F1BBE41" w14:textId="77777777" w:rsidR="007E082D" w:rsidRDefault="004840E1">
      <w:pPr>
        <w:numPr>
          <w:ilvl w:val="0"/>
          <w:numId w:val="4"/>
        </w:numPr>
        <w:ind w:right="194"/>
      </w:pPr>
      <w:r>
        <w:t>The third ground of appeal is that the court a quo erred in law by convicting the appellants when at end of the trial there were serious discrepancies between the totalit</w:t>
      </w:r>
      <w:r>
        <w:t xml:space="preserve">y of State evidence, and allegations in the State outline. Generally, the difference between the state outline and the </w:t>
      </w:r>
      <w:r>
        <w:rPr>
          <w:noProof/>
        </w:rPr>
        <w:drawing>
          <wp:inline distT="0" distB="0" distL="0" distR="0" wp14:anchorId="3B9ADA0A" wp14:editId="3EAB7957">
            <wp:extent cx="3048" cy="3049"/>
            <wp:effectExtent l="0" t="0" r="0" b="0"/>
            <wp:docPr id="17349" name="Picture 17349"/>
            <wp:cNvGraphicFramePr/>
            <a:graphic xmlns:a="http://schemas.openxmlformats.org/drawingml/2006/main">
              <a:graphicData uri="http://schemas.openxmlformats.org/drawingml/2006/picture">
                <pic:pic xmlns:pic="http://schemas.openxmlformats.org/drawingml/2006/picture">
                  <pic:nvPicPr>
                    <pic:cNvPr id="17349" name="Picture 17349"/>
                    <pic:cNvPicPr/>
                  </pic:nvPicPr>
                  <pic:blipFill>
                    <a:blip r:embed="rId23"/>
                    <a:stretch>
                      <a:fillRect/>
                    </a:stretch>
                  </pic:blipFill>
                  <pic:spPr>
                    <a:xfrm>
                      <a:off x="0" y="0"/>
                      <a:ext cx="3048" cy="3049"/>
                    </a:xfrm>
                    <a:prstGeom prst="rect">
                      <a:avLst/>
                    </a:prstGeom>
                  </pic:spPr>
                </pic:pic>
              </a:graphicData>
            </a:graphic>
          </wp:inline>
        </w:drawing>
      </w:r>
      <w:r>
        <w:t>witness's evidence during the trial cannot be held against the State, as witnesses do not take part in the preparation of the State's ou</w:t>
      </w:r>
      <w:r>
        <w:t xml:space="preserve">tline. See </w:t>
      </w:r>
      <w:proofErr w:type="spellStart"/>
      <w:r>
        <w:t>Wairosi</w:t>
      </w:r>
      <w:proofErr w:type="spellEnd"/>
      <w:r>
        <w:t xml:space="preserve"> v The State SC 20/15. However, a significant and unexplained departure by the State witnesses from the State outline may attract adverse conclusions, and may have consequences, depending on the circumstances of the case.</w:t>
      </w:r>
    </w:p>
    <w:p w14:paraId="565E9A3B" w14:textId="77777777" w:rsidR="007E082D" w:rsidRDefault="004840E1">
      <w:pPr>
        <w:ind w:left="47" w:right="14"/>
      </w:pPr>
      <w:r>
        <w:rPr>
          <w:noProof/>
        </w:rPr>
        <w:drawing>
          <wp:anchor distT="0" distB="0" distL="114300" distR="114300" simplePos="0" relativeHeight="251660288" behindDoc="0" locked="0" layoutInCell="1" allowOverlap="0" wp14:anchorId="535AD1ED" wp14:editId="5E344A56">
            <wp:simplePos x="0" y="0"/>
            <wp:positionH relativeFrom="page">
              <wp:posOffset>6815328</wp:posOffset>
            </wp:positionH>
            <wp:positionV relativeFrom="page">
              <wp:posOffset>481721</wp:posOffset>
            </wp:positionV>
            <wp:extent cx="30480" cy="30489"/>
            <wp:effectExtent l="0" t="0" r="0" b="0"/>
            <wp:wrapTopAndBottom/>
            <wp:docPr id="44740" name="Picture 44740"/>
            <wp:cNvGraphicFramePr/>
            <a:graphic xmlns:a="http://schemas.openxmlformats.org/drawingml/2006/main">
              <a:graphicData uri="http://schemas.openxmlformats.org/drawingml/2006/picture">
                <pic:pic xmlns:pic="http://schemas.openxmlformats.org/drawingml/2006/picture">
                  <pic:nvPicPr>
                    <pic:cNvPr id="44740" name="Picture 44740"/>
                    <pic:cNvPicPr/>
                  </pic:nvPicPr>
                  <pic:blipFill>
                    <a:blip r:embed="rId24"/>
                    <a:stretch>
                      <a:fillRect/>
                    </a:stretch>
                  </pic:blipFill>
                  <pic:spPr>
                    <a:xfrm>
                      <a:off x="0" y="0"/>
                      <a:ext cx="30480" cy="30489"/>
                    </a:xfrm>
                    <a:prstGeom prst="rect">
                      <a:avLst/>
                    </a:prstGeom>
                  </pic:spPr>
                </pic:pic>
              </a:graphicData>
            </a:graphic>
          </wp:anchor>
        </w:drawing>
      </w:r>
      <w:r>
        <w:t xml:space="preserve">see </w:t>
      </w:r>
      <w:proofErr w:type="spellStart"/>
      <w:r>
        <w:t>sv</w:t>
      </w:r>
      <w:proofErr w:type="spellEnd"/>
      <w:r>
        <w:t xml:space="preserve"> Nicolle </w:t>
      </w:r>
      <w:r>
        <w:t xml:space="preserve">1991 (1) ZLR 211 @ 214 B-G; </w:t>
      </w:r>
      <w:proofErr w:type="spellStart"/>
      <w:r>
        <w:t>sv</w:t>
      </w:r>
      <w:proofErr w:type="spellEnd"/>
      <w:r>
        <w:t xml:space="preserve"> Seda 1980 ZLR 109 (G) at 1 IOH - 11 IA; </w:t>
      </w:r>
      <w:proofErr w:type="spellStart"/>
      <w:r>
        <w:t>Ephias</w:t>
      </w:r>
      <w:proofErr w:type="spellEnd"/>
      <w:r>
        <w:t xml:space="preserve"> </w:t>
      </w:r>
      <w:proofErr w:type="spellStart"/>
      <w:r>
        <w:t>Chigova</w:t>
      </w:r>
      <w:proofErr w:type="spellEnd"/>
      <w:r>
        <w:t xml:space="preserve"> v State 1992 (2) ZLR 206 at 213 C.</w:t>
      </w:r>
    </w:p>
    <w:p w14:paraId="064FA261" w14:textId="77777777" w:rsidR="007E082D" w:rsidRDefault="004840E1">
      <w:pPr>
        <w:numPr>
          <w:ilvl w:val="0"/>
          <w:numId w:val="4"/>
        </w:numPr>
        <w:ind w:right="194"/>
      </w:pPr>
      <w:r>
        <w:t>In the heads of argument it is submitted that there are serious discrepancies between the State outline and the evidence adduced at the</w:t>
      </w:r>
      <w:r>
        <w:t xml:space="preserve"> trial. It was argued that according to the State outline, the police applied for a trap certificate to effect an arrest. However, the evidence is that </w:t>
      </w:r>
      <w:r>
        <w:rPr>
          <w:noProof/>
        </w:rPr>
        <w:drawing>
          <wp:inline distT="0" distB="0" distL="0" distR="0" wp14:anchorId="1714ABE6" wp14:editId="0F134430">
            <wp:extent cx="3048" cy="3049"/>
            <wp:effectExtent l="0" t="0" r="0" b="0"/>
            <wp:docPr id="17350" name="Picture 17350"/>
            <wp:cNvGraphicFramePr/>
            <a:graphic xmlns:a="http://schemas.openxmlformats.org/drawingml/2006/main">
              <a:graphicData uri="http://schemas.openxmlformats.org/drawingml/2006/picture">
                <pic:pic xmlns:pic="http://schemas.openxmlformats.org/drawingml/2006/picture">
                  <pic:nvPicPr>
                    <pic:cNvPr id="17350" name="Picture 17350"/>
                    <pic:cNvPicPr/>
                  </pic:nvPicPr>
                  <pic:blipFill>
                    <a:blip r:embed="rId8"/>
                    <a:stretch>
                      <a:fillRect/>
                    </a:stretch>
                  </pic:blipFill>
                  <pic:spPr>
                    <a:xfrm>
                      <a:off x="0" y="0"/>
                      <a:ext cx="3048" cy="3049"/>
                    </a:xfrm>
                    <a:prstGeom prst="rect">
                      <a:avLst/>
                    </a:prstGeom>
                  </pic:spPr>
                </pic:pic>
              </a:graphicData>
            </a:graphic>
          </wp:inline>
        </w:drawing>
      </w:r>
      <w:r>
        <w:t>the trap certificate was not used in the arrest of the appellants and their co-accused. A closer scruti</w:t>
      </w:r>
      <w:r>
        <w:t>ny of the evidence shows that there is no discrepancy in this regard. The State outline says a certificate was applied for and was granted. The fact that it was granted does not mean it was used in the arrest of the appellants and their erstwhile co-accuse</w:t>
      </w:r>
      <w:r>
        <w:t>d.</w:t>
      </w:r>
    </w:p>
    <w:p w14:paraId="381507A7" w14:textId="77777777" w:rsidR="007E082D" w:rsidRDefault="004840E1">
      <w:pPr>
        <w:numPr>
          <w:ilvl w:val="0"/>
          <w:numId w:val="4"/>
        </w:numPr>
        <w:ind w:right="194"/>
      </w:pPr>
      <w:r>
        <w:t xml:space="preserve">There is a discrepancy between the State outline and the evidence adduced by the State. According to the State outline </w:t>
      </w:r>
      <w:proofErr w:type="spellStart"/>
      <w:r>
        <w:t>Munkuli</w:t>
      </w:r>
      <w:proofErr w:type="spellEnd"/>
      <w:r>
        <w:t xml:space="preserve"> in the company </w:t>
      </w:r>
      <w:proofErr w:type="spellStart"/>
      <w:r>
        <w:t>ofNdlovu</w:t>
      </w:r>
      <w:proofErr w:type="spellEnd"/>
      <w:r>
        <w:t xml:space="preserve"> approached the vehicle used by officers carrying a sack. The two got into the vehicle, and then phoned</w:t>
      </w:r>
      <w:r>
        <w:t xml:space="preserve"> their erstwhile </w:t>
      </w:r>
      <w:proofErr w:type="spellStart"/>
      <w:r>
        <w:t>coaccused</w:t>
      </w:r>
      <w:proofErr w:type="spellEnd"/>
      <w:r>
        <w:t xml:space="preserve"> who also came and got into the vehicle. It is said the appellants and their co-accused produced the ivory which was inside the sack, and they got arrested. The evidence adduced in court is that it was Ndlovu who first approached </w:t>
      </w:r>
      <w:r>
        <w:t xml:space="preserve">the vehicle, returned to the bush and came back in the company of </w:t>
      </w:r>
      <w:proofErr w:type="spellStart"/>
      <w:r>
        <w:t>Munkuli</w:t>
      </w:r>
      <w:proofErr w:type="spellEnd"/>
      <w:r>
        <w:t xml:space="preserve"> while carrying a white sack containing ivory. </w:t>
      </w:r>
      <w:proofErr w:type="spellStart"/>
      <w:r>
        <w:t>Munkuli</w:t>
      </w:r>
      <w:proofErr w:type="spellEnd"/>
      <w:r>
        <w:t xml:space="preserve"> then called the erstwhile co-accused who had remained in the bush.</w:t>
      </w:r>
    </w:p>
    <w:p w14:paraId="19D37626" w14:textId="77777777" w:rsidR="007E082D" w:rsidRDefault="004840E1">
      <w:pPr>
        <w:numPr>
          <w:ilvl w:val="0"/>
          <w:numId w:val="4"/>
        </w:numPr>
        <w:spacing w:line="296" w:lineRule="auto"/>
        <w:ind w:right="194"/>
      </w:pPr>
      <w:r>
        <w:t>It is trite that discrepancies must be material to warrant re</w:t>
      </w:r>
      <w:r>
        <w:t xml:space="preserve">jection of a witness' evidence, because they may simply be indicative of an error. See S v </w:t>
      </w:r>
      <w:proofErr w:type="spellStart"/>
      <w:r>
        <w:t>Mkohle</w:t>
      </w:r>
      <w:proofErr w:type="spellEnd"/>
      <w:r>
        <w:t xml:space="preserve"> 1990 (1) SACR 95 (A) at</w:t>
      </w:r>
    </w:p>
    <w:p w14:paraId="60685988" w14:textId="77777777" w:rsidR="007E082D" w:rsidRDefault="004840E1">
      <w:pPr>
        <w:spacing w:after="0" w:line="259" w:lineRule="auto"/>
        <w:ind w:left="0" w:right="0" w:firstLine="0"/>
        <w:jc w:val="right"/>
      </w:pPr>
      <w:r>
        <w:rPr>
          <w:sz w:val="24"/>
        </w:rPr>
        <w:lastRenderedPageBreak/>
        <w:t>126-24</w:t>
      </w:r>
    </w:p>
    <w:p w14:paraId="1E3FAC6C" w14:textId="77777777" w:rsidR="007E082D" w:rsidRDefault="004840E1">
      <w:pPr>
        <w:spacing w:after="241" w:line="259" w:lineRule="auto"/>
        <w:ind w:left="10" w:right="19" w:hanging="10"/>
        <w:jc w:val="right"/>
      </w:pPr>
      <w:r>
        <w:t>149/22</w:t>
      </w:r>
    </w:p>
    <w:p w14:paraId="0BC661EF" w14:textId="77777777" w:rsidR="007E082D" w:rsidRDefault="004840E1">
      <w:pPr>
        <w:ind w:left="206" w:right="14" w:firstLine="77"/>
      </w:pPr>
      <w:r>
        <w:t xml:space="preserve">98f; </w:t>
      </w:r>
      <w:proofErr w:type="spellStart"/>
      <w:r>
        <w:t>sv</w:t>
      </w:r>
      <w:proofErr w:type="spellEnd"/>
      <w:r>
        <w:t xml:space="preserve"> Oosthuizen 1982 (3) SA 571 (T) at 576 G. 13 S The test is whether the discrepancies </w:t>
      </w:r>
      <w:r>
        <w:rPr>
          <w:noProof/>
        </w:rPr>
        <w:drawing>
          <wp:inline distT="0" distB="0" distL="0" distR="0" wp14:anchorId="712BB0AA" wp14:editId="342551AF">
            <wp:extent cx="3048" cy="3049"/>
            <wp:effectExtent l="0" t="0" r="0" b="0"/>
            <wp:docPr id="20639" name="Picture 20639"/>
            <wp:cNvGraphicFramePr/>
            <a:graphic xmlns:a="http://schemas.openxmlformats.org/drawingml/2006/main">
              <a:graphicData uri="http://schemas.openxmlformats.org/drawingml/2006/picture">
                <pic:pic xmlns:pic="http://schemas.openxmlformats.org/drawingml/2006/picture">
                  <pic:nvPicPr>
                    <pic:cNvPr id="20639" name="Picture 20639"/>
                    <pic:cNvPicPr/>
                  </pic:nvPicPr>
                  <pic:blipFill>
                    <a:blip r:embed="rId13"/>
                    <a:stretch>
                      <a:fillRect/>
                    </a:stretch>
                  </pic:blipFill>
                  <pic:spPr>
                    <a:xfrm>
                      <a:off x="0" y="0"/>
                      <a:ext cx="3048" cy="3049"/>
                    </a:xfrm>
                    <a:prstGeom prst="rect">
                      <a:avLst/>
                    </a:prstGeom>
                  </pic:spPr>
                </pic:pic>
              </a:graphicData>
            </a:graphic>
          </wp:inline>
        </w:drawing>
      </w:r>
      <w:r>
        <w:t xml:space="preserve"> are material. In </w:t>
      </w:r>
      <w:proofErr w:type="spellStart"/>
      <w:r>
        <w:t>casu</w:t>
      </w:r>
      <w:proofErr w:type="spellEnd"/>
      <w:r>
        <w:t xml:space="preserve"> the </w:t>
      </w:r>
      <w:r>
        <w:t xml:space="preserve">discrepancies between the State outline and the evidence adduced in court are immaterial if one looks at the evidence holistically. The State witnesses' version is supported by the manner in which the events of the day unfolded. The evidence clearly shows </w:t>
      </w:r>
      <w:r>
        <w:t>that it is the appellants who brought the sack containing ivory to the vehicle. A complete spectrum of the case shows that the appellants were in possession of the sack containing ivory. The trial court was correct in its assessment of evidence and credibi</w:t>
      </w:r>
      <w:r>
        <w:t xml:space="preserve">lity findings. I cannot find that the trial court erred in finding that the defence case is inherently false and fell to be </w:t>
      </w:r>
      <w:proofErr w:type="spellStart"/>
      <w:r>
        <w:t>rej</w:t>
      </w:r>
      <w:proofErr w:type="spellEnd"/>
      <w:r>
        <w:t xml:space="preserve"> </w:t>
      </w:r>
      <w:proofErr w:type="spellStart"/>
      <w:r>
        <w:t>ected</w:t>
      </w:r>
      <w:proofErr w:type="spellEnd"/>
      <w:r>
        <w:t>.</w:t>
      </w:r>
    </w:p>
    <w:p w14:paraId="54A7D83A" w14:textId="77777777" w:rsidR="007E082D" w:rsidRDefault="004840E1">
      <w:pPr>
        <w:numPr>
          <w:ilvl w:val="0"/>
          <w:numId w:val="4"/>
        </w:numPr>
        <w:ind w:right="194"/>
      </w:pPr>
      <w:r>
        <w:t>It is argued in the heads of argument that the appellants were arrested by use of an illegal trap, and the trap was hapha</w:t>
      </w:r>
      <w:r>
        <w:t xml:space="preserve">zardly arranged such that one could not say with certainty who exactly was the trap person. Further it was argued that </w:t>
      </w:r>
      <w:proofErr w:type="spellStart"/>
      <w:r>
        <w:t>Midzi</w:t>
      </w:r>
      <w:proofErr w:type="spellEnd"/>
      <w:r>
        <w:t xml:space="preserve"> operating under the pseudonym name "</w:t>
      </w:r>
      <w:proofErr w:type="spellStart"/>
      <w:r>
        <w:t>Bonde</w:t>
      </w:r>
      <w:proofErr w:type="spellEnd"/>
      <w:r>
        <w:t>" was the trap. A closer scrutiny of the evidence does not show that the appellants were a</w:t>
      </w:r>
      <w:r>
        <w:t xml:space="preserve">rrested by means of a trap. A trap is defined in </w:t>
      </w:r>
      <w:proofErr w:type="spellStart"/>
      <w:r>
        <w:t>Sv</w:t>
      </w:r>
      <w:proofErr w:type="spellEnd"/>
      <w:r>
        <w:t xml:space="preserve"> </w:t>
      </w:r>
      <w:proofErr w:type="spellStart"/>
      <w:r>
        <w:t>Malinga</w:t>
      </w:r>
      <w:proofErr w:type="spellEnd"/>
      <w:r>
        <w:t xml:space="preserve"> and Others 1963 (l) SA 692 (A) as "a person who, with a view to securing the conviction of another, proposes certain criminal conduct to him, and himself ostensibly takes part therein. In other wo</w:t>
      </w:r>
      <w:r>
        <w:t xml:space="preserve">rds, he creates the occasion for someone else to commit the offence." For example, in </w:t>
      </w:r>
      <w:proofErr w:type="spellStart"/>
      <w:r>
        <w:t>Amod</w:t>
      </w:r>
      <w:proofErr w:type="spellEnd"/>
      <w:r>
        <w:t xml:space="preserve"> v S 2001 4 All 13 the conviction and sentence were set aside because the police procedures and conduct in the course of entrapment rendered the trial unfair. In that</w:t>
      </w:r>
      <w:r>
        <w:t xml:space="preserve"> the police were extremely persistent in selling the gold to the accused. They offered him a reduction of the purchase price after he indicated his unwillingness to conclude the transaction at the initial price. The police resorted to persuasion and also o</w:t>
      </w:r>
      <w:r>
        <w:t xml:space="preserve">ffered him a credit facility. A number of attempts were made over a substantial period of time to entice the accused. The </w:t>
      </w:r>
      <w:proofErr w:type="spellStart"/>
      <w:r>
        <w:t>Amod</w:t>
      </w:r>
      <w:proofErr w:type="spellEnd"/>
      <w:r>
        <w:t xml:space="preserve"> case is a text-book example of a trap.</w:t>
      </w:r>
    </w:p>
    <w:p w14:paraId="461F1112" w14:textId="77777777" w:rsidR="007E082D" w:rsidRDefault="004840E1">
      <w:pPr>
        <w:numPr>
          <w:ilvl w:val="0"/>
          <w:numId w:val="4"/>
        </w:numPr>
        <w:spacing w:after="326"/>
        <w:ind w:right="194"/>
      </w:pPr>
      <w:r>
        <w:t xml:space="preserve">A trap goes beyond affording an accused person an opportunity to commit the offence, e.g. </w:t>
      </w:r>
      <w:r>
        <w:t xml:space="preserve">by providing the means to commit the offence. In </w:t>
      </w:r>
      <w:proofErr w:type="spellStart"/>
      <w:r>
        <w:t>casu</w:t>
      </w:r>
      <w:proofErr w:type="spellEnd"/>
      <w:r>
        <w:t xml:space="preserve"> </w:t>
      </w:r>
      <w:proofErr w:type="spellStart"/>
      <w:r>
        <w:t>Midzi</w:t>
      </w:r>
      <w:proofErr w:type="spellEnd"/>
      <w:r>
        <w:t xml:space="preserve"> merely afforded the appellants the opportunity to commit the offence. There is nothing in the evidence to show that his activities went beyond affording the opportunity to the appellants to commit</w:t>
      </w:r>
      <w:r>
        <w:t xml:space="preserve"> the offence. The appellants procured the ivory and looked for a buyer, that is when </w:t>
      </w:r>
      <w:proofErr w:type="spellStart"/>
      <w:r>
        <w:t>Midzi</w:t>
      </w:r>
      <w:proofErr w:type="spellEnd"/>
      <w:r>
        <w:t xml:space="preserve"> acted as a buyer. In S v Kotze 2010 (1) SACR 100 (SCA) the court distinguished between traps and undercover operations. The court stated that an undercover operation</w:t>
      </w:r>
      <w:r>
        <w:t xml:space="preserve"> might involve no element of a trap, e.g. the infiltration by an undercover agent into a gang planning a bank robbery. Where the proposal for the criminal conduct emanates wholly from the accused, who does all the running 126 24 149/22</w:t>
      </w:r>
    </w:p>
    <w:p w14:paraId="30DEBDE0" w14:textId="77777777" w:rsidR="007E082D" w:rsidRDefault="004840E1">
      <w:pPr>
        <w:ind w:left="47" w:right="226"/>
      </w:pPr>
      <w:r>
        <w:lastRenderedPageBreak/>
        <w:t>around until the fin</w:t>
      </w:r>
      <w:r>
        <w:t xml:space="preserve">al stage where the police create the opportunity for the culmination of the chain of events, it cannot be said that the police conduct amounts to a trap. See S v Lachman 2010 (2) SACR 52 (SCA). In </w:t>
      </w:r>
      <w:proofErr w:type="spellStart"/>
      <w:r>
        <w:t>casu</w:t>
      </w:r>
      <w:proofErr w:type="spellEnd"/>
      <w:r>
        <w:t xml:space="preserve"> the criminal conduct emanated wholly from the appellan</w:t>
      </w:r>
      <w:r>
        <w:t xml:space="preserve">ts, they procured the ivory and looked for a buyer. The conduct of </w:t>
      </w:r>
      <w:proofErr w:type="spellStart"/>
      <w:r>
        <w:t>Midzi</w:t>
      </w:r>
      <w:proofErr w:type="spellEnd"/>
      <w:r>
        <w:t xml:space="preserve"> cannot be regarded as constituting a trap. He merely afforded the appellants an opportunity to commit the crime. The evidence is that a mobile phone number registered in the name of </w:t>
      </w:r>
      <w:proofErr w:type="spellStart"/>
      <w:r>
        <w:t>M</w:t>
      </w:r>
      <w:r>
        <w:t>unkuli</w:t>
      </w:r>
      <w:proofErr w:type="spellEnd"/>
      <w:r>
        <w:t xml:space="preserve"> was used to call </w:t>
      </w:r>
      <w:proofErr w:type="spellStart"/>
      <w:r>
        <w:t>Midzi</w:t>
      </w:r>
      <w:proofErr w:type="spellEnd"/>
      <w:r>
        <w:t>. The caller said he was the one with the ivory. Therefore, it is incorrect to contend that the appellants were arrested by means of a trap. They did not.</w:t>
      </w:r>
      <w:r>
        <w:rPr>
          <w:noProof/>
        </w:rPr>
        <w:drawing>
          <wp:inline distT="0" distB="0" distL="0" distR="0" wp14:anchorId="16BB7E05" wp14:editId="31DE3852">
            <wp:extent cx="3048" cy="3049"/>
            <wp:effectExtent l="0" t="0" r="0" b="0"/>
            <wp:docPr id="23905" name="Picture 23905"/>
            <wp:cNvGraphicFramePr/>
            <a:graphic xmlns:a="http://schemas.openxmlformats.org/drawingml/2006/main">
              <a:graphicData uri="http://schemas.openxmlformats.org/drawingml/2006/picture">
                <pic:pic xmlns:pic="http://schemas.openxmlformats.org/drawingml/2006/picture">
                  <pic:nvPicPr>
                    <pic:cNvPr id="23905" name="Picture 23905"/>
                    <pic:cNvPicPr/>
                  </pic:nvPicPr>
                  <pic:blipFill>
                    <a:blip r:embed="rId10"/>
                    <a:stretch>
                      <a:fillRect/>
                    </a:stretch>
                  </pic:blipFill>
                  <pic:spPr>
                    <a:xfrm>
                      <a:off x="0" y="0"/>
                      <a:ext cx="3048" cy="3049"/>
                    </a:xfrm>
                    <a:prstGeom prst="rect">
                      <a:avLst/>
                    </a:prstGeom>
                  </pic:spPr>
                </pic:pic>
              </a:graphicData>
            </a:graphic>
          </wp:inline>
        </w:drawing>
      </w:r>
    </w:p>
    <w:p w14:paraId="6C270826" w14:textId="77777777" w:rsidR="007E082D" w:rsidRDefault="004840E1">
      <w:pPr>
        <w:numPr>
          <w:ilvl w:val="0"/>
          <w:numId w:val="4"/>
        </w:numPr>
        <w:ind w:right="194"/>
      </w:pPr>
      <w:r>
        <w:rPr>
          <w:noProof/>
        </w:rPr>
        <w:drawing>
          <wp:anchor distT="0" distB="0" distL="114300" distR="114300" simplePos="0" relativeHeight="251661312" behindDoc="0" locked="0" layoutInCell="1" allowOverlap="0" wp14:anchorId="3523659A" wp14:editId="29FD872F">
            <wp:simplePos x="0" y="0"/>
            <wp:positionH relativeFrom="page">
              <wp:posOffset>6815328</wp:posOffset>
            </wp:positionH>
            <wp:positionV relativeFrom="page">
              <wp:posOffset>460379</wp:posOffset>
            </wp:positionV>
            <wp:extent cx="39624" cy="36586"/>
            <wp:effectExtent l="0" t="0" r="0" b="0"/>
            <wp:wrapTopAndBottom/>
            <wp:docPr id="44742" name="Picture 44742"/>
            <wp:cNvGraphicFramePr/>
            <a:graphic xmlns:a="http://schemas.openxmlformats.org/drawingml/2006/main">
              <a:graphicData uri="http://schemas.openxmlformats.org/drawingml/2006/picture">
                <pic:pic xmlns:pic="http://schemas.openxmlformats.org/drawingml/2006/picture">
                  <pic:nvPicPr>
                    <pic:cNvPr id="44742" name="Picture 44742"/>
                    <pic:cNvPicPr/>
                  </pic:nvPicPr>
                  <pic:blipFill>
                    <a:blip r:embed="rId25"/>
                    <a:stretch>
                      <a:fillRect/>
                    </a:stretch>
                  </pic:blipFill>
                  <pic:spPr>
                    <a:xfrm>
                      <a:off x="0" y="0"/>
                      <a:ext cx="39624" cy="36586"/>
                    </a:xfrm>
                    <a:prstGeom prst="rect">
                      <a:avLst/>
                    </a:prstGeom>
                  </pic:spPr>
                </pic:pic>
              </a:graphicData>
            </a:graphic>
          </wp:anchor>
        </w:drawing>
      </w:r>
      <w:r>
        <w:rPr>
          <w:noProof/>
        </w:rPr>
        <w:drawing>
          <wp:anchor distT="0" distB="0" distL="114300" distR="114300" simplePos="0" relativeHeight="251662336" behindDoc="0" locked="0" layoutInCell="1" allowOverlap="0" wp14:anchorId="7E37DF6D" wp14:editId="40835222">
            <wp:simplePos x="0" y="0"/>
            <wp:positionH relativeFrom="page">
              <wp:posOffset>588264</wp:posOffset>
            </wp:positionH>
            <wp:positionV relativeFrom="page">
              <wp:posOffset>4594647</wp:posOffset>
            </wp:positionV>
            <wp:extent cx="3048" cy="3049"/>
            <wp:effectExtent l="0" t="0" r="0" b="0"/>
            <wp:wrapSquare wrapText="bothSides"/>
            <wp:docPr id="23906" name="Picture 23906"/>
            <wp:cNvGraphicFramePr/>
            <a:graphic xmlns:a="http://schemas.openxmlformats.org/drawingml/2006/main">
              <a:graphicData uri="http://schemas.openxmlformats.org/drawingml/2006/picture">
                <pic:pic xmlns:pic="http://schemas.openxmlformats.org/drawingml/2006/picture">
                  <pic:nvPicPr>
                    <pic:cNvPr id="23906" name="Picture 23906"/>
                    <pic:cNvPicPr/>
                  </pic:nvPicPr>
                  <pic:blipFill>
                    <a:blip r:embed="rId26"/>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663360" behindDoc="0" locked="0" layoutInCell="1" allowOverlap="0" wp14:anchorId="08F2ADCF" wp14:editId="61028E4D">
            <wp:simplePos x="0" y="0"/>
            <wp:positionH relativeFrom="page">
              <wp:posOffset>600456</wp:posOffset>
            </wp:positionH>
            <wp:positionV relativeFrom="page">
              <wp:posOffset>4609891</wp:posOffset>
            </wp:positionV>
            <wp:extent cx="15240" cy="15244"/>
            <wp:effectExtent l="0" t="0" r="0" b="0"/>
            <wp:wrapSquare wrapText="bothSides"/>
            <wp:docPr id="23907" name="Picture 23907"/>
            <wp:cNvGraphicFramePr/>
            <a:graphic xmlns:a="http://schemas.openxmlformats.org/drawingml/2006/main">
              <a:graphicData uri="http://schemas.openxmlformats.org/drawingml/2006/picture">
                <pic:pic xmlns:pic="http://schemas.openxmlformats.org/drawingml/2006/picture">
                  <pic:nvPicPr>
                    <pic:cNvPr id="23907" name="Picture 23907"/>
                    <pic:cNvPicPr/>
                  </pic:nvPicPr>
                  <pic:blipFill>
                    <a:blip r:embed="rId27"/>
                    <a:stretch>
                      <a:fillRect/>
                    </a:stretch>
                  </pic:blipFill>
                  <pic:spPr>
                    <a:xfrm>
                      <a:off x="0" y="0"/>
                      <a:ext cx="15240" cy="15244"/>
                    </a:xfrm>
                    <a:prstGeom prst="rect">
                      <a:avLst/>
                    </a:prstGeom>
                  </pic:spPr>
                </pic:pic>
              </a:graphicData>
            </a:graphic>
          </wp:anchor>
        </w:drawing>
      </w:r>
      <w:r>
        <w:t xml:space="preserve">What, if anything, is to be made of the failure of </w:t>
      </w:r>
      <w:proofErr w:type="spellStart"/>
      <w:r>
        <w:t>Munkuli</w:t>
      </w:r>
      <w:proofErr w:type="spellEnd"/>
      <w:r>
        <w:t xml:space="preserve"> to testify? In S v </w:t>
      </w:r>
      <w:proofErr w:type="spellStart"/>
      <w:r>
        <w:t>Boesak</w:t>
      </w:r>
      <w:proofErr w:type="spellEnd"/>
      <w:r>
        <w:t xml:space="preserve"> 2001 (l) SACR 1 (CC) para 24 the court said the fact that an accused person is under no obligation to testify does not mean that there are no consequences attaching to a d</w:t>
      </w:r>
      <w:r>
        <w:t xml:space="preserve">ecision to remain silent during the trial. Once the prosecution has produced evidence sufficient to establish a prima facie case, an accused who fails to produce evidence to rebut that case is at risk. Whether such a conclusion is justified will depend on </w:t>
      </w:r>
      <w:r>
        <w:t xml:space="preserve">the weight </w:t>
      </w:r>
      <w:proofErr w:type="spellStart"/>
      <w:r>
        <w:t>ofthe</w:t>
      </w:r>
      <w:proofErr w:type="spellEnd"/>
      <w:r>
        <w:t xml:space="preserve"> evidence for the prosecution. In </w:t>
      </w:r>
      <w:proofErr w:type="spellStart"/>
      <w:r>
        <w:t>casu</w:t>
      </w:r>
      <w:proofErr w:type="spellEnd"/>
      <w:r>
        <w:t xml:space="preserve"> there is further evidence against </w:t>
      </w:r>
      <w:proofErr w:type="spellStart"/>
      <w:r>
        <w:t>Munkuli</w:t>
      </w:r>
      <w:proofErr w:type="spellEnd"/>
      <w:r>
        <w:t xml:space="preserve"> that a mobile phone number registered in his name was used to call </w:t>
      </w:r>
      <w:proofErr w:type="spellStart"/>
      <w:r>
        <w:t>Midzi</w:t>
      </w:r>
      <w:proofErr w:type="spellEnd"/>
      <w:r>
        <w:t>. The caller said he was the one with the ivory. There is evidence that he was in posse</w:t>
      </w:r>
      <w:r>
        <w:t xml:space="preserve">ssion of ivory. With this evidence against him </w:t>
      </w:r>
      <w:proofErr w:type="spellStart"/>
      <w:r>
        <w:t>Munkuli</w:t>
      </w:r>
      <w:proofErr w:type="spellEnd"/>
      <w:r>
        <w:t xml:space="preserve"> shunned the witness stand. That was his constitutional right. However, the choice to remain silent in the face of evidence suggestive of guilty must in an appropriate case, such as this lead to an infe</w:t>
      </w:r>
      <w:r>
        <w:t xml:space="preserve">rence of guilt. See S v </w:t>
      </w:r>
      <w:proofErr w:type="spellStart"/>
      <w:r>
        <w:t>Tandwa</w:t>
      </w:r>
      <w:proofErr w:type="spellEnd"/>
      <w:r>
        <w:t xml:space="preserve"> [2007] SCA 34 (RSA). Although Ndlovu testified in his defence, the evidence against him was overwhelming and the trial court cannot be faulted for rejecting his version.</w:t>
      </w:r>
    </w:p>
    <w:p w14:paraId="3070887A" w14:textId="77777777" w:rsidR="007E082D" w:rsidRDefault="004840E1">
      <w:pPr>
        <w:spacing w:after="118" w:line="259" w:lineRule="auto"/>
        <w:ind w:left="47" w:right="14"/>
      </w:pPr>
      <w:r>
        <w:t>In the circumstances, the appeal against conviction has no merit and must fail.</w:t>
      </w:r>
    </w:p>
    <w:p w14:paraId="68306EBC" w14:textId="77777777" w:rsidR="007E082D" w:rsidRDefault="004840E1">
      <w:pPr>
        <w:pStyle w:val="Heading1"/>
        <w:ind w:left="29"/>
      </w:pPr>
      <w:r>
        <w:t>Sentence</w:t>
      </w:r>
    </w:p>
    <w:p w14:paraId="251507E7" w14:textId="77777777" w:rsidR="007E082D" w:rsidRDefault="004840E1">
      <w:pPr>
        <w:numPr>
          <w:ilvl w:val="0"/>
          <w:numId w:val="5"/>
        </w:numPr>
        <w:ind w:right="14"/>
      </w:pPr>
      <w:r>
        <w:t>It is by now established law that sentencing is pre-eminently within the discretion of the trial court. This court of appeal has limited power to interfere with the se</w:t>
      </w:r>
      <w:r>
        <w:t xml:space="preserve">ntencing discretion of a court a quo. A court of appeal can only interfere; when there was a material irregularity; or a material misdirection on the facts or on the law; or where the sentence was startlingly inappropriate; or induced a sense of shock; or </w:t>
      </w:r>
      <w:r>
        <w:t>was such that a striking disparity exists between the sentence imposed by the trial court and that which the court of appeal would have imposed had it sat in first instance in that irrelevant factors were considered and that the court a quo failed to consi</w:t>
      </w:r>
      <w:r>
        <w:t xml:space="preserve">der relevant factors. See: S v </w:t>
      </w:r>
      <w:proofErr w:type="spellStart"/>
      <w:r>
        <w:t>Ramushu</w:t>
      </w:r>
      <w:proofErr w:type="spellEnd"/>
      <w:r>
        <w:t xml:space="preserve"> &amp; Ors SC 25/03; S v Anderson 1964(3)</w:t>
      </w:r>
    </w:p>
    <w:p w14:paraId="32DCE815" w14:textId="77777777" w:rsidR="007E082D" w:rsidRDefault="004840E1">
      <w:pPr>
        <w:spacing w:line="259" w:lineRule="auto"/>
        <w:ind w:left="47" w:right="14"/>
      </w:pPr>
      <w:r>
        <w:t xml:space="preserve">SA 494 (AD) at 495 D-H; </w:t>
      </w:r>
      <w:proofErr w:type="spellStart"/>
      <w:r>
        <w:t>sv</w:t>
      </w:r>
      <w:proofErr w:type="spellEnd"/>
      <w:r>
        <w:t xml:space="preserve"> Rabie 1975(4) SA 855 (AD) at 857 E.</w:t>
      </w:r>
    </w:p>
    <w:p w14:paraId="5FC04C30" w14:textId="77777777" w:rsidR="007E082D" w:rsidRDefault="004840E1">
      <w:pPr>
        <w:spacing w:after="0" w:line="259" w:lineRule="auto"/>
        <w:ind w:left="10" w:right="19" w:hanging="10"/>
        <w:jc w:val="right"/>
      </w:pPr>
      <w:r>
        <w:t>126 - 24</w:t>
      </w:r>
    </w:p>
    <w:p w14:paraId="6F37B01E" w14:textId="77777777" w:rsidR="007E082D" w:rsidRDefault="004840E1">
      <w:pPr>
        <w:spacing w:after="241" w:line="259" w:lineRule="auto"/>
        <w:ind w:left="10" w:right="19" w:hanging="10"/>
        <w:jc w:val="right"/>
      </w:pPr>
      <w:r>
        <w:t>149/22</w:t>
      </w:r>
    </w:p>
    <w:p w14:paraId="466C5134" w14:textId="77777777" w:rsidR="007E082D" w:rsidRDefault="004840E1">
      <w:pPr>
        <w:numPr>
          <w:ilvl w:val="0"/>
          <w:numId w:val="5"/>
        </w:numPr>
        <w:spacing w:after="219"/>
        <w:ind w:right="14"/>
      </w:pPr>
      <w:r>
        <w:lastRenderedPageBreak/>
        <w:t>The appellants were convicted of contravening s 82(1) of the Parks and Wildlife Regulations Sol. 362/</w:t>
      </w:r>
      <w:r>
        <w:t>1990 as read with s 128(b) of the Parks and Wildlife Act [Chapter 20:14] i.e. "to acquire, possess or transfer raw unmarked ivory without a permit." The penalty provided for in s 128(b) is minimum mandatory imprisonment for a period not less than nine year</w:t>
      </w:r>
      <w:r>
        <w:t>s, unless there are special circumstances. Section 3 of the Criminal Procedure (Sentencing Guidelines) Regulations, 2023 has codified the definition of special circumstances. It says:</w:t>
      </w:r>
    </w:p>
    <w:p w14:paraId="44741DB8" w14:textId="77777777" w:rsidR="007E082D" w:rsidRDefault="004840E1">
      <w:pPr>
        <w:spacing w:after="301" w:line="252" w:lineRule="auto"/>
        <w:ind w:left="922" w:right="23" w:hanging="10"/>
      </w:pPr>
      <w:r>
        <w:rPr>
          <w:sz w:val="20"/>
        </w:rPr>
        <w:t>"Special circumstances' means any extraordinary factor arising out of th</w:t>
      </w:r>
      <w:r>
        <w:rPr>
          <w:sz w:val="20"/>
        </w:rPr>
        <w:t>e commission of the offence or which are peculiar to the offender, but does not include mitigating features which are of general application, justifying why a mandatory sentence should not be imposed."</w:t>
      </w:r>
    </w:p>
    <w:p w14:paraId="35A4EFEA" w14:textId="77777777" w:rsidR="007E082D" w:rsidRDefault="004840E1">
      <w:pPr>
        <w:spacing w:after="3" w:line="264" w:lineRule="auto"/>
        <w:ind w:left="172" w:right="23" w:firstLine="701"/>
      </w:pPr>
      <w:r>
        <w:rPr>
          <w:sz w:val="24"/>
        </w:rPr>
        <w:t xml:space="preserve">See </w:t>
      </w:r>
      <w:proofErr w:type="spellStart"/>
      <w:r>
        <w:rPr>
          <w:sz w:val="24"/>
        </w:rPr>
        <w:t>sv</w:t>
      </w:r>
      <w:proofErr w:type="spellEnd"/>
      <w:r>
        <w:rPr>
          <w:sz w:val="24"/>
        </w:rPr>
        <w:t xml:space="preserve"> </w:t>
      </w:r>
      <w:proofErr w:type="spellStart"/>
      <w:r>
        <w:rPr>
          <w:sz w:val="24"/>
        </w:rPr>
        <w:t>Mbewe</w:t>
      </w:r>
      <w:proofErr w:type="spellEnd"/>
      <w:r>
        <w:rPr>
          <w:sz w:val="24"/>
        </w:rPr>
        <w:t xml:space="preserve"> &amp; Ors 1988 (1) ZLR (7) (H); Attorney-Gene</w:t>
      </w:r>
      <w:r>
        <w:rPr>
          <w:sz w:val="24"/>
        </w:rPr>
        <w:t xml:space="preserve">ral v </w:t>
      </w:r>
      <w:proofErr w:type="spellStart"/>
      <w:r>
        <w:rPr>
          <w:sz w:val="24"/>
        </w:rPr>
        <w:t>Jasi</w:t>
      </w:r>
      <w:proofErr w:type="spellEnd"/>
      <w:r>
        <w:rPr>
          <w:sz w:val="24"/>
        </w:rPr>
        <w:t xml:space="preserve"> and </w:t>
      </w:r>
      <w:proofErr w:type="spellStart"/>
      <w:r>
        <w:rPr>
          <w:sz w:val="24"/>
        </w:rPr>
        <w:t>Maringo</w:t>
      </w:r>
      <w:proofErr w:type="spellEnd"/>
      <w:r>
        <w:rPr>
          <w:sz w:val="24"/>
        </w:rPr>
        <w:t xml:space="preserve"> S2-87; S v </w:t>
      </w:r>
      <w:proofErr w:type="spellStart"/>
      <w:r>
        <w:rPr>
          <w:sz w:val="24"/>
        </w:rPr>
        <w:t>Chaerera</w:t>
      </w:r>
      <w:proofErr w:type="spellEnd"/>
      <w:r>
        <w:rPr>
          <w:sz w:val="24"/>
        </w:rPr>
        <w:t xml:space="preserve"> 1988(2) ZLR 226; S v </w:t>
      </w:r>
      <w:proofErr w:type="spellStart"/>
      <w:r>
        <w:rPr>
          <w:sz w:val="24"/>
        </w:rPr>
        <w:t>Mugadza</w:t>
      </w:r>
      <w:proofErr w:type="spellEnd"/>
      <w:r>
        <w:rPr>
          <w:sz w:val="24"/>
        </w:rPr>
        <w:t xml:space="preserve"> 1983(2) ZLR 67 (H); S v </w:t>
      </w:r>
      <w:proofErr w:type="spellStart"/>
      <w:r>
        <w:rPr>
          <w:sz w:val="24"/>
        </w:rPr>
        <w:t>Kudavaranda</w:t>
      </w:r>
      <w:proofErr w:type="spellEnd"/>
      <w:r>
        <w:rPr>
          <w:sz w:val="24"/>
        </w:rPr>
        <w:t xml:space="preserve"> 1988 (2) ZLR 367(H); </w:t>
      </w:r>
      <w:proofErr w:type="spellStart"/>
      <w:r>
        <w:rPr>
          <w:sz w:val="24"/>
        </w:rPr>
        <w:t>sv</w:t>
      </w:r>
      <w:proofErr w:type="spellEnd"/>
      <w:r>
        <w:rPr>
          <w:sz w:val="24"/>
        </w:rPr>
        <w:t xml:space="preserve"> Bain 1977 (3) SA 494 (R); </w:t>
      </w:r>
      <w:proofErr w:type="spellStart"/>
      <w:r>
        <w:rPr>
          <w:sz w:val="24"/>
        </w:rPr>
        <w:t>sv</w:t>
      </w:r>
      <w:proofErr w:type="spellEnd"/>
      <w:r>
        <w:rPr>
          <w:sz w:val="24"/>
        </w:rPr>
        <w:t xml:space="preserve"> </w:t>
      </w:r>
      <w:proofErr w:type="spellStart"/>
      <w:r>
        <w:rPr>
          <w:sz w:val="24"/>
        </w:rPr>
        <w:t>Chisiwa</w:t>
      </w:r>
      <w:proofErr w:type="spellEnd"/>
      <w:r>
        <w:rPr>
          <w:sz w:val="24"/>
        </w:rPr>
        <w:t xml:space="preserve"> 1981 ZLR 667 @ 671.</w:t>
      </w:r>
    </w:p>
    <w:p w14:paraId="1394B635" w14:textId="77777777" w:rsidR="007E082D" w:rsidRDefault="004840E1">
      <w:pPr>
        <w:numPr>
          <w:ilvl w:val="0"/>
          <w:numId w:val="5"/>
        </w:numPr>
        <w:ind w:right="14"/>
      </w:pPr>
      <w:r>
        <w:t>The court a quo found that there were no special circumstances warr</w:t>
      </w:r>
      <w:r>
        <w:t>anting a departure from the minimum mandatory sentence of nine years. This finding cannot be faulted. There are no extraordinary factors arising out of the commission of this offence. The appellants merely wanted to sell ivory and make some income. The cou</w:t>
      </w:r>
      <w:r>
        <w:t>rt a quo cannot be faulted in coming to the conclusion that there were no special circumstances in this case warranting a departure from the minimum mandatory sentence provided for in the law. In the result the appeal against sentence must also fail.</w:t>
      </w:r>
    </w:p>
    <w:p w14:paraId="4B1ECCB2" w14:textId="77777777" w:rsidR="007E082D" w:rsidRDefault="004840E1">
      <w:pPr>
        <w:spacing w:after="794"/>
        <w:ind w:left="883" w:right="14"/>
      </w:pPr>
      <w:r>
        <w:t>In th</w:t>
      </w:r>
      <w:r>
        <w:t>e circumstances, the appeal is dismissed in its entirety.</w:t>
      </w:r>
    </w:p>
    <w:p w14:paraId="779FA067" w14:textId="77777777" w:rsidR="007E082D" w:rsidRDefault="004840E1">
      <w:pPr>
        <w:spacing w:after="421" w:line="259" w:lineRule="auto"/>
        <w:ind w:left="187" w:right="0" w:firstLine="0"/>
        <w:jc w:val="left"/>
      </w:pPr>
      <w:r>
        <w:rPr>
          <w:noProof/>
        </w:rPr>
        <w:drawing>
          <wp:anchor distT="0" distB="0" distL="114300" distR="114300" simplePos="0" relativeHeight="251664384" behindDoc="0" locked="0" layoutInCell="1" allowOverlap="0" wp14:anchorId="3A1A1157" wp14:editId="151809A1">
            <wp:simplePos x="0" y="0"/>
            <wp:positionH relativeFrom="column">
              <wp:posOffset>743712</wp:posOffset>
            </wp:positionH>
            <wp:positionV relativeFrom="paragraph">
              <wp:posOffset>-556382</wp:posOffset>
            </wp:positionV>
            <wp:extent cx="2983992" cy="1207352"/>
            <wp:effectExtent l="0" t="0" r="0" b="0"/>
            <wp:wrapSquare wrapText="bothSides"/>
            <wp:docPr id="44744" name="Picture 44744"/>
            <wp:cNvGraphicFramePr/>
            <a:graphic xmlns:a="http://schemas.openxmlformats.org/drawingml/2006/main">
              <a:graphicData uri="http://schemas.openxmlformats.org/drawingml/2006/picture">
                <pic:pic xmlns:pic="http://schemas.openxmlformats.org/drawingml/2006/picture">
                  <pic:nvPicPr>
                    <pic:cNvPr id="44744" name="Picture 44744"/>
                    <pic:cNvPicPr/>
                  </pic:nvPicPr>
                  <pic:blipFill>
                    <a:blip r:embed="rId28"/>
                    <a:stretch>
                      <a:fillRect/>
                    </a:stretch>
                  </pic:blipFill>
                  <pic:spPr>
                    <a:xfrm>
                      <a:off x="0" y="0"/>
                      <a:ext cx="2983992" cy="1207352"/>
                    </a:xfrm>
                    <a:prstGeom prst="rect">
                      <a:avLst/>
                    </a:prstGeom>
                  </pic:spPr>
                </pic:pic>
              </a:graphicData>
            </a:graphic>
          </wp:anchor>
        </w:drawing>
      </w:r>
      <w:r>
        <w:rPr>
          <w:sz w:val="18"/>
        </w:rPr>
        <w:t>DUBE BANDA J'</w:t>
      </w:r>
    </w:p>
    <w:p w14:paraId="41D98428" w14:textId="77777777" w:rsidR="007E082D" w:rsidRDefault="004840E1">
      <w:pPr>
        <w:tabs>
          <w:tab w:val="center" w:pos="631"/>
          <w:tab w:val="center" w:pos="6077"/>
        </w:tabs>
        <w:spacing w:after="229" w:line="264" w:lineRule="auto"/>
        <w:ind w:left="0" w:right="0" w:firstLine="0"/>
        <w:jc w:val="left"/>
      </w:pPr>
      <w:r>
        <w:rPr>
          <w:sz w:val="24"/>
        </w:rPr>
        <w:tab/>
        <w:t>DUBE JP•</w:t>
      </w:r>
      <w:r>
        <w:rPr>
          <w:sz w:val="24"/>
        </w:rPr>
        <w:tab/>
        <w:t>Agrees</w:t>
      </w:r>
    </w:p>
    <w:p w14:paraId="50AFCC5F" w14:textId="77777777" w:rsidR="007E082D" w:rsidRDefault="004840E1">
      <w:pPr>
        <w:spacing w:line="259" w:lineRule="auto"/>
        <w:ind w:left="178" w:right="14"/>
      </w:pPr>
      <w:r>
        <w:t xml:space="preserve">Dube, </w:t>
      </w:r>
      <w:proofErr w:type="spellStart"/>
      <w:r>
        <w:t>Nkala</w:t>
      </w:r>
      <w:proofErr w:type="spellEnd"/>
      <w:r>
        <w:t>, appellants' legal practitioners</w:t>
      </w:r>
    </w:p>
    <w:p w14:paraId="03402A30" w14:textId="77777777" w:rsidR="007E082D" w:rsidRDefault="004840E1">
      <w:pPr>
        <w:pStyle w:val="Heading2"/>
        <w:ind w:left="182" w:right="23"/>
      </w:pPr>
      <w:r>
        <w:t>National Prosecuting Authority, respondent's legal practitioners</w:t>
      </w:r>
    </w:p>
    <w:p w14:paraId="4F9F2677" w14:textId="77777777" w:rsidR="007E082D" w:rsidRDefault="007E082D">
      <w:pPr>
        <w:sectPr w:rsidR="007E082D">
          <w:headerReference w:type="even" r:id="rId29"/>
          <w:headerReference w:type="default" r:id="rId30"/>
          <w:headerReference w:type="first" r:id="rId31"/>
          <w:pgSz w:w="11904" w:h="16834"/>
          <w:pgMar w:top="922" w:right="1459" w:bottom="2254" w:left="1670" w:header="706" w:footer="720" w:gutter="0"/>
          <w:cols w:space="720"/>
        </w:sectPr>
      </w:pPr>
    </w:p>
    <w:p w14:paraId="27937176" w14:textId="77777777" w:rsidR="007E082D" w:rsidRDefault="004840E1">
      <w:pPr>
        <w:spacing w:after="0" w:line="259" w:lineRule="auto"/>
        <w:ind w:left="-1440" w:right="10464" w:firstLine="0"/>
        <w:jc w:val="left"/>
      </w:pPr>
      <w:r>
        <w:rPr>
          <w:noProof/>
        </w:rPr>
        <w:lastRenderedPageBreak/>
        <w:drawing>
          <wp:anchor distT="0" distB="0" distL="114300" distR="114300" simplePos="0" relativeHeight="251665408" behindDoc="0" locked="0" layoutInCell="1" allowOverlap="0" wp14:anchorId="563622DB" wp14:editId="75E3FC54">
            <wp:simplePos x="0" y="0"/>
            <wp:positionH relativeFrom="page">
              <wp:posOffset>0</wp:posOffset>
            </wp:positionH>
            <wp:positionV relativeFrom="page">
              <wp:posOffset>-2</wp:posOffset>
            </wp:positionV>
            <wp:extent cx="10689335" cy="7559041"/>
            <wp:effectExtent l="0" t="0" r="0" b="0"/>
            <wp:wrapTopAndBottom/>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2"/>
                    <a:stretch>
                      <a:fillRect/>
                    </a:stretch>
                  </pic:blipFill>
                  <pic:spPr>
                    <a:xfrm rot="-5399998">
                      <a:off x="0" y="0"/>
                      <a:ext cx="10689335" cy="7559041"/>
                    </a:xfrm>
                    <a:prstGeom prst="rect">
                      <a:avLst/>
                    </a:prstGeom>
                  </pic:spPr>
                </pic:pic>
              </a:graphicData>
            </a:graphic>
          </wp:anchor>
        </w:drawing>
      </w:r>
    </w:p>
    <w:sectPr w:rsidR="007E082D">
      <w:headerReference w:type="even" r:id="rId33"/>
      <w:headerReference w:type="default" r:id="rId34"/>
      <w:headerReference w:type="first" r:id="rId35"/>
      <w:pgSz w:w="11904"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09065B" w14:textId="77777777" w:rsidR="004840E1" w:rsidRDefault="004840E1">
      <w:pPr>
        <w:spacing w:after="0" w:line="240" w:lineRule="auto"/>
      </w:pPr>
      <w:r>
        <w:separator/>
      </w:r>
    </w:p>
  </w:endnote>
  <w:endnote w:type="continuationSeparator" w:id="0">
    <w:p w14:paraId="17C6BB49" w14:textId="77777777" w:rsidR="004840E1" w:rsidRDefault="00484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CF7F55" w14:textId="77777777" w:rsidR="004840E1" w:rsidRDefault="004840E1">
      <w:pPr>
        <w:spacing w:after="0" w:line="240" w:lineRule="auto"/>
      </w:pPr>
      <w:r>
        <w:separator/>
      </w:r>
    </w:p>
  </w:footnote>
  <w:footnote w:type="continuationSeparator" w:id="0">
    <w:p w14:paraId="03D868D6" w14:textId="77777777" w:rsidR="004840E1" w:rsidRDefault="00484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8663F" w14:textId="77777777" w:rsidR="007E082D" w:rsidRDefault="004840E1">
    <w:pPr>
      <w:spacing w:after="0" w:line="259" w:lineRule="auto"/>
      <w:ind w:left="0" w:right="5" w:firstLine="0"/>
      <w:jc w:val="right"/>
    </w:pPr>
    <w:r>
      <w:fldChar w:fldCharType="begin"/>
    </w:r>
    <w:r>
      <w:instrText xml:space="preserve"> PAGE   \* MERGEFORMAT </w:instrText>
    </w:r>
    <w:r>
      <w:fldChar w:fldCharType="separate"/>
    </w:r>
    <w:r>
      <w:rPr>
        <w:sz w:val="34"/>
      </w:rPr>
      <w:t>1</w:t>
    </w:r>
    <w:r>
      <w:rPr>
        <w:sz w:val="34"/>
      </w:rPr>
      <w:fldChar w:fldCharType="end"/>
    </w:r>
  </w:p>
  <w:p w14:paraId="20576AA3" w14:textId="77777777" w:rsidR="007E082D" w:rsidRDefault="004840E1">
    <w:pPr>
      <w:spacing w:after="0" w:line="259" w:lineRule="auto"/>
      <w:ind w:left="0" w:right="5" w:firstLine="0"/>
      <w:jc w:val="right"/>
    </w:pPr>
    <w:r>
      <w:t xml:space="preserve">HB </w:t>
    </w:r>
    <w:r>
      <w:rPr>
        <w:sz w:val="24"/>
      </w:rPr>
      <w:t>126-24</w:t>
    </w:r>
  </w:p>
  <w:p w14:paraId="54A2AA7B" w14:textId="77777777" w:rsidR="007E082D" w:rsidRDefault="004840E1">
    <w:pPr>
      <w:spacing w:after="0" w:line="259" w:lineRule="auto"/>
      <w:ind w:left="0" w:right="5" w:firstLine="0"/>
      <w:jc w:val="right"/>
    </w:pPr>
    <w:r>
      <w:t>HCBA 149/22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4CFB79" w14:textId="77777777" w:rsidR="007E082D" w:rsidRDefault="004840E1">
    <w:pPr>
      <w:spacing w:after="0" w:line="259" w:lineRule="auto"/>
      <w:ind w:left="0" w:right="5" w:firstLine="0"/>
      <w:jc w:val="right"/>
    </w:pPr>
    <w:r>
      <w:fldChar w:fldCharType="begin"/>
    </w:r>
    <w:r>
      <w:instrText xml:space="preserve"> PAGE   \* MERGEFORMAT </w:instrText>
    </w:r>
    <w:r>
      <w:fldChar w:fldCharType="separate"/>
    </w:r>
    <w:r>
      <w:rPr>
        <w:sz w:val="34"/>
      </w:rPr>
      <w:t>1</w:t>
    </w:r>
    <w:r>
      <w:rPr>
        <w:sz w:val="34"/>
      </w:rPr>
      <w:fldChar w:fldCharType="end"/>
    </w:r>
  </w:p>
  <w:p w14:paraId="47584638" w14:textId="77777777" w:rsidR="007E082D" w:rsidRDefault="004840E1">
    <w:pPr>
      <w:spacing w:after="0" w:line="259" w:lineRule="auto"/>
      <w:ind w:left="0" w:right="5" w:firstLine="0"/>
      <w:jc w:val="right"/>
    </w:pPr>
    <w:r>
      <w:t xml:space="preserve">HB </w:t>
    </w:r>
    <w:r>
      <w:rPr>
        <w:sz w:val="24"/>
      </w:rPr>
      <w:t>126-24</w:t>
    </w:r>
  </w:p>
  <w:p w14:paraId="208AB686" w14:textId="77777777" w:rsidR="007E082D" w:rsidRDefault="004840E1">
    <w:pPr>
      <w:spacing w:after="0" w:line="259" w:lineRule="auto"/>
      <w:ind w:left="0" w:right="5" w:firstLine="0"/>
      <w:jc w:val="right"/>
    </w:pPr>
    <w:r>
      <w:t>HCBA 149/22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DA85B1" w14:textId="77777777" w:rsidR="007E082D" w:rsidRDefault="004840E1">
    <w:pPr>
      <w:spacing w:after="0" w:line="259" w:lineRule="auto"/>
      <w:ind w:left="0" w:right="5" w:firstLine="0"/>
      <w:jc w:val="right"/>
    </w:pPr>
    <w:r>
      <w:fldChar w:fldCharType="begin"/>
    </w:r>
    <w:r>
      <w:instrText xml:space="preserve"> PAGE   \* MERGEFORMAT </w:instrText>
    </w:r>
    <w:r>
      <w:fldChar w:fldCharType="separate"/>
    </w:r>
    <w:r>
      <w:rPr>
        <w:sz w:val="34"/>
      </w:rPr>
      <w:t>1</w:t>
    </w:r>
    <w:r>
      <w:rPr>
        <w:sz w:val="34"/>
      </w:rPr>
      <w:fldChar w:fldCharType="end"/>
    </w:r>
  </w:p>
  <w:p w14:paraId="35478C80" w14:textId="77777777" w:rsidR="007E082D" w:rsidRDefault="004840E1">
    <w:pPr>
      <w:spacing w:after="0" w:line="259" w:lineRule="auto"/>
      <w:ind w:left="0" w:right="5" w:firstLine="0"/>
      <w:jc w:val="right"/>
    </w:pPr>
    <w:r>
      <w:t xml:space="preserve">HB </w:t>
    </w:r>
    <w:r>
      <w:rPr>
        <w:sz w:val="24"/>
      </w:rPr>
      <w:t>126-24</w:t>
    </w:r>
  </w:p>
  <w:p w14:paraId="14E5E2FE" w14:textId="77777777" w:rsidR="007E082D" w:rsidRDefault="004840E1">
    <w:pPr>
      <w:spacing w:after="0" w:line="259" w:lineRule="auto"/>
      <w:ind w:left="0" w:right="5" w:firstLine="0"/>
      <w:jc w:val="right"/>
    </w:pPr>
    <w:r>
      <w:t>HCBA 149/22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E9E27" w14:textId="77777777" w:rsidR="007E082D" w:rsidRDefault="004840E1">
    <w:pPr>
      <w:spacing w:line="259" w:lineRule="auto"/>
      <w:ind w:left="0" w:right="216" w:firstLine="0"/>
      <w:jc w:val="right"/>
    </w:pPr>
    <w:r>
      <w:fldChar w:fldCharType="begin"/>
    </w:r>
    <w:r>
      <w:instrText xml:space="preserve"> PAGE   \* MERGEFORMAT </w:instrText>
    </w:r>
    <w:r>
      <w:fldChar w:fldCharType="separate"/>
    </w:r>
    <w:r>
      <w:rPr>
        <w:sz w:val="20"/>
      </w:rPr>
      <w:t>6</w:t>
    </w:r>
    <w:r>
      <w:rPr>
        <w:sz w:val="20"/>
      </w:rPr>
      <w:fldChar w:fldCharType="end"/>
    </w:r>
  </w:p>
  <w:p w14:paraId="656605A6" w14:textId="77777777" w:rsidR="007E082D" w:rsidRDefault="004840E1">
    <w:pPr>
      <w:spacing w:after="0" w:line="259" w:lineRule="auto"/>
      <w:ind w:left="0" w:right="946" w:firstLine="0"/>
      <w:jc w:val="right"/>
    </w:pPr>
    <w:r>
      <w:t xml:space="preserve">HB </w:t>
    </w:r>
  </w:p>
  <w:p w14:paraId="15F39616" w14:textId="77777777" w:rsidR="007E082D" w:rsidRDefault="004840E1">
    <w:pPr>
      <w:spacing w:after="0" w:line="259" w:lineRule="auto"/>
      <w:ind w:left="0" w:right="864" w:firstLine="0"/>
      <w:jc w:val="right"/>
    </w:pPr>
    <w:r>
      <w:t xml:space="preserve">HCBA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A81F6" w14:textId="77777777" w:rsidR="007E082D" w:rsidRDefault="004840E1">
    <w:pPr>
      <w:spacing w:line="259" w:lineRule="auto"/>
      <w:ind w:left="0" w:right="216" w:firstLine="0"/>
      <w:jc w:val="right"/>
    </w:pPr>
    <w:r>
      <w:fldChar w:fldCharType="begin"/>
    </w:r>
    <w:r>
      <w:instrText xml:space="preserve"> PAGE   \* MERGEFORMAT </w:instrText>
    </w:r>
    <w:r>
      <w:fldChar w:fldCharType="separate"/>
    </w:r>
    <w:r>
      <w:rPr>
        <w:sz w:val="20"/>
      </w:rPr>
      <w:t>6</w:t>
    </w:r>
    <w:r>
      <w:rPr>
        <w:sz w:val="20"/>
      </w:rPr>
      <w:fldChar w:fldCharType="end"/>
    </w:r>
  </w:p>
  <w:p w14:paraId="55A898ED" w14:textId="77777777" w:rsidR="007E082D" w:rsidRDefault="004840E1">
    <w:pPr>
      <w:spacing w:after="0" w:line="259" w:lineRule="auto"/>
      <w:ind w:left="0" w:right="946" w:firstLine="0"/>
      <w:jc w:val="right"/>
    </w:pPr>
    <w:r>
      <w:t xml:space="preserve">HB </w:t>
    </w:r>
  </w:p>
  <w:p w14:paraId="3FFF9EC7" w14:textId="77777777" w:rsidR="007E082D" w:rsidRDefault="004840E1">
    <w:pPr>
      <w:spacing w:after="0" w:line="259" w:lineRule="auto"/>
      <w:ind w:left="0" w:right="864" w:firstLine="0"/>
      <w:jc w:val="right"/>
    </w:pPr>
    <w:r>
      <w:t xml:space="preserve">HCBA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B84569" w14:textId="77777777" w:rsidR="007E082D" w:rsidRDefault="004840E1">
    <w:pPr>
      <w:spacing w:line="259" w:lineRule="auto"/>
      <w:ind w:left="0" w:right="216" w:firstLine="0"/>
      <w:jc w:val="right"/>
    </w:pPr>
    <w:r>
      <w:fldChar w:fldCharType="begin"/>
    </w:r>
    <w:r>
      <w:instrText xml:space="preserve"> PAGE   \* MERGEFORMAT </w:instrText>
    </w:r>
    <w:r>
      <w:fldChar w:fldCharType="separate"/>
    </w:r>
    <w:r>
      <w:rPr>
        <w:sz w:val="20"/>
      </w:rPr>
      <w:t>6</w:t>
    </w:r>
    <w:r>
      <w:rPr>
        <w:sz w:val="20"/>
      </w:rPr>
      <w:fldChar w:fldCharType="end"/>
    </w:r>
  </w:p>
  <w:p w14:paraId="1D4BA137" w14:textId="77777777" w:rsidR="007E082D" w:rsidRDefault="004840E1">
    <w:pPr>
      <w:spacing w:after="0" w:line="259" w:lineRule="auto"/>
      <w:ind w:left="0" w:right="946" w:firstLine="0"/>
      <w:jc w:val="right"/>
    </w:pPr>
    <w:r>
      <w:t xml:space="preserve">HB </w:t>
    </w:r>
  </w:p>
  <w:p w14:paraId="79748D2C" w14:textId="77777777" w:rsidR="007E082D" w:rsidRDefault="004840E1">
    <w:pPr>
      <w:spacing w:after="0" w:line="259" w:lineRule="auto"/>
      <w:ind w:left="0" w:right="864" w:firstLine="0"/>
      <w:jc w:val="right"/>
    </w:pPr>
    <w:r>
      <w:t xml:space="preserve">HCBA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C3EE8" w14:textId="77777777" w:rsidR="007E082D" w:rsidRDefault="007E082D">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C7CA8" w14:textId="77777777" w:rsidR="007E082D" w:rsidRDefault="007E082D">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8554A7" w14:textId="77777777" w:rsidR="007E082D" w:rsidRDefault="007E082D">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1F2981"/>
    <w:multiLevelType w:val="hybridMultilevel"/>
    <w:tmpl w:val="D8BC4842"/>
    <w:lvl w:ilvl="0" w:tplc="69A2D3F4">
      <w:start w:val="6"/>
      <w:numFmt w:val="decimal"/>
      <w:lvlText w:val="[%1]"/>
      <w:lvlJc w:val="left"/>
      <w:pPr>
        <w:ind w:left="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EA08E">
      <w:start w:val="1"/>
      <w:numFmt w:val="lowerLetter"/>
      <w:lvlText w:val="%2"/>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28C54">
      <w:start w:val="1"/>
      <w:numFmt w:val="lowerRoman"/>
      <w:lvlText w:val="%3"/>
      <w:lvlJc w:val="left"/>
      <w:pPr>
        <w:ind w:left="1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6A0A6">
      <w:start w:val="1"/>
      <w:numFmt w:val="decimal"/>
      <w:lvlText w:val="%4"/>
      <w:lvlJc w:val="left"/>
      <w:pPr>
        <w:ind w:left="2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C69C4">
      <w:start w:val="1"/>
      <w:numFmt w:val="lowerLetter"/>
      <w:lvlText w:val="%5"/>
      <w:lvlJc w:val="left"/>
      <w:pPr>
        <w:ind w:left="3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4698C">
      <w:start w:val="1"/>
      <w:numFmt w:val="lowerRoman"/>
      <w:lvlText w:val="%6"/>
      <w:lvlJc w:val="left"/>
      <w:pPr>
        <w:ind w:left="4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6F352">
      <w:start w:val="1"/>
      <w:numFmt w:val="decimal"/>
      <w:lvlText w:val="%7"/>
      <w:lvlJc w:val="left"/>
      <w:pPr>
        <w:ind w:left="4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16CC88">
      <w:start w:val="1"/>
      <w:numFmt w:val="lowerLetter"/>
      <w:lvlText w:val="%8"/>
      <w:lvlJc w:val="left"/>
      <w:pPr>
        <w:ind w:left="5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4BA1A">
      <w:start w:val="1"/>
      <w:numFmt w:val="lowerRoman"/>
      <w:lvlText w:val="%9"/>
      <w:lvlJc w:val="left"/>
      <w:pPr>
        <w:ind w:left="6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2D862B5"/>
    <w:multiLevelType w:val="hybridMultilevel"/>
    <w:tmpl w:val="F3ACB4BE"/>
    <w:lvl w:ilvl="0" w:tplc="904C3E98">
      <w:start w:val="22"/>
      <w:numFmt w:val="decimal"/>
      <w:lvlText w:val="[%1]"/>
      <w:lvlJc w:val="left"/>
      <w:pPr>
        <w:ind w:left="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D201D2">
      <w:start w:val="1"/>
      <w:numFmt w:val="lowerLetter"/>
      <w:lvlText w:val="%2"/>
      <w:lvlJc w:val="left"/>
      <w:pPr>
        <w:ind w:left="1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EF2A8">
      <w:start w:val="1"/>
      <w:numFmt w:val="lowerRoman"/>
      <w:lvlText w:val="%3"/>
      <w:lvlJc w:val="left"/>
      <w:pPr>
        <w:ind w:left="1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22F68">
      <w:start w:val="1"/>
      <w:numFmt w:val="decimal"/>
      <w:lvlText w:val="%4"/>
      <w:lvlJc w:val="left"/>
      <w:pPr>
        <w:ind w:left="2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0A424">
      <w:start w:val="1"/>
      <w:numFmt w:val="lowerLetter"/>
      <w:lvlText w:val="%5"/>
      <w:lvlJc w:val="left"/>
      <w:pPr>
        <w:ind w:left="3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466C">
      <w:start w:val="1"/>
      <w:numFmt w:val="lowerRoman"/>
      <w:lvlText w:val="%6"/>
      <w:lvlJc w:val="left"/>
      <w:pPr>
        <w:ind w:left="4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8F624">
      <w:start w:val="1"/>
      <w:numFmt w:val="decimal"/>
      <w:lvlText w:val="%7"/>
      <w:lvlJc w:val="left"/>
      <w:pPr>
        <w:ind w:left="4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2E09CE">
      <w:start w:val="1"/>
      <w:numFmt w:val="lowerLetter"/>
      <w:lvlText w:val="%8"/>
      <w:lvlJc w:val="left"/>
      <w:pPr>
        <w:ind w:left="5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40D7C">
      <w:start w:val="1"/>
      <w:numFmt w:val="lowerRoman"/>
      <w:lvlText w:val="%9"/>
      <w:lvlJc w:val="left"/>
      <w:pPr>
        <w:ind w:left="6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3E94639"/>
    <w:multiLevelType w:val="hybridMultilevel"/>
    <w:tmpl w:val="6B9CA202"/>
    <w:lvl w:ilvl="0" w:tplc="9D7649E6">
      <w:start w:val="1"/>
      <w:numFmt w:val="decimal"/>
      <w:lvlText w:val="[%1]"/>
      <w:lvlJc w:val="left"/>
      <w:pPr>
        <w:ind w:left="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4B988">
      <w:start w:val="1"/>
      <w:numFmt w:val="lowerLetter"/>
      <w:lvlText w:val="%2"/>
      <w:lvlJc w:val="left"/>
      <w:pPr>
        <w:ind w:left="1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6A1BE">
      <w:start w:val="1"/>
      <w:numFmt w:val="lowerRoman"/>
      <w:lvlText w:val="%3"/>
      <w:lvlJc w:val="left"/>
      <w:pPr>
        <w:ind w:left="1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C247E">
      <w:start w:val="1"/>
      <w:numFmt w:val="decimal"/>
      <w:lvlText w:val="%4"/>
      <w:lvlJc w:val="left"/>
      <w:pPr>
        <w:ind w:left="2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E6C6D2">
      <w:start w:val="1"/>
      <w:numFmt w:val="lowerLetter"/>
      <w:lvlText w:val="%5"/>
      <w:lvlJc w:val="left"/>
      <w:pPr>
        <w:ind w:left="3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4423E">
      <w:start w:val="1"/>
      <w:numFmt w:val="lowerRoman"/>
      <w:lvlText w:val="%6"/>
      <w:lvlJc w:val="left"/>
      <w:pPr>
        <w:ind w:left="3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86FCC">
      <w:start w:val="1"/>
      <w:numFmt w:val="decimal"/>
      <w:lvlText w:val="%7"/>
      <w:lvlJc w:val="left"/>
      <w:pPr>
        <w:ind w:left="4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A7E78">
      <w:start w:val="1"/>
      <w:numFmt w:val="lowerLetter"/>
      <w:lvlText w:val="%8"/>
      <w:lvlJc w:val="left"/>
      <w:pPr>
        <w:ind w:left="5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C2716">
      <w:start w:val="1"/>
      <w:numFmt w:val="lowerRoman"/>
      <w:lvlText w:val="%9"/>
      <w:lvlJc w:val="left"/>
      <w:pPr>
        <w:ind w:left="6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C9F311F"/>
    <w:multiLevelType w:val="hybridMultilevel"/>
    <w:tmpl w:val="7250EA0E"/>
    <w:lvl w:ilvl="0" w:tplc="B5D05A88">
      <w:start w:val="1"/>
      <w:numFmt w:val="lowerRoman"/>
      <w:lvlText w:val="%1."/>
      <w:lvlJc w:val="left"/>
      <w:pPr>
        <w:ind w:left="1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361A44">
      <w:start w:val="1"/>
      <w:numFmt w:val="lowerLetter"/>
      <w:lvlText w:val="%2"/>
      <w:lvlJc w:val="left"/>
      <w:pPr>
        <w:ind w:left="1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663A00">
      <w:start w:val="1"/>
      <w:numFmt w:val="lowerRoman"/>
      <w:lvlText w:val="%3"/>
      <w:lvlJc w:val="left"/>
      <w:pPr>
        <w:ind w:left="2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9CB1E0">
      <w:start w:val="1"/>
      <w:numFmt w:val="decimal"/>
      <w:lvlText w:val="%4"/>
      <w:lvlJc w:val="left"/>
      <w:pPr>
        <w:ind w:left="3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3CBDFC">
      <w:start w:val="1"/>
      <w:numFmt w:val="lowerLetter"/>
      <w:lvlText w:val="%5"/>
      <w:lvlJc w:val="left"/>
      <w:pPr>
        <w:ind w:left="3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EC5464">
      <w:start w:val="1"/>
      <w:numFmt w:val="lowerRoman"/>
      <w:lvlText w:val="%6"/>
      <w:lvlJc w:val="left"/>
      <w:pPr>
        <w:ind w:left="4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C400E">
      <w:start w:val="1"/>
      <w:numFmt w:val="decimal"/>
      <w:lvlText w:val="%7"/>
      <w:lvlJc w:val="left"/>
      <w:pPr>
        <w:ind w:left="5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FA6276">
      <w:start w:val="1"/>
      <w:numFmt w:val="lowerLetter"/>
      <w:lvlText w:val="%8"/>
      <w:lvlJc w:val="left"/>
      <w:pPr>
        <w:ind w:left="6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231C2">
      <w:start w:val="1"/>
      <w:numFmt w:val="lowerRoman"/>
      <w:lvlText w:val="%9"/>
      <w:lvlJc w:val="left"/>
      <w:pPr>
        <w:ind w:left="6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F2918C2"/>
    <w:multiLevelType w:val="hybridMultilevel"/>
    <w:tmpl w:val="F17E3978"/>
    <w:lvl w:ilvl="0" w:tplc="0354F026">
      <w:start w:val="8"/>
      <w:numFmt w:val="decimal"/>
      <w:lvlText w:val="[%1]"/>
      <w:lvlJc w:val="left"/>
      <w:pPr>
        <w:ind w:left="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47A3A">
      <w:start w:val="1"/>
      <w:numFmt w:val="lowerLetter"/>
      <w:lvlText w:val="%2"/>
      <w:lvlJc w:val="left"/>
      <w:pPr>
        <w:ind w:left="1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27E94">
      <w:start w:val="1"/>
      <w:numFmt w:val="lowerRoman"/>
      <w:lvlText w:val="%3"/>
      <w:lvlJc w:val="left"/>
      <w:pPr>
        <w:ind w:left="1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9C48C4">
      <w:start w:val="1"/>
      <w:numFmt w:val="decimal"/>
      <w:lvlText w:val="%4"/>
      <w:lvlJc w:val="left"/>
      <w:pPr>
        <w:ind w:left="2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D2">
      <w:start w:val="1"/>
      <w:numFmt w:val="lowerLetter"/>
      <w:lvlText w:val="%5"/>
      <w:lvlJc w:val="left"/>
      <w:pPr>
        <w:ind w:left="3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888E50">
      <w:start w:val="1"/>
      <w:numFmt w:val="lowerRoman"/>
      <w:lvlText w:val="%6"/>
      <w:lvlJc w:val="left"/>
      <w:pPr>
        <w:ind w:left="3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21CCC">
      <w:start w:val="1"/>
      <w:numFmt w:val="decimal"/>
      <w:lvlText w:val="%7"/>
      <w:lvlJc w:val="left"/>
      <w:pPr>
        <w:ind w:left="4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44B18">
      <w:start w:val="1"/>
      <w:numFmt w:val="lowerLetter"/>
      <w:lvlText w:val="%8"/>
      <w:lvlJc w:val="left"/>
      <w:pPr>
        <w:ind w:left="5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04CAA">
      <w:start w:val="1"/>
      <w:numFmt w:val="lowerRoman"/>
      <w:lvlText w:val="%9"/>
      <w:lvlJc w:val="left"/>
      <w:pPr>
        <w:ind w:left="6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82D"/>
    <w:rsid w:val="004840E1"/>
    <w:rsid w:val="007E082D"/>
    <w:rsid w:val="00C714F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81F78E"/>
  <w15:docId w15:val="{45FFB6CF-1F2C-4AD1-9DE6-42379DF54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W" w:eastAsia="en-Z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48" w:lineRule="auto"/>
      <w:ind w:left="254" w:right="6288" w:firstLine="9"/>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0" w:line="262" w:lineRule="auto"/>
      <w:ind w:left="941" w:hanging="10"/>
      <w:outlineLvl w:val="0"/>
    </w:pPr>
    <w:rPr>
      <w:rFonts w:ascii="Times New Roman" w:eastAsia="Times New Roman" w:hAnsi="Times New Roman" w:cs="Times New Roman"/>
      <w:color w:val="000000"/>
      <w:sz w:val="24"/>
      <w:u w:val="single" w:color="000000"/>
    </w:rPr>
  </w:style>
  <w:style w:type="paragraph" w:styleId="Heading2">
    <w:name w:val="heading 2"/>
    <w:next w:val="Normal"/>
    <w:link w:val="Heading2Char"/>
    <w:uiPriority w:val="9"/>
    <w:unhideWhenUsed/>
    <w:qFormat/>
    <w:pPr>
      <w:keepNext/>
      <w:keepLines/>
      <w:spacing w:after="3" w:line="264" w:lineRule="auto"/>
      <w:ind w:left="255" w:hanging="10"/>
      <w:jc w:val="both"/>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character" w:customStyle="1" w:styleId="Heading2Char">
    <w:name w:val="Heading 2 Char"/>
    <w:link w:val="Heading2"/>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eader" Target="header1.xml"/><Relationship Id="rId26" Type="http://schemas.openxmlformats.org/officeDocument/2006/relationships/image" Target="media/image17.jpg"/><Relationship Id="rId21" Type="http://schemas.openxmlformats.org/officeDocument/2006/relationships/image" Target="media/image12.jpg"/><Relationship Id="rId34" Type="http://schemas.openxmlformats.org/officeDocument/2006/relationships/header" Target="header8.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6.jpg"/><Relationship Id="rId33"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3.xml"/><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image" Target="media/image20.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eader" Target="header2.xml"/><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eader" Target="header5.xml"/><Relationship Id="rId35" Type="http://schemas.openxmlformats.org/officeDocument/2006/relationships/header" Target="header9.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4087</Words>
  <Characters>19493</Characters>
  <Application>Microsoft Office Word</Application>
  <DocSecurity>0</DocSecurity>
  <Lines>285</Lines>
  <Paragraphs>59</Paragraphs>
  <ScaleCrop>false</ScaleCrop>
  <Company/>
  <LinksUpToDate>false</LinksUpToDate>
  <CharactersWithSpaces>23521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cp:lastModifiedBy>usr</cp:lastModifiedBy>
  <cp:revision>2</cp:revision>
  <dcterms:created xsi:type="dcterms:W3CDTF">2024-09-27T14:53:00Z</dcterms:created>
  <dcterms:modified xsi:type="dcterms:W3CDTF">2024-09-27T14:53:00Z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8995510be105d7c4df9eddc3120adb8367c673b240bfcdaf1dcf99819537ff67</vt:lpwstr>
  </property>
</Properties>
</file>