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80AB7F9" w14:textId="77777777" w:rsidR="005F29EE" w:rsidRPr="005F29EE" w:rsidRDefault="005F29EE" w:rsidP="005F29EE">
      <w:pPr>
        <w:spacing w:before="0" w:beforeAutospacing="0" w:after="160" w:afterAutospacing="0"/>
        <w:ind w:left="0" w:right="0"/>
        <w:rPr>
          <w:rFonts w:ascii="Times New Roman" w:eastAsia="Calibri" w:hAnsi="Times New Roman" w:cs="Times New Roman"/>
          <w:b/>
          <w:kern w:val="0"/>
          <w:sz w:val="24"/>
          <w:szCs w:val="24"/>
          <w14:ligatures w14:val="none"/>
        </w:rPr>
      </w:pPr>
      <w:r w:rsidRPr="005F29EE">
        <w:rPr>
          <w:rFonts w:ascii="Times New Roman" w:eastAsia="Calibri" w:hAnsi="Times New Roman" w:cs="Times New Roman"/>
          <w:b/>
          <w:sz w:val="24"/>
          <w:szCs w:val="24"/>
        </w:rPr>
        <w:t>TECHMATE ENGINEERING (PVT) LTD</w:t>
      </w:r>
    </w:p>
    <w:p w14:paraId="3E40A0E0" w14:textId="77777777" w:rsidR="005F29EE" w:rsidRPr="005F29EE" w:rsidRDefault="005F29EE" w:rsidP="005F29EE">
      <w:pPr>
        <w:spacing w:before="0" w:beforeAutospacing="0" w:after="160" w:afterAutospacing="0"/>
        <w:ind w:left="0" w:right="0"/>
        <w:rPr>
          <w:rFonts w:ascii="Times New Roman" w:eastAsia="Calibri" w:hAnsi="Times New Roman" w:cs="Times New Roman"/>
          <w:sz w:val="24"/>
          <w:szCs w:val="24"/>
        </w:rPr>
      </w:pPr>
      <w:r w:rsidRPr="005F29EE">
        <w:rPr>
          <w:rFonts w:ascii="Times New Roman" w:eastAsia="Calibri" w:hAnsi="Times New Roman" w:cs="Times New Roman"/>
          <w:b/>
          <w:sz w:val="24"/>
          <w:szCs w:val="24"/>
        </w:rPr>
        <w:t>vs</w:t>
      </w:r>
    </w:p>
    <w:p w14:paraId="50688DE9" w14:textId="77777777" w:rsidR="005F29EE" w:rsidRPr="005F29EE" w:rsidRDefault="005F29EE" w:rsidP="005F29EE">
      <w:pPr>
        <w:spacing w:before="0" w:beforeAutospacing="0" w:after="0" w:afterAutospacing="0" w:line="240" w:lineRule="auto"/>
        <w:ind w:left="0" w:right="0"/>
        <w:rPr>
          <w:rFonts w:ascii="Times New Roman" w:eastAsia="Calibri" w:hAnsi="Times New Roman" w:cs="Times New Roman"/>
          <w:b/>
          <w:sz w:val="24"/>
          <w:szCs w:val="24"/>
        </w:rPr>
      </w:pPr>
      <w:r w:rsidRPr="005F29EE">
        <w:rPr>
          <w:rFonts w:ascii="Times New Roman" w:eastAsia="Calibri" w:hAnsi="Times New Roman" w:cs="Times New Roman"/>
          <w:b/>
          <w:sz w:val="24"/>
          <w:szCs w:val="24"/>
        </w:rPr>
        <w:t>JENA MINES (PVT) LTD</w:t>
      </w:r>
    </w:p>
    <w:p w14:paraId="561909FF" w14:textId="77777777" w:rsidR="005F29EE" w:rsidRPr="005F29EE" w:rsidRDefault="005F29EE" w:rsidP="005F29EE">
      <w:pPr>
        <w:spacing w:before="0" w:beforeAutospacing="0" w:after="0" w:afterAutospacing="0" w:line="240" w:lineRule="auto"/>
        <w:ind w:left="0" w:right="0"/>
        <w:rPr>
          <w:rFonts w:ascii="Times New Roman" w:eastAsia="Calibri" w:hAnsi="Times New Roman" w:cs="Times New Roman"/>
          <w:b/>
          <w:sz w:val="24"/>
          <w:szCs w:val="24"/>
        </w:rPr>
      </w:pPr>
    </w:p>
    <w:p w14:paraId="3505F217" w14:textId="77777777" w:rsidR="006514D3" w:rsidRDefault="006514D3" w:rsidP="005F29EE">
      <w:pPr>
        <w:spacing w:before="0" w:beforeAutospacing="0" w:after="0" w:afterAutospacing="0" w:line="240" w:lineRule="auto"/>
        <w:ind w:left="0" w:right="0"/>
        <w:rPr>
          <w:rFonts w:ascii="Times New Roman" w:eastAsia="Calibri" w:hAnsi="Times New Roman" w:cs="Times New Roman"/>
          <w:sz w:val="24"/>
          <w:szCs w:val="24"/>
        </w:rPr>
      </w:pPr>
    </w:p>
    <w:p w14:paraId="19A15A20" w14:textId="77777777" w:rsidR="005F29EE" w:rsidRPr="005F29EE" w:rsidRDefault="005F29EE" w:rsidP="005F29EE">
      <w:pPr>
        <w:spacing w:before="0" w:beforeAutospacing="0" w:after="0" w:afterAutospacing="0" w:line="240" w:lineRule="auto"/>
        <w:ind w:left="0" w:right="0"/>
        <w:rPr>
          <w:rFonts w:ascii="Times New Roman" w:eastAsia="Calibri" w:hAnsi="Times New Roman" w:cs="Times New Roman"/>
          <w:sz w:val="24"/>
          <w:szCs w:val="24"/>
        </w:rPr>
      </w:pPr>
      <w:r w:rsidRPr="005F29EE">
        <w:rPr>
          <w:rFonts w:ascii="Times New Roman" w:eastAsia="Calibri" w:hAnsi="Times New Roman" w:cs="Times New Roman"/>
          <w:sz w:val="24"/>
          <w:szCs w:val="24"/>
        </w:rPr>
        <w:t>IN THE HIGH COURT OF ZIMBABWE</w:t>
      </w:r>
    </w:p>
    <w:p w14:paraId="5E0B32F9" w14:textId="77777777" w:rsidR="005F29EE" w:rsidRPr="005F29EE" w:rsidRDefault="005F29EE" w:rsidP="005F29EE">
      <w:pPr>
        <w:spacing w:before="0" w:beforeAutospacing="0" w:after="0" w:afterAutospacing="0" w:line="240" w:lineRule="auto"/>
        <w:ind w:left="0" w:right="0"/>
        <w:rPr>
          <w:rFonts w:ascii="Times New Roman" w:eastAsia="Calibri" w:hAnsi="Times New Roman" w:cs="Times New Roman"/>
          <w:sz w:val="24"/>
          <w:szCs w:val="24"/>
        </w:rPr>
      </w:pPr>
      <w:r w:rsidRPr="005F29EE">
        <w:rPr>
          <w:rFonts w:ascii="Times New Roman" w:eastAsia="Calibri" w:hAnsi="Times New Roman" w:cs="Times New Roman"/>
          <w:sz w:val="24"/>
          <w:szCs w:val="24"/>
        </w:rPr>
        <w:t>MUTEVEDZI J</w:t>
      </w:r>
    </w:p>
    <w:p w14:paraId="6EAF60E2" w14:textId="77777777" w:rsidR="005F29EE" w:rsidRPr="005F29EE" w:rsidRDefault="005F29EE" w:rsidP="005F29EE">
      <w:pPr>
        <w:spacing w:before="0" w:beforeAutospacing="0" w:after="0" w:afterAutospacing="0" w:line="240" w:lineRule="auto"/>
        <w:ind w:left="0" w:right="0"/>
        <w:rPr>
          <w:rFonts w:ascii="Times New Roman" w:eastAsia="Calibri" w:hAnsi="Times New Roman" w:cs="Times New Roman"/>
          <w:sz w:val="24"/>
          <w:szCs w:val="24"/>
        </w:rPr>
      </w:pPr>
      <w:r w:rsidRPr="005F29EE">
        <w:rPr>
          <w:rFonts w:ascii="Times New Roman" w:eastAsia="Calibri" w:hAnsi="Times New Roman" w:cs="Times New Roman"/>
          <w:sz w:val="24"/>
          <w:szCs w:val="24"/>
        </w:rPr>
        <w:t>BULAWAYO, 11 April and 29 July 2026</w:t>
      </w:r>
    </w:p>
    <w:p w14:paraId="5924A38E" w14:textId="77777777" w:rsidR="005F29EE" w:rsidRPr="005F29EE" w:rsidRDefault="005F29EE" w:rsidP="005F29EE">
      <w:pPr>
        <w:spacing w:before="0" w:beforeAutospacing="0" w:after="0" w:afterAutospacing="0" w:line="240" w:lineRule="auto"/>
        <w:ind w:left="0" w:right="0"/>
        <w:rPr>
          <w:rFonts w:ascii="Times New Roman" w:eastAsia="Calibri" w:hAnsi="Times New Roman" w:cs="Times New Roman"/>
          <w:sz w:val="24"/>
          <w:szCs w:val="24"/>
        </w:rPr>
      </w:pPr>
    </w:p>
    <w:p w14:paraId="26D2DEC4" w14:textId="77777777" w:rsidR="00094F8F" w:rsidRDefault="00094F8F" w:rsidP="005F29EE">
      <w:pPr>
        <w:tabs>
          <w:tab w:val="center" w:pos="4680"/>
          <w:tab w:val="left" w:pos="5080"/>
        </w:tabs>
        <w:spacing w:before="0" w:beforeAutospacing="0" w:after="0" w:afterAutospacing="0" w:line="240" w:lineRule="auto"/>
        <w:ind w:left="0" w:right="0"/>
        <w:rPr>
          <w:rFonts w:ascii="Times New Roman" w:eastAsia="Calibri" w:hAnsi="Times New Roman" w:cs="Times New Roman"/>
          <w:i/>
          <w:iCs/>
          <w:sz w:val="24"/>
          <w:szCs w:val="24"/>
        </w:rPr>
      </w:pPr>
    </w:p>
    <w:p w14:paraId="6DA35653" w14:textId="47BE04A3" w:rsidR="005F29EE" w:rsidRPr="005F29EE" w:rsidRDefault="005F29EE" w:rsidP="00094F8F">
      <w:pPr>
        <w:tabs>
          <w:tab w:val="center" w:pos="4680"/>
          <w:tab w:val="left" w:pos="5080"/>
        </w:tabs>
        <w:spacing w:before="0" w:beforeAutospacing="0" w:after="0" w:afterAutospacing="0" w:line="240" w:lineRule="auto"/>
        <w:ind w:left="0" w:right="0"/>
        <w:rPr>
          <w:rFonts w:ascii="Times New Roman" w:eastAsia="Calibri" w:hAnsi="Times New Roman" w:cs="Times New Roman"/>
          <w:sz w:val="24"/>
          <w:szCs w:val="24"/>
        </w:rPr>
      </w:pPr>
      <w:r w:rsidRPr="005F29EE">
        <w:rPr>
          <w:rFonts w:ascii="Times New Roman" w:eastAsia="Calibri" w:hAnsi="Times New Roman" w:cs="Times New Roman"/>
          <w:i/>
          <w:iCs/>
          <w:sz w:val="24"/>
          <w:szCs w:val="24"/>
        </w:rPr>
        <w:t xml:space="preserve">I. </w:t>
      </w:r>
      <w:proofErr w:type="spellStart"/>
      <w:r w:rsidRPr="005F29EE">
        <w:rPr>
          <w:rFonts w:ascii="Times New Roman" w:eastAsia="Calibri" w:hAnsi="Times New Roman" w:cs="Times New Roman"/>
          <w:i/>
          <w:iCs/>
          <w:sz w:val="24"/>
          <w:szCs w:val="24"/>
        </w:rPr>
        <w:t>Mafirakure</w:t>
      </w:r>
      <w:r w:rsidR="003B5CED">
        <w:rPr>
          <w:rFonts w:ascii="Times New Roman" w:eastAsia="Calibri" w:hAnsi="Times New Roman" w:cs="Times New Roman"/>
          <w:i/>
          <w:iCs/>
          <w:sz w:val="24"/>
          <w:szCs w:val="24"/>
        </w:rPr>
        <w:t>v</w:t>
      </w:r>
      <w:r w:rsidRPr="005F29EE">
        <w:rPr>
          <w:rFonts w:ascii="Times New Roman" w:eastAsia="Calibri" w:hAnsi="Times New Roman" w:cs="Times New Roman"/>
          <w:i/>
          <w:iCs/>
          <w:sz w:val="24"/>
          <w:szCs w:val="24"/>
        </w:rPr>
        <w:t>a</w:t>
      </w:r>
      <w:proofErr w:type="spellEnd"/>
      <w:r w:rsidRPr="005F29EE">
        <w:rPr>
          <w:rFonts w:ascii="Times New Roman" w:eastAsia="Calibri" w:hAnsi="Times New Roman" w:cs="Times New Roman"/>
          <w:i/>
          <w:iCs/>
          <w:sz w:val="24"/>
          <w:szCs w:val="24"/>
        </w:rPr>
        <w:t xml:space="preserve"> </w:t>
      </w:r>
      <w:r w:rsidRPr="005F29EE">
        <w:rPr>
          <w:rFonts w:ascii="Times New Roman" w:eastAsia="Calibri" w:hAnsi="Times New Roman" w:cs="Times New Roman"/>
          <w:iCs/>
          <w:sz w:val="24"/>
          <w:szCs w:val="24"/>
        </w:rPr>
        <w:t xml:space="preserve">with </w:t>
      </w:r>
      <w:r w:rsidRPr="005F29EE">
        <w:rPr>
          <w:rFonts w:ascii="Times New Roman" w:eastAsia="Calibri" w:hAnsi="Times New Roman" w:cs="Times New Roman"/>
          <w:i/>
          <w:iCs/>
          <w:sz w:val="24"/>
          <w:szCs w:val="24"/>
        </w:rPr>
        <w:t>B. Dube,</w:t>
      </w:r>
      <w:r w:rsidRPr="005F29EE">
        <w:rPr>
          <w:rFonts w:ascii="Times New Roman" w:eastAsia="Calibri" w:hAnsi="Times New Roman" w:cs="Times New Roman"/>
          <w:i/>
          <w:sz w:val="24"/>
          <w:szCs w:val="24"/>
        </w:rPr>
        <w:t xml:space="preserve"> </w:t>
      </w:r>
      <w:r w:rsidRPr="005F29EE">
        <w:rPr>
          <w:rFonts w:ascii="Times New Roman" w:eastAsia="Calibri" w:hAnsi="Times New Roman" w:cs="Times New Roman"/>
          <w:sz w:val="24"/>
          <w:szCs w:val="24"/>
        </w:rPr>
        <w:t>for the applicant</w:t>
      </w:r>
    </w:p>
    <w:p w14:paraId="0DFCDEAC" w14:textId="77777777" w:rsidR="005F29EE" w:rsidRPr="005F29EE" w:rsidRDefault="005F29EE" w:rsidP="00094F8F">
      <w:pPr>
        <w:spacing w:before="0" w:beforeAutospacing="0" w:after="0" w:afterAutospacing="0" w:line="240" w:lineRule="auto"/>
        <w:ind w:left="0" w:right="0"/>
        <w:rPr>
          <w:rFonts w:ascii="Times New Roman" w:eastAsia="Calibri" w:hAnsi="Times New Roman" w:cs="Times New Roman"/>
          <w:sz w:val="24"/>
          <w:szCs w:val="24"/>
        </w:rPr>
      </w:pPr>
      <w:r w:rsidRPr="005F29EE">
        <w:rPr>
          <w:rFonts w:ascii="Times New Roman" w:eastAsia="Calibri" w:hAnsi="Times New Roman" w:cs="Times New Roman"/>
          <w:i/>
          <w:sz w:val="24"/>
          <w:szCs w:val="24"/>
        </w:rPr>
        <w:t xml:space="preserve">R. Mutero </w:t>
      </w:r>
      <w:r w:rsidRPr="005F29EE">
        <w:rPr>
          <w:rFonts w:ascii="Times New Roman" w:eastAsia="Calibri" w:hAnsi="Times New Roman" w:cs="Times New Roman"/>
          <w:sz w:val="24"/>
          <w:szCs w:val="24"/>
        </w:rPr>
        <w:t xml:space="preserve">with </w:t>
      </w:r>
      <w:r w:rsidRPr="005F29EE">
        <w:rPr>
          <w:rFonts w:ascii="Times New Roman" w:eastAsia="Calibri" w:hAnsi="Times New Roman" w:cs="Times New Roman"/>
          <w:i/>
          <w:sz w:val="24"/>
          <w:szCs w:val="24"/>
        </w:rPr>
        <w:t xml:space="preserve">W. </w:t>
      </w:r>
      <w:proofErr w:type="spellStart"/>
      <w:r w:rsidRPr="005F29EE">
        <w:rPr>
          <w:rFonts w:ascii="Times New Roman" w:eastAsia="Calibri" w:hAnsi="Times New Roman" w:cs="Times New Roman"/>
          <w:i/>
          <w:sz w:val="24"/>
          <w:szCs w:val="24"/>
        </w:rPr>
        <w:t>Musikandi</w:t>
      </w:r>
      <w:proofErr w:type="spellEnd"/>
      <w:r w:rsidRPr="005F29EE">
        <w:rPr>
          <w:rFonts w:ascii="Times New Roman" w:eastAsia="Calibri" w:hAnsi="Times New Roman" w:cs="Times New Roman"/>
          <w:i/>
          <w:sz w:val="24"/>
          <w:szCs w:val="24"/>
        </w:rPr>
        <w:t xml:space="preserve">, </w:t>
      </w:r>
      <w:r w:rsidRPr="005F29EE">
        <w:rPr>
          <w:rFonts w:ascii="Times New Roman" w:eastAsia="Calibri" w:hAnsi="Times New Roman" w:cs="Times New Roman"/>
          <w:sz w:val="24"/>
          <w:szCs w:val="24"/>
        </w:rPr>
        <w:t>for the respondent</w:t>
      </w:r>
    </w:p>
    <w:p w14:paraId="38F717CB" w14:textId="77777777" w:rsidR="005F29EE" w:rsidRPr="005F29EE" w:rsidRDefault="005F29EE" w:rsidP="00094F8F">
      <w:pPr>
        <w:spacing w:before="0" w:beforeAutospacing="0" w:after="0" w:afterAutospacing="0" w:line="240" w:lineRule="auto"/>
        <w:ind w:left="0" w:right="0"/>
        <w:rPr>
          <w:rFonts w:ascii="Times New Roman" w:eastAsia="Calibri" w:hAnsi="Times New Roman" w:cs="Times New Roman"/>
          <w:sz w:val="24"/>
          <w:szCs w:val="24"/>
        </w:rPr>
      </w:pPr>
    </w:p>
    <w:p w14:paraId="7A58A022" w14:textId="77777777" w:rsidR="005F29EE" w:rsidRPr="005F29EE" w:rsidRDefault="005F29EE" w:rsidP="00094F8F">
      <w:pPr>
        <w:spacing w:before="0" w:beforeAutospacing="0" w:after="0" w:afterAutospacing="0" w:line="240" w:lineRule="auto"/>
        <w:ind w:left="0" w:right="0"/>
        <w:rPr>
          <w:rFonts w:ascii="Times New Roman" w:eastAsia="Calibri" w:hAnsi="Times New Roman" w:cs="Times New Roman"/>
          <w:b/>
          <w:sz w:val="24"/>
          <w:szCs w:val="24"/>
        </w:rPr>
      </w:pPr>
    </w:p>
    <w:p w14:paraId="35042CF1" w14:textId="2ACCE394" w:rsidR="005F29EE" w:rsidRPr="005F29EE" w:rsidRDefault="00094F8F" w:rsidP="005F29EE">
      <w:pPr>
        <w:spacing w:before="0" w:beforeAutospacing="0" w:after="0" w:afterAutospacing="0" w:line="240" w:lineRule="auto"/>
        <w:ind w:left="0" w:right="0"/>
        <w:rPr>
          <w:rFonts w:ascii="Times New Roman" w:eastAsia="Calibri" w:hAnsi="Times New Roman" w:cs="Times New Roman"/>
          <w:b/>
          <w:sz w:val="24"/>
          <w:szCs w:val="24"/>
        </w:rPr>
      </w:pPr>
      <w:r>
        <w:rPr>
          <w:rFonts w:ascii="Times New Roman" w:eastAsia="Calibri" w:hAnsi="Times New Roman" w:cs="Times New Roman"/>
          <w:b/>
          <w:sz w:val="24"/>
          <w:szCs w:val="24"/>
        </w:rPr>
        <w:t>O</w:t>
      </w:r>
      <w:r w:rsidRPr="005F29EE">
        <w:rPr>
          <w:rFonts w:ascii="Times New Roman" w:eastAsia="Calibri" w:hAnsi="Times New Roman" w:cs="Times New Roman"/>
          <w:b/>
          <w:sz w:val="24"/>
          <w:szCs w:val="24"/>
        </w:rPr>
        <w:t>pposed application- summary judgment</w:t>
      </w:r>
    </w:p>
    <w:p w14:paraId="7C3CE54D" w14:textId="77777777" w:rsidR="005F29EE" w:rsidRPr="005F29EE" w:rsidRDefault="005F29EE" w:rsidP="005F29EE">
      <w:pPr>
        <w:spacing w:before="0" w:beforeAutospacing="0" w:after="160" w:afterAutospacing="0"/>
        <w:ind w:right="0"/>
        <w:contextualSpacing/>
        <w:jc w:val="both"/>
        <w:rPr>
          <w:rFonts w:ascii="Times New Roman" w:eastAsia="Calibri" w:hAnsi="Times New Roman" w:cs="Times New Roman"/>
          <w:sz w:val="24"/>
          <w:szCs w:val="24"/>
        </w:rPr>
      </w:pPr>
    </w:p>
    <w:p w14:paraId="4735AD50" w14:textId="77777777" w:rsidR="005F29EE" w:rsidRPr="005F29EE" w:rsidRDefault="005F29EE" w:rsidP="005F29EE">
      <w:pPr>
        <w:spacing w:before="0" w:beforeAutospacing="0" w:after="160" w:afterAutospacing="0"/>
        <w:ind w:left="0" w:right="0"/>
        <w:contextualSpacing/>
        <w:jc w:val="both"/>
        <w:rPr>
          <w:rFonts w:ascii="Times New Roman" w:eastAsia="Calibri" w:hAnsi="Times New Roman" w:cs="Times New Roman"/>
          <w:sz w:val="24"/>
          <w:szCs w:val="24"/>
        </w:rPr>
      </w:pPr>
      <w:r w:rsidRPr="005F29EE">
        <w:rPr>
          <w:rFonts w:ascii="Times New Roman" w:eastAsia="Calibri" w:hAnsi="Times New Roman" w:cs="Times New Roman"/>
          <w:b/>
          <w:sz w:val="24"/>
          <w:szCs w:val="24"/>
        </w:rPr>
        <w:t xml:space="preserve">MUTEVEDZI J: </w:t>
      </w:r>
      <w:r w:rsidRPr="005F29EE">
        <w:rPr>
          <w:rFonts w:ascii="Times New Roman" w:eastAsia="Calibri" w:hAnsi="Times New Roman" w:cs="Times New Roman"/>
          <w:bCs/>
          <w:sz w:val="24"/>
          <w:szCs w:val="24"/>
        </w:rPr>
        <w:t xml:space="preserve">Both </w:t>
      </w:r>
      <w:proofErr w:type="spellStart"/>
      <w:r w:rsidRPr="005F29EE">
        <w:rPr>
          <w:rFonts w:ascii="Times New Roman" w:eastAsia="Calibri" w:hAnsi="Times New Roman" w:cs="Times New Roman"/>
          <w:bCs/>
          <w:sz w:val="24"/>
          <w:szCs w:val="24"/>
        </w:rPr>
        <w:t>Techmate</w:t>
      </w:r>
      <w:proofErr w:type="spellEnd"/>
      <w:r w:rsidRPr="005F29EE">
        <w:rPr>
          <w:rFonts w:ascii="Times New Roman" w:eastAsia="Calibri" w:hAnsi="Times New Roman" w:cs="Times New Roman"/>
          <w:bCs/>
          <w:sz w:val="24"/>
          <w:szCs w:val="24"/>
        </w:rPr>
        <w:t xml:space="preserve"> Engineering (Pvt) Ltd</w:t>
      </w:r>
      <w:r w:rsidRPr="005F29EE">
        <w:rPr>
          <w:rFonts w:ascii="Times New Roman" w:eastAsia="Calibri" w:hAnsi="Times New Roman" w:cs="Times New Roman"/>
          <w:b/>
          <w:sz w:val="24"/>
          <w:szCs w:val="24"/>
        </w:rPr>
        <w:t xml:space="preserve"> (</w:t>
      </w:r>
      <w:r w:rsidRPr="005F29EE">
        <w:rPr>
          <w:rFonts w:ascii="Times New Roman" w:eastAsia="Calibri" w:hAnsi="Times New Roman" w:cs="Times New Roman"/>
          <w:sz w:val="24"/>
          <w:szCs w:val="24"/>
        </w:rPr>
        <w:t>the applicant) and Jena Mine (Pvt) Ltd (the respondent) are companies duly registered in terms of the laws of Zimbabwe. They are embroiled in a commercial dogfight. The applicant filed a court application for summary judgment in terms of r 30(1) of the High Court Rules, 2021 (hereinafter “the Rules”). It sought the following relief:</w:t>
      </w:r>
    </w:p>
    <w:p w14:paraId="7146B718" w14:textId="77777777" w:rsidR="005F29EE" w:rsidRPr="005F29EE" w:rsidRDefault="005F29EE" w:rsidP="005F29EE">
      <w:pPr>
        <w:spacing w:before="0" w:beforeAutospacing="0" w:after="160" w:afterAutospacing="0" w:line="240" w:lineRule="auto"/>
        <w:ind w:left="864" w:right="0"/>
        <w:jc w:val="both"/>
        <w:rPr>
          <w:rFonts w:ascii="Times New Roman" w:eastAsia="Calibri" w:hAnsi="Times New Roman" w:cs="Times New Roman"/>
          <w:b/>
          <w:bCs/>
          <w:sz w:val="20"/>
          <w:szCs w:val="20"/>
        </w:rPr>
      </w:pPr>
      <w:r w:rsidRPr="005F29EE">
        <w:rPr>
          <w:rFonts w:ascii="Times New Roman" w:eastAsia="Calibri" w:hAnsi="Times New Roman" w:cs="Times New Roman"/>
          <w:b/>
          <w:bCs/>
          <w:sz w:val="20"/>
          <w:szCs w:val="20"/>
        </w:rPr>
        <w:t>“RELIEF SOUGHT</w:t>
      </w:r>
    </w:p>
    <w:p w14:paraId="40EAF62D" w14:textId="77777777" w:rsidR="005F29EE" w:rsidRPr="005F29EE" w:rsidRDefault="005F29EE" w:rsidP="005F29EE">
      <w:pPr>
        <w:numPr>
          <w:ilvl w:val="0"/>
          <w:numId w:val="1"/>
        </w:numPr>
        <w:spacing w:before="0" w:beforeAutospacing="0" w:after="160" w:afterAutospacing="0" w:line="240" w:lineRule="auto"/>
        <w:ind w:left="1656" w:right="0"/>
        <w:contextualSpacing/>
        <w:jc w:val="both"/>
        <w:rPr>
          <w:rFonts w:ascii="Times New Roman" w:eastAsia="Calibri" w:hAnsi="Times New Roman" w:cs="Times New Roman"/>
          <w:b/>
          <w:bCs/>
          <w:sz w:val="20"/>
          <w:szCs w:val="20"/>
        </w:rPr>
      </w:pPr>
      <w:r w:rsidRPr="005F29EE">
        <w:rPr>
          <w:rFonts w:ascii="Times New Roman" w:eastAsia="Calibri" w:hAnsi="Times New Roman" w:cs="Times New Roman"/>
          <w:sz w:val="20"/>
          <w:szCs w:val="20"/>
        </w:rPr>
        <w:t>The court application for summary judgement be and is hereby granted.</w:t>
      </w:r>
    </w:p>
    <w:p w14:paraId="10F2E9E7" w14:textId="77777777" w:rsidR="005F29EE" w:rsidRPr="005F29EE" w:rsidRDefault="005F29EE" w:rsidP="005F29EE">
      <w:pPr>
        <w:numPr>
          <w:ilvl w:val="0"/>
          <w:numId w:val="1"/>
        </w:numPr>
        <w:spacing w:before="0" w:beforeAutospacing="0" w:after="160" w:afterAutospacing="0" w:line="240" w:lineRule="auto"/>
        <w:ind w:left="1656" w:right="0"/>
        <w:contextualSpacing/>
        <w:jc w:val="both"/>
        <w:rPr>
          <w:rFonts w:ascii="Times New Roman" w:eastAsia="Calibri" w:hAnsi="Times New Roman" w:cs="Times New Roman"/>
          <w:b/>
          <w:bCs/>
          <w:i/>
          <w:iCs/>
          <w:sz w:val="20"/>
          <w:szCs w:val="20"/>
        </w:rPr>
      </w:pPr>
      <w:r w:rsidRPr="005F29EE">
        <w:rPr>
          <w:rFonts w:ascii="Times New Roman" w:eastAsia="Calibri" w:hAnsi="Times New Roman" w:cs="Times New Roman"/>
          <w:sz w:val="20"/>
          <w:szCs w:val="20"/>
        </w:rPr>
        <w:t>The Respondent be and is hereby ordered to pay the sum of US$ 297 532.00 (</w:t>
      </w:r>
      <w:r w:rsidRPr="005F29EE">
        <w:rPr>
          <w:rFonts w:ascii="Times New Roman" w:eastAsia="Calibri" w:hAnsi="Times New Roman" w:cs="Times New Roman"/>
          <w:i/>
          <w:iCs/>
          <w:sz w:val="20"/>
          <w:szCs w:val="20"/>
        </w:rPr>
        <w:t xml:space="preserve">Two Hundred and Ninety-Seven Thousand and five Hundred and Thirty-two United States Dollars) </w:t>
      </w:r>
      <w:r w:rsidRPr="005F29EE">
        <w:rPr>
          <w:rFonts w:ascii="Times New Roman" w:eastAsia="Calibri" w:hAnsi="Times New Roman" w:cs="Times New Roman"/>
          <w:sz w:val="20"/>
          <w:szCs w:val="20"/>
        </w:rPr>
        <w:t>together with interest at the rate of 5% per annum from the 30</w:t>
      </w:r>
      <w:r w:rsidRPr="005F29EE">
        <w:rPr>
          <w:rFonts w:ascii="Times New Roman" w:eastAsia="Calibri" w:hAnsi="Times New Roman" w:cs="Times New Roman"/>
          <w:sz w:val="20"/>
          <w:szCs w:val="20"/>
          <w:vertAlign w:val="superscript"/>
        </w:rPr>
        <w:t>th</w:t>
      </w:r>
      <w:r w:rsidRPr="005F29EE">
        <w:rPr>
          <w:rFonts w:ascii="Times New Roman" w:eastAsia="Calibri" w:hAnsi="Times New Roman" w:cs="Times New Roman"/>
          <w:sz w:val="20"/>
          <w:szCs w:val="20"/>
        </w:rPr>
        <w:t xml:space="preserve"> of May 2025 to date of full payment.</w:t>
      </w:r>
    </w:p>
    <w:p w14:paraId="5203F651" w14:textId="77777777" w:rsidR="005F29EE" w:rsidRPr="00DB6402" w:rsidRDefault="005F29EE" w:rsidP="005F29EE">
      <w:pPr>
        <w:numPr>
          <w:ilvl w:val="0"/>
          <w:numId w:val="1"/>
        </w:numPr>
        <w:spacing w:before="0" w:beforeAutospacing="0" w:after="160" w:afterAutospacing="0" w:line="240" w:lineRule="auto"/>
        <w:ind w:left="1656" w:right="0"/>
        <w:contextualSpacing/>
        <w:jc w:val="both"/>
        <w:rPr>
          <w:rFonts w:ascii="Times New Roman" w:eastAsia="Calibri" w:hAnsi="Times New Roman" w:cs="Times New Roman"/>
          <w:b/>
          <w:bCs/>
          <w:i/>
          <w:iCs/>
          <w:sz w:val="20"/>
          <w:szCs w:val="20"/>
        </w:rPr>
      </w:pPr>
      <w:r w:rsidRPr="005F29EE">
        <w:rPr>
          <w:rFonts w:ascii="Times New Roman" w:eastAsia="Calibri" w:hAnsi="Times New Roman" w:cs="Times New Roman"/>
          <w:sz w:val="20"/>
          <w:szCs w:val="20"/>
        </w:rPr>
        <w:t>Collection commission at 10% per annum of the amount claimed in paragraph 2 above.”</w:t>
      </w:r>
    </w:p>
    <w:p w14:paraId="17A28571" w14:textId="77777777" w:rsidR="00DB6402" w:rsidRPr="005F29EE" w:rsidRDefault="00DB6402" w:rsidP="00DB6402">
      <w:pPr>
        <w:spacing w:before="0" w:beforeAutospacing="0" w:after="160" w:afterAutospacing="0" w:line="240" w:lineRule="auto"/>
        <w:ind w:left="1656" w:right="0"/>
        <w:contextualSpacing/>
        <w:jc w:val="both"/>
        <w:rPr>
          <w:rFonts w:ascii="Times New Roman" w:eastAsia="Calibri" w:hAnsi="Times New Roman" w:cs="Times New Roman"/>
          <w:b/>
          <w:bCs/>
          <w:i/>
          <w:iCs/>
          <w:sz w:val="20"/>
          <w:szCs w:val="20"/>
        </w:rPr>
      </w:pPr>
      <w:bookmarkStart w:id="0" w:name="_GoBack"/>
      <w:bookmarkEnd w:id="0"/>
    </w:p>
    <w:p w14:paraId="7D0D727D" w14:textId="77777777" w:rsidR="005F29EE" w:rsidRPr="005F29EE" w:rsidRDefault="005F29EE" w:rsidP="005F29EE">
      <w:pPr>
        <w:spacing w:before="0" w:beforeAutospacing="0" w:after="160" w:afterAutospacing="0"/>
        <w:ind w:left="0" w:right="0"/>
        <w:jc w:val="both"/>
        <w:rPr>
          <w:rFonts w:ascii="Times New Roman" w:eastAsia="Calibri" w:hAnsi="Times New Roman" w:cs="Times New Roman"/>
          <w:b/>
          <w:bCs/>
          <w:sz w:val="24"/>
          <w:szCs w:val="24"/>
        </w:rPr>
      </w:pPr>
      <w:r w:rsidRPr="005F29EE">
        <w:rPr>
          <w:rFonts w:ascii="Times New Roman" w:eastAsia="Calibri" w:hAnsi="Times New Roman" w:cs="Times New Roman"/>
          <w:b/>
          <w:bCs/>
          <w:sz w:val="24"/>
          <w:szCs w:val="24"/>
        </w:rPr>
        <w:t>FACTUAL BACKGROUND</w:t>
      </w:r>
    </w:p>
    <w:p w14:paraId="07EE294A" w14:textId="77777777" w:rsidR="005F29EE" w:rsidRPr="005F29EE" w:rsidRDefault="005F29EE" w:rsidP="006514D3">
      <w:pPr>
        <w:numPr>
          <w:ilvl w:val="0"/>
          <w:numId w:val="2"/>
        </w:numPr>
        <w:spacing w:before="0" w:beforeAutospacing="0" w:after="160" w:afterAutospacing="0"/>
        <w:ind w:right="0"/>
        <w:contextualSpacing/>
        <w:jc w:val="both"/>
        <w:rPr>
          <w:rFonts w:ascii="Times New Roman" w:eastAsia="Calibri" w:hAnsi="Times New Roman" w:cs="Times New Roman"/>
          <w:sz w:val="24"/>
          <w:szCs w:val="24"/>
        </w:rPr>
      </w:pPr>
      <w:r w:rsidRPr="005F29EE">
        <w:rPr>
          <w:rFonts w:ascii="Times New Roman" w:eastAsia="Calibri" w:hAnsi="Times New Roman" w:cs="Times New Roman"/>
          <w:sz w:val="24"/>
          <w:szCs w:val="24"/>
        </w:rPr>
        <w:t>The applicant entered into an agreement with the respondent in terms of which it would render mining services, supply mining equipment, and provide raw materials on credit. In turn, the respondent was required to settle the debt as and when it fell due. Pursuant to that arrangement, the applicant issued statements of account reflecting the services rendered. At some stage, the parties disagreed. They haggled over what was owed to the applicant. When the dispute could not be resolved, the applicant sued summons for the recovery of US$297 532.00 with interest at 5% per annum as from 30 May 2025 to the date of full payment and collection commission at 10% of the amount claimed.</w:t>
      </w:r>
    </w:p>
    <w:p w14:paraId="56B2A35E" w14:textId="77777777" w:rsidR="005F29EE" w:rsidRPr="005F29EE" w:rsidRDefault="005F29EE" w:rsidP="006514D3">
      <w:pPr>
        <w:spacing w:before="0" w:beforeAutospacing="0" w:after="160" w:afterAutospacing="0"/>
        <w:ind w:right="0"/>
        <w:contextualSpacing/>
        <w:jc w:val="both"/>
        <w:rPr>
          <w:rFonts w:ascii="Times New Roman" w:eastAsia="Calibri" w:hAnsi="Times New Roman" w:cs="Times New Roman"/>
          <w:b/>
          <w:sz w:val="24"/>
          <w:szCs w:val="24"/>
        </w:rPr>
      </w:pPr>
    </w:p>
    <w:p w14:paraId="1E3242CA" w14:textId="77777777" w:rsidR="005F29EE" w:rsidRPr="005F29EE" w:rsidRDefault="005F29EE" w:rsidP="006514D3">
      <w:pPr>
        <w:spacing w:before="0" w:beforeAutospacing="0" w:after="160" w:afterAutospacing="0"/>
        <w:ind w:right="0"/>
        <w:contextualSpacing/>
        <w:jc w:val="both"/>
        <w:rPr>
          <w:rFonts w:ascii="Times New Roman" w:eastAsia="Calibri" w:hAnsi="Times New Roman" w:cs="Times New Roman"/>
          <w:b/>
          <w:sz w:val="24"/>
          <w:szCs w:val="24"/>
        </w:rPr>
      </w:pPr>
    </w:p>
    <w:p w14:paraId="40253B37" w14:textId="77777777" w:rsidR="006514D3" w:rsidRDefault="006514D3" w:rsidP="006514D3">
      <w:pPr>
        <w:spacing w:before="0" w:beforeAutospacing="0" w:after="160" w:afterAutospacing="0"/>
        <w:ind w:right="0"/>
        <w:contextualSpacing/>
        <w:jc w:val="both"/>
        <w:rPr>
          <w:rFonts w:ascii="Times New Roman" w:eastAsia="Calibri" w:hAnsi="Times New Roman" w:cs="Times New Roman"/>
          <w:b/>
          <w:sz w:val="24"/>
          <w:szCs w:val="24"/>
        </w:rPr>
      </w:pPr>
    </w:p>
    <w:p w14:paraId="0938F99B" w14:textId="77777777" w:rsidR="005F29EE" w:rsidRPr="005F29EE" w:rsidRDefault="005F29EE" w:rsidP="006514D3">
      <w:pPr>
        <w:spacing w:before="0" w:beforeAutospacing="0" w:after="160" w:afterAutospacing="0"/>
        <w:ind w:right="0"/>
        <w:contextualSpacing/>
        <w:jc w:val="both"/>
        <w:rPr>
          <w:rFonts w:ascii="Times New Roman" w:eastAsia="Calibri" w:hAnsi="Times New Roman" w:cs="Times New Roman"/>
          <w:sz w:val="24"/>
          <w:szCs w:val="24"/>
        </w:rPr>
      </w:pPr>
      <w:r w:rsidRPr="005F29EE">
        <w:rPr>
          <w:rFonts w:ascii="Times New Roman" w:eastAsia="Calibri" w:hAnsi="Times New Roman" w:cs="Times New Roman"/>
          <w:b/>
          <w:sz w:val="24"/>
          <w:szCs w:val="24"/>
        </w:rPr>
        <w:t>APPLICANT’S CASE</w:t>
      </w:r>
    </w:p>
    <w:p w14:paraId="69CC67F4" w14:textId="77777777" w:rsidR="005F29EE" w:rsidRPr="005F29EE" w:rsidRDefault="005F29EE" w:rsidP="006514D3">
      <w:pPr>
        <w:numPr>
          <w:ilvl w:val="0"/>
          <w:numId w:val="2"/>
        </w:numPr>
        <w:spacing w:before="0" w:beforeAutospacing="0" w:after="160" w:afterAutospacing="0"/>
        <w:ind w:right="0"/>
        <w:contextualSpacing/>
        <w:jc w:val="both"/>
        <w:rPr>
          <w:rFonts w:ascii="Times New Roman" w:eastAsia="Calibri" w:hAnsi="Times New Roman" w:cs="Times New Roman"/>
          <w:sz w:val="24"/>
          <w:szCs w:val="24"/>
        </w:rPr>
      </w:pPr>
      <w:r w:rsidRPr="005F29EE">
        <w:rPr>
          <w:rFonts w:ascii="Times New Roman" w:eastAsia="Calibri" w:hAnsi="Times New Roman" w:cs="Times New Roman"/>
          <w:sz w:val="24"/>
          <w:szCs w:val="24"/>
        </w:rPr>
        <w:t>In its founding affidavit, the applicant said it submitted a statement of account to the respondent. The respondent queried that account and sought variations. The applicant said it acceded to the variations but the respondent would not settle the debt. The parties convened a meeting in a bid to resolve the impasse. Thereafter, the respondent acknowledged its indebtedness in writing by correspondence dated 1 April 2025. It undertook to liquidate the debt in full by June 2025. The applicant further averred that despite repeated follow</w:t>
      </w:r>
      <w:r w:rsidRPr="005F29EE">
        <w:rPr>
          <w:rFonts w:ascii="Times New Roman" w:eastAsia="Calibri" w:hAnsi="Times New Roman" w:cs="Times New Roman"/>
          <w:sz w:val="24"/>
          <w:szCs w:val="24"/>
        </w:rPr>
        <w:noBreakHyphen/>
        <w:t xml:space="preserve">ups, including a letter of demand written on 2 July 2025, no payment was effected. Frustrated, the applicant then sued out summons as stated earlier. Needless to state, the respondent entered appearance to defend. Thereafter, the parties through their legal practitioners once again attempted to settle the matter. Those efforts culminated in the parties drafting a deed of settlement. The respondent is alleged to have initially accepted the deed of settlement subject to minor amendments which once again, the applicant said it accepted. In a sudden volte-face the respondent later reneged and refused to sign the deed. The applicant was left with no choice but to issue a notice to plead. The respondent subsequently filed its plea admitting liability only in the sum of </w:t>
      </w:r>
      <w:r w:rsidRPr="005F29EE">
        <w:rPr>
          <w:rFonts w:ascii="Times New Roman" w:eastAsia="Calibri" w:hAnsi="Times New Roman" w:cs="Times New Roman"/>
          <w:b/>
          <w:bCs/>
          <w:sz w:val="24"/>
          <w:szCs w:val="24"/>
        </w:rPr>
        <w:t>US$73,883.25</w:t>
      </w:r>
      <w:r w:rsidRPr="005F29EE">
        <w:rPr>
          <w:rFonts w:ascii="Times New Roman" w:eastAsia="Calibri" w:hAnsi="Times New Roman" w:cs="Times New Roman"/>
          <w:sz w:val="24"/>
          <w:szCs w:val="24"/>
        </w:rPr>
        <w:t xml:space="preserve"> and denying the rest of the amount.</w:t>
      </w:r>
    </w:p>
    <w:p w14:paraId="61BCE1C4" w14:textId="1C0ED9D1" w:rsidR="005F29EE" w:rsidRPr="005F29EE" w:rsidRDefault="005F29EE" w:rsidP="006514D3">
      <w:pPr>
        <w:numPr>
          <w:ilvl w:val="0"/>
          <w:numId w:val="2"/>
        </w:numPr>
        <w:spacing w:before="0" w:beforeAutospacing="0" w:after="160" w:afterAutospacing="0"/>
        <w:ind w:right="0"/>
        <w:contextualSpacing/>
        <w:jc w:val="both"/>
        <w:rPr>
          <w:rFonts w:ascii="Times New Roman" w:eastAsia="Calibri" w:hAnsi="Times New Roman" w:cs="Times New Roman"/>
          <w:sz w:val="24"/>
          <w:szCs w:val="24"/>
        </w:rPr>
      </w:pPr>
      <w:r w:rsidRPr="005F29EE">
        <w:rPr>
          <w:rFonts w:ascii="Times New Roman" w:eastAsia="Calibri" w:hAnsi="Times New Roman" w:cs="Times New Roman"/>
          <w:sz w:val="24"/>
          <w:szCs w:val="24"/>
        </w:rPr>
        <w:t xml:space="preserve">During arguments, the applicant’s counsel, </w:t>
      </w:r>
      <w:r w:rsidRPr="005F29EE">
        <w:rPr>
          <w:rFonts w:ascii="Times New Roman" w:eastAsia="Calibri" w:hAnsi="Times New Roman" w:cs="Times New Roman"/>
          <w:iCs/>
          <w:sz w:val="24"/>
          <w:szCs w:val="24"/>
        </w:rPr>
        <w:t>Mr</w:t>
      </w:r>
      <w:r w:rsidRPr="005F29EE">
        <w:rPr>
          <w:rFonts w:ascii="Times New Roman" w:eastAsia="Calibri" w:hAnsi="Times New Roman" w:cs="Times New Roman"/>
          <w:i/>
          <w:sz w:val="24"/>
          <w:szCs w:val="24"/>
        </w:rPr>
        <w:t xml:space="preserve"> </w:t>
      </w:r>
      <w:proofErr w:type="spellStart"/>
      <w:r w:rsidRPr="005F29EE">
        <w:rPr>
          <w:rFonts w:ascii="Times New Roman" w:eastAsia="Calibri" w:hAnsi="Times New Roman" w:cs="Times New Roman"/>
          <w:i/>
          <w:sz w:val="24"/>
          <w:szCs w:val="24"/>
        </w:rPr>
        <w:t>Mafirakure</w:t>
      </w:r>
      <w:r w:rsidR="003B5CED">
        <w:rPr>
          <w:rFonts w:ascii="Times New Roman" w:eastAsia="Calibri" w:hAnsi="Times New Roman" w:cs="Times New Roman"/>
          <w:i/>
          <w:sz w:val="24"/>
          <w:szCs w:val="24"/>
        </w:rPr>
        <w:t>v</w:t>
      </w:r>
      <w:r w:rsidRPr="005F29EE">
        <w:rPr>
          <w:rFonts w:ascii="Times New Roman" w:eastAsia="Calibri" w:hAnsi="Times New Roman" w:cs="Times New Roman"/>
          <w:i/>
          <w:sz w:val="24"/>
          <w:szCs w:val="24"/>
        </w:rPr>
        <w:t>a</w:t>
      </w:r>
      <w:proofErr w:type="spellEnd"/>
      <w:r w:rsidRPr="005F29EE">
        <w:rPr>
          <w:rFonts w:ascii="Times New Roman" w:eastAsia="Calibri" w:hAnsi="Times New Roman" w:cs="Times New Roman"/>
          <w:i/>
          <w:sz w:val="24"/>
          <w:szCs w:val="24"/>
        </w:rPr>
        <w:t xml:space="preserve"> </w:t>
      </w:r>
      <w:r w:rsidRPr="005F29EE">
        <w:rPr>
          <w:rFonts w:ascii="Times New Roman" w:eastAsia="Calibri" w:hAnsi="Times New Roman" w:cs="Times New Roman"/>
          <w:sz w:val="24"/>
          <w:szCs w:val="24"/>
        </w:rPr>
        <w:t xml:space="preserve">argued that the respondent’s entry of appearance to defend was not genuine because it never disputed the amount claimed by the applicant during their engagements. He said the respondent even proposed a payment plan. He challenged the contention by the respondent in its papers that the payment proposal was on a </w:t>
      </w:r>
      <w:r w:rsidRPr="005F29EE">
        <w:rPr>
          <w:rFonts w:ascii="Times New Roman" w:eastAsia="Calibri" w:hAnsi="Times New Roman" w:cs="Times New Roman"/>
          <w:i/>
          <w:sz w:val="24"/>
          <w:szCs w:val="24"/>
        </w:rPr>
        <w:t>without prejudice</w:t>
      </w:r>
      <w:r w:rsidRPr="005F29EE">
        <w:rPr>
          <w:rFonts w:ascii="Times New Roman" w:eastAsia="Calibri" w:hAnsi="Times New Roman" w:cs="Times New Roman"/>
          <w:sz w:val="24"/>
          <w:szCs w:val="24"/>
        </w:rPr>
        <w:t xml:space="preserve"> basis because the communication between the parties did not indicate so. To the applicant, the proposal by the respondent to have the emails expunged from the record was the height of insincerity. Counsel further argued that the respondent does not challenge the supply of services and equipment as stated by the applicant in its founding affidavit but only challenges the total amount claimed without any basis. In the end, he said there is no </w:t>
      </w:r>
      <w:r w:rsidRPr="005F29EE">
        <w:rPr>
          <w:rFonts w:ascii="Times New Roman" w:eastAsia="Calibri" w:hAnsi="Times New Roman" w:cs="Times New Roman"/>
          <w:sz w:val="24"/>
          <w:szCs w:val="24"/>
        </w:rPr>
        <w:lastRenderedPageBreak/>
        <w:t>arguable case that can be referred to trial as the applicant’s case is clearly unarguable both in fact and in law.</w:t>
      </w:r>
    </w:p>
    <w:p w14:paraId="262E0C26" w14:textId="6A5334F4" w:rsidR="005F29EE" w:rsidRPr="005F29EE" w:rsidRDefault="005F29EE" w:rsidP="006514D3">
      <w:pPr>
        <w:numPr>
          <w:ilvl w:val="0"/>
          <w:numId w:val="2"/>
        </w:numPr>
        <w:spacing w:before="0" w:beforeAutospacing="0" w:after="160" w:afterAutospacing="0"/>
        <w:ind w:right="0"/>
        <w:contextualSpacing/>
        <w:jc w:val="both"/>
        <w:rPr>
          <w:rFonts w:ascii="Times New Roman" w:eastAsia="Calibri" w:hAnsi="Times New Roman" w:cs="Times New Roman"/>
          <w:sz w:val="24"/>
          <w:szCs w:val="24"/>
        </w:rPr>
      </w:pPr>
      <w:r w:rsidRPr="005F29EE">
        <w:rPr>
          <w:rFonts w:ascii="Times New Roman" w:eastAsia="Calibri" w:hAnsi="Times New Roman" w:cs="Times New Roman"/>
          <w:iCs/>
          <w:sz w:val="24"/>
          <w:szCs w:val="24"/>
        </w:rPr>
        <w:t>Mr</w:t>
      </w:r>
      <w:r w:rsidRPr="005F29EE">
        <w:rPr>
          <w:rFonts w:ascii="Times New Roman" w:eastAsia="Calibri" w:hAnsi="Times New Roman" w:cs="Times New Roman"/>
          <w:i/>
          <w:sz w:val="24"/>
          <w:szCs w:val="24"/>
        </w:rPr>
        <w:t xml:space="preserve"> </w:t>
      </w:r>
      <w:proofErr w:type="spellStart"/>
      <w:r w:rsidRPr="005F29EE">
        <w:rPr>
          <w:rFonts w:ascii="Times New Roman" w:eastAsia="Calibri" w:hAnsi="Times New Roman" w:cs="Times New Roman"/>
          <w:i/>
          <w:sz w:val="24"/>
          <w:szCs w:val="24"/>
        </w:rPr>
        <w:t>Mafirakure</w:t>
      </w:r>
      <w:r w:rsidR="003B5CED">
        <w:rPr>
          <w:rFonts w:ascii="Times New Roman" w:eastAsia="Calibri" w:hAnsi="Times New Roman" w:cs="Times New Roman"/>
          <w:i/>
          <w:sz w:val="24"/>
          <w:szCs w:val="24"/>
        </w:rPr>
        <w:t>v</w:t>
      </w:r>
      <w:r w:rsidRPr="005F29EE">
        <w:rPr>
          <w:rFonts w:ascii="Times New Roman" w:eastAsia="Calibri" w:hAnsi="Times New Roman" w:cs="Times New Roman"/>
          <w:i/>
          <w:sz w:val="24"/>
          <w:szCs w:val="24"/>
        </w:rPr>
        <w:t>a</w:t>
      </w:r>
      <w:proofErr w:type="spellEnd"/>
      <w:r w:rsidRPr="005F29EE">
        <w:rPr>
          <w:rFonts w:ascii="Times New Roman" w:eastAsia="Calibri" w:hAnsi="Times New Roman" w:cs="Times New Roman"/>
          <w:i/>
          <w:sz w:val="24"/>
          <w:szCs w:val="24"/>
        </w:rPr>
        <w:t xml:space="preserve"> </w:t>
      </w:r>
      <w:r w:rsidRPr="005F29EE">
        <w:rPr>
          <w:rFonts w:ascii="Times New Roman" w:eastAsia="Calibri" w:hAnsi="Times New Roman" w:cs="Times New Roman"/>
          <w:sz w:val="24"/>
          <w:szCs w:val="24"/>
        </w:rPr>
        <w:t>abandoned the claim of 10% of the collected amount as claimed in the summons but</w:t>
      </w:r>
      <w:r w:rsidRPr="005F29EE">
        <w:rPr>
          <w:rFonts w:ascii="Times New Roman" w:eastAsia="Calibri" w:hAnsi="Times New Roman" w:cs="Times New Roman"/>
          <w:iCs/>
          <w:sz w:val="24"/>
          <w:szCs w:val="24"/>
        </w:rPr>
        <w:t xml:space="preserve"> </w:t>
      </w:r>
      <w:r w:rsidRPr="005F29EE">
        <w:rPr>
          <w:rFonts w:ascii="Times New Roman" w:eastAsia="Calibri" w:hAnsi="Times New Roman" w:cs="Times New Roman"/>
          <w:sz w:val="24"/>
          <w:szCs w:val="24"/>
        </w:rPr>
        <w:t xml:space="preserve">insisted on its payment in terms of the Law Society of Zimbabwe Tariff. </w:t>
      </w:r>
    </w:p>
    <w:p w14:paraId="4F94CF84" w14:textId="77777777" w:rsidR="005F29EE" w:rsidRPr="005F29EE" w:rsidRDefault="005F29EE" w:rsidP="006514D3">
      <w:pPr>
        <w:numPr>
          <w:ilvl w:val="0"/>
          <w:numId w:val="2"/>
        </w:numPr>
        <w:spacing w:before="0" w:beforeAutospacing="0" w:after="160" w:afterAutospacing="0"/>
        <w:ind w:right="0"/>
        <w:contextualSpacing/>
        <w:jc w:val="both"/>
        <w:rPr>
          <w:rFonts w:ascii="Times New Roman" w:eastAsia="Calibri" w:hAnsi="Times New Roman" w:cs="Times New Roman"/>
          <w:sz w:val="24"/>
          <w:szCs w:val="24"/>
        </w:rPr>
      </w:pPr>
      <w:r w:rsidRPr="005F29EE">
        <w:rPr>
          <w:rFonts w:ascii="Times New Roman" w:eastAsia="Calibri" w:hAnsi="Times New Roman" w:cs="Times New Roman"/>
          <w:sz w:val="24"/>
          <w:szCs w:val="24"/>
        </w:rPr>
        <w:t>On costs, the applicant prayed for costs on the higher scale because as counsel put it, the respondent never disputed the amount claimed from the onset. He said the respondent simply opposed the application in order to delay and frustrate the business of the applicant.</w:t>
      </w:r>
    </w:p>
    <w:p w14:paraId="1AE9E042" w14:textId="77777777" w:rsidR="005F29EE" w:rsidRPr="005F29EE" w:rsidRDefault="005F29EE" w:rsidP="005F29EE">
      <w:pPr>
        <w:spacing w:before="0" w:beforeAutospacing="0" w:after="160" w:afterAutospacing="0"/>
        <w:ind w:right="0"/>
        <w:jc w:val="both"/>
        <w:rPr>
          <w:rFonts w:ascii="Times New Roman" w:eastAsia="Calibri" w:hAnsi="Times New Roman" w:cs="Times New Roman"/>
          <w:b/>
          <w:bCs/>
          <w:sz w:val="24"/>
          <w:szCs w:val="24"/>
        </w:rPr>
      </w:pPr>
      <w:r w:rsidRPr="005F29EE">
        <w:rPr>
          <w:rFonts w:ascii="Times New Roman" w:eastAsia="Calibri" w:hAnsi="Times New Roman" w:cs="Times New Roman"/>
          <w:b/>
          <w:bCs/>
          <w:sz w:val="24"/>
          <w:szCs w:val="24"/>
        </w:rPr>
        <w:t>RESPONDENT’S CASE</w:t>
      </w:r>
    </w:p>
    <w:p w14:paraId="194D0DA2" w14:textId="77777777" w:rsidR="005F29EE" w:rsidRPr="005F29EE" w:rsidRDefault="005F29EE" w:rsidP="006514D3">
      <w:pPr>
        <w:numPr>
          <w:ilvl w:val="0"/>
          <w:numId w:val="2"/>
        </w:numPr>
        <w:spacing w:before="0" w:beforeAutospacing="0" w:after="160" w:afterAutospacing="0"/>
        <w:ind w:right="0"/>
        <w:contextualSpacing/>
        <w:jc w:val="both"/>
        <w:rPr>
          <w:rFonts w:ascii="Times New Roman" w:eastAsia="Calibri" w:hAnsi="Times New Roman" w:cs="Times New Roman"/>
          <w:bCs/>
          <w:sz w:val="24"/>
          <w:szCs w:val="24"/>
        </w:rPr>
      </w:pPr>
      <w:r w:rsidRPr="005F29EE">
        <w:rPr>
          <w:rFonts w:ascii="Times New Roman" w:eastAsia="Calibri" w:hAnsi="Times New Roman" w:cs="Times New Roman"/>
          <w:bCs/>
          <w:sz w:val="24"/>
          <w:szCs w:val="24"/>
        </w:rPr>
        <w:t xml:space="preserve">In its papers, the respondent contended that the applicant’s case is not clear and unarguable. It said its plea raised a </w:t>
      </w:r>
      <w:r w:rsidRPr="005F29EE">
        <w:rPr>
          <w:rFonts w:ascii="Times New Roman" w:eastAsia="Calibri" w:hAnsi="Times New Roman" w:cs="Times New Roman"/>
          <w:bCs/>
          <w:i/>
          <w:sz w:val="24"/>
          <w:szCs w:val="24"/>
        </w:rPr>
        <w:t>prima facie</w:t>
      </w:r>
      <w:r w:rsidRPr="005F29EE">
        <w:rPr>
          <w:rFonts w:ascii="Times New Roman" w:eastAsia="Calibri" w:hAnsi="Times New Roman" w:cs="Times New Roman"/>
          <w:bCs/>
          <w:sz w:val="24"/>
          <w:szCs w:val="24"/>
        </w:rPr>
        <w:t xml:space="preserve"> defence that warrants referral of the matter to trial.  It argued that the issue of unilateral variations of invoices has always been a bone of contention between the parties and does not support the US$297 532.00 claimed on the summons. The respondent further denied acknowledging its indebtedness as claimed in the email dated 1 April 2025. It also contended that even then, the emails were on a </w:t>
      </w:r>
      <w:r w:rsidRPr="005F29EE">
        <w:rPr>
          <w:rFonts w:ascii="Times New Roman" w:eastAsia="Calibri" w:hAnsi="Times New Roman" w:cs="Times New Roman"/>
          <w:bCs/>
          <w:i/>
          <w:sz w:val="24"/>
          <w:szCs w:val="24"/>
        </w:rPr>
        <w:t>without prejudice</w:t>
      </w:r>
      <w:r w:rsidRPr="005F29EE">
        <w:rPr>
          <w:rFonts w:ascii="Times New Roman" w:eastAsia="Calibri" w:hAnsi="Times New Roman" w:cs="Times New Roman"/>
          <w:bCs/>
          <w:sz w:val="24"/>
          <w:szCs w:val="24"/>
        </w:rPr>
        <w:t xml:space="preserve"> basis.</w:t>
      </w:r>
    </w:p>
    <w:p w14:paraId="3C10C888" w14:textId="77777777" w:rsidR="005F29EE" w:rsidRPr="005F29EE" w:rsidRDefault="005F29EE" w:rsidP="006514D3">
      <w:pPr>
        <w:numPr>
          <w:ilvl w:val="0"/>
          <w:numId w:val="2"/>
        </w:numPr>
        <w:spacing w:before="0" w:beforeAutospacing="0" w:after="160" w:afterAutospacing="0"/>
        <w:ind w:right="0"/>
        <w:contextualSpacing/>
        <w:jc w:val="both"/>
        <w:rPr>
          <w:rFonts w:ascii="Times New Roman" w:eastAsia="Calibri" w:hAnsi="Times New Roman" w:cs="Times New Roman"/>
          <w:bCs/>
          <w:sz w:val="24"/>
          <w:szCs w:val="24"/>
        </w:rPr>
      </w:pPr>
      <w:r w:rsidRPr="005F29EE">
        <w:rPr>
          <w:rFonts w:ascii="Times New Roman" w:eastAsia="Calibri" w:hAnsi="Times New Roman" w:cs="Times New Roman"/>
          <w:bCs/>
          <w:sz w:val="24"/>
          <w:szCs w:val="24"/>
        </w:rPr>
        <w:t xml:space="preserve">At the hearing, counsel for the respondent, </w:t>
      </w:r>
      <w:r w:rsidRPr="005F29EE">
        <w:rPr>
          <w:rFonts w:ascii="Times New Roman" w:eastAsia="Calibri" w:hAnsi="Times New Roman" w:cs="Times New Roman"/>
          <w:bCs/>
          <w:iCs/>
          <w:sz w:val="24"/>
          <w:szCs w:val="24"/>
        </w:rPr>
        <w:t>Mr</w:t>
      </w:r>
      <w:r w:rsidRPr="005F29EE">
        <w:rPr>
          <w:rFonts w:ascii="Times New Roman" w:eastAsia="Calibri" w:hAnsi="Times New Roman" w:cs="Times New Roman"/>
          <w:bCs/>
          <w:i/>
          <w:sz w:val="24"/>
          <w:szCs w:val="24"/>
        </w:rPr>
        <w:t xml:space="preserve"> Mutero </w:t>
      </w:r>
      <w:r w:rsidRPr="005F29EE">
        <w:rPr>
          <w:rFonts w:ascii="Times New Roman" w:eastAsia="Calibri" w:hAnsi="Times New Roman" w:cs="Times New Roman"/>
          <w:bCs/>
          <w:sz w:val="24"/>
          <w:szCs w:val="24"/>
        </w:rPr>
        <w:t xml:space="preserve">referred the Court to the case of </w:t>
      </w:r>
      <w:proofErr w:type="spellStart"/>
      <w:r w:rsidRPr="005F29EE">
        <w:rPr>
          <w:rFonts w:ascii="Times New Roman" w:eastAsia="Calibri" w:hAnsi="Times New Roman" w:cs="Times New Roman"/>
          <w:bCs/>
          <w:i/>
          <w:sz w:val="24"/>
          <w:szCs w:val="24"/>
        </w:rPr>
        <w:t>Tavenhavave</w:t>
      </w:r>
      <w:proofErr w:type="spellEnd"/>
      <w:r w:rsidRPr="005F29EE">
        <w:rPr>
          <w:rFonts w:ascii="Times New Roman" w:eastAsia="Calibri" w:hAnsi="Times New Roman" w:cs="Times New Roman"/>
          <w:bCs/>
          <w:i/>
          <w:sz w:val="24"/>
          <w:szCs w:val="24"/>
        </w:rPr>
        <w:t xml:space="preserve"> &amp; </w:t>
      </w:r>
      <w:proofErr w:type="spellStart"/>
      <w:r w:rsidRPr="005F29EE">
        <w:rPr>
          <w:rFonts w:ascii="Times New Roman" w:eastAsia="Calibri" w:hAnsi="Times New Roman" w:cs="Times New Roman"/>
          <w:bCs/>
          <w:i/>
          <w:sz w:val="24"/>
          <w:szCs w:val="24"/>
        </w:rPr>
        <w:t>Machigauta</w:t>
      </w:r>
      <w:proofErr w:type="spellEnd"/>
      <w:r w:rsidRPr="005F29EE">
        <w:rPr>
          <w:rFonts w:ascii="Times New Roman" w:eastAsia="Calibri" w:hAnsi="Times New Roman" w:cs="Times New Roman"/>
          <w:bCs/>
          <w:i/>
          <w:sz w:val="24"/>
          <w:szCs w:val="24"/>
        </w:rPr>
        <w:t xml:space="preserve"> Legal Practitioners </w:t>
      </w:r>
      <w:r w:rsidRPr="005F29EE">
        <w:rPr>
          <w:rFonts w:ascii="Times New Roman" w:eastAsia="Calibri" w:hAnsi="Times New Roman" w:cs="Times New Roman"/>
          <w:bCs/>
          <w:sz w:val="24"/>
          <w:szCs w:val="24"/>
        </w:rPr>
        <w:t xml:space="preserve">v </w:t>
      </w:r>
      <w:r w:rsidRPr="005F29EE">
        <w:rPr>
          <w:rFonts w:ascii="Times New Roman" w:eastAsia="Calibri" w:hAnsi="Times New Roman" w:cs="Times New Roman"/>
          <w:bCs/>
          <w:i/>
          <w:sz w:val="24"/>
          <w:szCs w:val="24"/>
        </w:rPr>
        <w:t xml:space="preserve">Messenger of Court </w:t>
      </w:r>
      <w:r w:rsidRPr="005F29EE">
        <w:rPr>
          <w:rFonts w:ascii="Times New Roman" w:eastAsia="Calibri" w:hAnsi="Times New Roman" w:cs="Times New Roman"/>
          <w:bCs/>
          <w:sz w:val="24"/>
          <w:szCs w:val="24"/>
        </w:rPr>
        <w:t xml:space="preserve">SC53-14 where the Supreme Court held that summary judgment can be defeated if there is a mere possibility of the defendant’s defence succeeding. He argued that there was no acknowledgment of the total sum claimed and that the alleged acknowledgment of debt which the applicant seeks to rely on does not indicate the amount owed. To him, the correspondence did not amount to an acknowledgment of debt. He further referred the Court to the authority of </w:t>
      </w:r>
      <w:r w:rsidRPr="005F29EE">
        <w:rPr>
          <w:rFonts w:ascii="Times New Roman" w:eastAsia="Calibri" w:hAnsi="Times New Roman" w:cs="Times New Roman"/>
          <w:bCs/>
          <w:i/>
          <w:sz w:val="24"/>
          <w:szCs w:val="24"/>
        </w:rPr>
        <w:t xml:space="preserve">Ndebele </w:t>
      </w:r>
      <w:r w:rsidRPr="005F29EE">
        <w:rPr>
          <w:rFonts w:ascii="Times New Roman" w:eastAsia="Calibri" w:hAnsi="Times New Roman" w:cs="Times New Roman"/>
          <w:bCs/>
          <w:sz w:val="24"/>
          <w:szCs w:val="24"/>
        </w:rPr>
        <w:t xml:space="preserve">v </w:t>
      </w:r>
      <w:r w:rsidRPr="005F29EE">
        <w:rPr>
          <w:rFonts w:ascii="Times New Roman" w:eastAsia="Calibri" w:hAnsi="Times New Roman" w:cs="Times New Roman"/>
          <w:bCs/>
          <w:i/>
          <w:sz w:val="24"/>
          <w:szCs w:val="24"/>
        </w:rPr>
        <w:t xml:space="preserve">AG-Venture (Pvt) Ltd </w:t>
      </w:r>
      <w:r w:rsidRPr="005F29EE">
        <w:rPr>
          <w:rFonts w:ascii="Times New Roman" w:eastAsia="Calibri" w:hAnsi="Times New Roman" w:cs="Times New Roman"/>
          <w:bCs/>
          <w:sz w:val="24"/>
          <w:szCs w:val="24"/>
        </w:rPr>
        <w:t xml:space="preserve">HH39-12 where this Court held that an acknowledgment of debt must be an unconditional acceptance of an ascertained amount of money and the payment of which is due to a creditor. </w:t>
      </w:r>
    </w:p>
    <w:p w14:paraId="6AE9EA96" w14:textId="77777777" w:rsidR="005F29EE" w:rsidRPr="005F29EE" w:rsidRDefault="005F29EE" w:rsidP="006514D3">
      <w:pPr>
        <w:numPr>
          <w:ilvl w:val="0"/>
          <w:numId w:val="2"/>
        </w:numPr>
        <w:spacing w:before="0" w:beforeAutospacing="0" w:after="160" w:afterAutospacing="0"/>
        <w:ind w:right="0"/>
        <w:contextualSpacing/>
        <w:jc w:val="both"/>
        <w:rPr>
          <w:rFonts w:ascii="Times New Roman" w:eastAsia="Calibri" w:hAnsi="Times New Roman" w:cs="Times New Roman"/>
          <w:bCs/>
          <w:sz w:val="24"/>
          <w:szCs w:val="24"/>
        </w:rPr>
      </w:pPr>
      <w:r w:rsidRPr="005F29EE">
        <w:rPr>
          <w:rFonts w:ascii="Times New Roman" w:eastAsia="Calibri" w:hAnsi="Times New Roman" w:cs="Times New Roman"/>
          <w:bCs/>
          <w:sz w:val="24"/>
          <w:szCs w:val="24"/>
        </w:rPr>
        <w:t xml:space="preserve">Regarding the </w:t>
      </w:r>
      <w:r w:rsidRPr="005F29EE">
        <w:rPr>
          <w:rFonts w:ascii="Times New Roman" w:eastAsia="Calibri" w:hAnsi="Times New Roman" w:cs="Times New Roman"/>
          <w:bCs/>
          <w:i/>
          <w:sz w:val="24"/>
          <w:szCs w:val="24"/>
        </w:rPr>
        <w:t>without prejudice</w:t>
      </w:r>
      <w:r w:rsidRPr="005F29EE">
        <w:rPr>
          <w:rFonts w:ascii="Times New Roman" w:eastAsia="Calibri" w:hAnsi="Times New Roman" w:cs="Times New Roman"/>
          <w:bCs/>
          <w:sz w:val="24"/>
          <w:szCs w:val="24"/>
        </w:rPr>
        <w:t xml:space="preserve"> communication, counsel said generally such communication should not be used against a party which made it and the court cannot have regard to it in assessing liability. He said a party would have communicated freely and without fear of such communication being used against him/her/it should the </w:t>
      </w:r>
      <w:r w:rsidRPr="005F29EE">
        <w:rPr>
          <w:rFonts w:ascii="Times New Roman" w:eastAsia="Calibri" w:hAnsi="Times New Roman" w:cs="Times New Roman"/>
          <w:bCs/>
          <w:sz w:val="24"/>
          <w:szCs w:val="24"/>
        </w:rPr>
        <w:lastRenderedPageBreak/>
        <w:t xml:space="preserve">negotiations fail. He reinforced that an offer without prejudice does not mean acceptance of liability. In conclusion, counsel said the respondent remained adamant that the claim is not clear and unassailable and that the defence raised by the respondent is plausible. </w:t>
      </w:r>
    </w:p>
    <w:p w14:paraId="2AD96CE3" w14:textId="77777777" w:rsidR="005F29EE" w:rsidRPr="005F29EE" w:rsidRDefault="005F29EE" w:rsidP="006514D3">
      <w:pPr>
        <w:numPr>
          <w:ilvl w:val="0"/>
          <w:numId w:val="2"/>
        </w:numPr>
        <w:spacing w:before="0" w:beforeAutospacing="0" w:after="160" w:afterAutospacing="0"/>
        <w:ind w:right="0"/>
        <w:contextualSpacing/>
        <w:jc w:val="both"/>
        <w:rPr>
          <w:rFonts w:ascii="Times New Roman" w:eastAsia="Calibri" w:hAnsi="Times New Roman" w:cs="Times New Roman"/>
          <w:bCs/>
          <w:sz w:val="24"/>
          <w:szCs w:val="24"/>
        </w:rPr>
      </w:pPr>
      <w:r w:rsidRPr="005F29EE">
        <w:rPr>
          <w:rFonts w:ascii="Times New Roman" w:eastAsia="Calibri" w:hAnsi="Times New Roman" w:cs="Times New Roman"/>
          <w:bCs/>
          <w:sz w:val="24"/>
          <w:szCs w:val="24"/>
        </w:rPr>
        <w:t xml:space="preserve">On the collection commission, </w:t>
      </w:r>
      <w:r w:rsidRPr="005F29EE">
        <w:rPr>
          <w:rFonts w:ascii="Times New Roman" w:eastAsia="Calibri" w:hAnsi="Times New Roman" w:cs="Times New Roman"/>
          <w:bCs/>
          <w:iCs/>
          <w:sz w:val="24"/>
          <w:szCs w:val="24"/>
        </w:rPr>
        <w:t>the respondent once more</w:t>
      </w:r>
      <w:r w:rsidRPr="005F29EE">
        <w:rPr>
          <w:rFonts w:ascii="Times New Roman" w:eastAsia="Calibri" w:hAnsi="Times New Roman" w:cs="Times New Roman"/>
          <w:bCs/>
          <w:sz w:val="24"/>
          <w:szCs w:val="24"/>
        </w:rPr>
        <w:t xml:space="preserve">, directed the Court to the authorities of </w:t>
      </w:r>
      <w:r w:rsidRPr="005F29EE">
        <w:rPr>
          <w:rFonts w:ascii="Times New Roman" w:eastAsia="Calibri" w:hAnsi="Times New Roman" w:cs="Times New Roman"/>
          <w:bCs/>
          <w:i/>
          <w:sz w:val="24"/>
          <w:szCs w:val="24"/>
        </w:rPr>
        <w:t xml:space="preserve">Savana Tobacco </w:t>
      </w:r>
      <w:r w:rsidRPr="005F29EE">
        <w:rPr>
          <w:rFonts w:ascii="Times New Roman" w:eastAsia="Calibri" w:hAnsi="Times New Roman" w:cs="Times New Roman"/>
          <w:bCs/>
          <w:sz w:val="24"/>
          <w:szCs w:val="24"/>
        </w:rPr>
        <w:t xml:space="preserve">v </w:t>
      </w:r>
      <w:proofErr w:type="spellStart"/>
      <w:r w:rsidRPr="005F29EE">
        <w:rPr>
          <w:rFonts w:ascii="Times New Roman" w:eastAsia="Calibri" w:hAnsi="Times New Roman" w:cs="Times New Roman"/>
          <w:bCs/>
          <w:i/>
          <w:sz w:val="24"/>
          <w:szCs w:val="24"/>
        </w:rPr>
        <w:t>Alshams</w:t>
      </w:r>
      <w:proofErr w:type="spellEnd"/>
      <w:r w:rsidRPr="005F29EE">
        <w:rPr>
          <w:rFonts w:ascii="Times New Roman" w:eastAsia="Calibri" w:hAnsi="Times New Roman" w:cs="Times New Roman"/>
          <w:bCs/>
          <w:i/>
          <w:sz w:val="24"/>
          <w:szCs w:val="24"/>
        </w:rPr>
        <w:t xml:space="preserve"> Global Ltd &amp; Anor </w:t>
      </w:r>
      <w:r w:rsidRPr="005F29EE">
        <w:rPr>
          <w:rFonts w:ascii="Times New Roman" w:eastAsia="Calibri" w:hAnsi="Times New Roman" w:cs="Times New Roman"/>
          <w:bCs/>
          <w:sz w:val="24"/>
          <w:szCs w:val="24"/>
        </w:rPr>
        <w:t xml:space="preserve">SC25-18 </w:t>
      </w:r>
      <w:r w:rsidRPr="005F29EE">
        <w:rPr>
          <w:rFonts w:ascii="Times New Roman" w:eastAsia="Calibri" w:hAnsi="Times New Roman" w:cs="Times New Roman"/>
          <w:bCs/>
          <w:i/>
          <w:sz w:val="24"/>
          <w:szCs w:val="24"/>
        </w:rPr>
        <w:t>a</w:t>
      </w:r>
      <w:r w:rsidRPr="005F29EE">
        <w:rPr>
          <w:rFonts w:ascii="Times New Roman" w:eastAsia="Calibri" w:hAnsi="Times New Roman" w:cs="Times New Roman"/>
          <w:bCs/>
          <w:sz w:val="24"/>
          <w:szCs w:val="24"/>
        </w:rPr>
        <w:t xml:space="preserve">t p 17-19 and </w:t>
      </w:r>
      <w:proofErr w:type="spellStart"/>
      <w:r w:rsidRPr="005F29EE">
        <w:rPr>
          <w:rFonts w:ascii="Times New Roman" w:eastAsia="Calibri" w:hAnsi="Times New Roman" w:cs="Times New Roman"/>
          <w:bCs/>
          <w:i/>
          <w:sz w:val="24"/>
          <w:szCs w:val="24"/>
        </w:rPr>
        <w:t>Scotfin</w:t>
      </w:r>
      <w:proofErr w:type="spellEnd"/>
      <w:r w:rsidRPr="005F29EE">
        <w:rPr>
          <w:rFonts w:ascii="Times New Roman" w:eastAsia="Calibri" w:hAnsi="Times New Roman" w:cs="Times New Roman"/>
          <w:bCs/>
          <w:i/>
          <w:sz w:val="24"/>
          <w:szCs w:val="24"/>
        </w:rPr>
        <w:t xml:space="preserve"> </w:t>
      </w:r>
      <w:r w:rsidRPr="005F29EE">
        <w:rPr>
          <w:rFonts w:ascii="Times New Roman" w:eastAsia="Calibri" w:hAnsi="Times New Roman" w:cs="Times New Roman"/>
          <w:bCs/>
          <w:sz w:val="24"/>
          <w:szCs w:val="24"/>
        </w:rPr>
        <w:t xml:space="preserve">v </w:t>
      </w:r>
      <w:proofErr w:type="spellStart"/>
      <w:r w:rsidRPr="005F29EE">
        <w:rPr>
          <w:rFonts w:ascii="Times New Roman" w:eastAsia="Calibri" w:hAnsi="Times New Roman" w:cs="Times New Roman"/>
          <w:bCs/>
          <w:i/>
          <w:sz w:val="24"/>
          <w:szCs w:val="24"/>
        </w:rPr>
        <w:t>Ngomahuru</w:t>
      </w:r>
      <w:proofErr w:type="spellEnd"/>
      <w:r w:rsidRPr="005F29EE">
        <w:rPr>
          <w:rFonts w:ascii="Times New Roman" w:eastAsia="Calibri" w:hAnsi="Times New Roman" w:cs="Times New Roman"/>
          <w:bCs/>
          <w:i/>
          <w:sz w:val="24"/>
          <w:szCs w:val="24"/>
        </w:rPr>
        <w:t xml:space="preserve"> </w:t>
      </w:r>
      <w:r w:rsidRPr="005F29EE">
        <w:rPr>
          <w:rFonts w:ascii="Times New Roman" w:eastAsia="Calibri" w:hAnsi="Times New Roman" w:cs="Times New Roman"/>
          <w:bCs/>
          <w:sz w:val="24"/>
          <w:szCs w:val="24"/>
        </w:rPr>
        <w:t xml:space="preserve">1997 (2) ZLR 567 (H) at 569C-D where it was held that once a matter is resolved through litigation, collection commission cannot be claimed. With regards to costs, the respondent also made the same request as the applicant. </w:t>
      </w:r>
      <w:r w:rsidRPr="005F29EE">
        <w:rPr>
          <w:rFonts w:ascii="Times New Roman" w:eastAsia="Calibri" w:hAnsi="Times New Roman" w:cs="Times New Roman"/>
          <w:bCs/>
          <w:iCs/>
          <w:sz w:val="24"/>
          <w:szCs w:val="24"/>
        </w:rPr>
        <w:t>Mr</w:t>
      </w:r>
      <w:r w:rsidRPr="005F29EE">
        <w:rPr>
          <w:rFonts w:ascii="Times New Roman" w:eastAsia="Calibri" w:hAnsi="Times New Roman" w:cs="Times New Roman"/>
          <w:bCs/>
          <w:i/>
          <w:sz w:val="24"/>
          <w:szCs w:val="24"/>
        </w:rPr>
        <w:t xml:space="preserve"> Mutero </w:t>
      </w:r>
      <w:r w:rsidRPr="005F29EE">
        <w:rPr>
          <w:rFonts w:ascii="Times New Roman" w:eastAsia="Calibri" w:hAnsi="Times New Roman" w:cs="Times New Roman"/>
          <w:bCs/>
          <w:sz w:val="24"/>
          <w:szCs w:val="24"/>
        </w:rPr>
        <w:t>argued that it is the applicant who was not litigating in good faith as parties were still negotiating.</w:t>
      </w:r>
    </w:p>
    <w:p w14:paraId="7233059F" w14:textId="0C0A0253" w:rsidR="005F29EE" w:rsidRPr="005F29EE" w:rsidRDefault="005F29EE" w:rsidP="006514D3">
      <w:pPr>
        <w:numPr>
          <w:ilvl w:val="0"/>
          <w:numId w:val="2"/>
        </w:numPr>
        <w:spacing w:before="0" w:beforeAutospacing="0" w:after="160" w:afterAutospacing="0"/>
        <w:ind w:right="0"/>
        <w:contextualSpacing/>
        <w:jc w:val="both"/>
        <w:rPr>
          <w:rFonts w:ascii="Times New Roman" w:eastAsia="Calibri" w:hAnsi="Times New Roman" w:cs="Times New Roman"/>
          <w:bCs/>
          <w:sz w:val="24"/>
          <w:szCs w:val="24"/>
        </w:rPr>
      </w:pPr>
      <w:r w:rsidRPr="005F29EE">
        <w:rPr>
          <w:rFonts w:ascii="Times New Roman" w:eastAsia="Calibri" w:hAnsi="Times New Roman" w:cs="Times New Roman"/>
          <w:bCs/>
          <w:sz w:val="24"/>
          <w:szCs w:val="24"/>
        </w:rPr>
        <w:t xml:space="preserve">In response, </w:t>
      </w:r>
      <w:r w:rsidRPr="005F29EE">
        <w:rPr>
          <w:rFonts w:ascii="Times New Roman" w:eastAsia="Calibri" w:hAnsi="Times New Roman" w:cs="Times New Roman"/>
          <w:bCs/>
          <w:iCs/>
          <w:sz w:val="24"/>
          <w:szCs w:val="24"/>
        </w:rPr>
        <w:t>Mr</w:t>
      </w:r>
      <w:r w:rsidRPr="005F29EE">
        <w:rPr>
          <w:rFonts w:ascii="Times New Roman" w:eastAsia="Calibri" w:hAnsi="Times New Roman" w:cs="Times New Roman"/>
          <w:bCs/>
          <w:i/>
          <w:sz w:val="24"/>
          <w:szCs w:val="24"/>
        </w:rPr>
        <w:t xml:space="preserve"> </w:t>
      </w:r>
      <w:proofErr w:type="spellStart"/>
      <w:r w:rsidRPr="005F29EE">
        <w:rPr>
          <w:rFonts w:ascii="Times New Roman" w:eastAsia="Calibri" w:hAnsi="Times New Roman" w:cs="Times New Roman"/>
          <w:bCs/>
          <w:i/>
          <w:sz w:val="24"/>
          <w:szCs w:val="24"/>
        </w:rPr>
        <w:t>Mafirakure</w:t>
      </w:r>
      <w:r w:rsidR="003B5CED">
        <w:rPr>
          <w:rFonts w:ascii="Times New Roman" w:eastAsia="Calibri" w:hAnsi="Times New Roman" w:cs="Times New Roman"/>
          <w:bCs/>
          <w:i/>
          <w:sz w:val="24"/>
          <w:szCs w:val="24"/>
        </w:rPr>
        <w:t>v</w:t>
      </w:r>
      <w:r w:rsidRPr="005F29EE">
        <w:rPr>
          <w:rFonts w:ascii="Times New Roman" w:eastAsia="Calibri" w:hAnsi="Times New Roman" w:cs="Times New Roman"/>
          <w:bCs/>
          <w:i/>
          <w:sz w:val="24"/>
          <w:szCs w:val="24"/>
        </w:rPr>
        <w:t>a</w:t>
      </w:r>
      <w:proofErr w:type="spellEnd"/>
      <w:r w:rsidRPr="005F29EE">
        <w:rPr>
          <w:rFonts w:ascii="Times New Roman" w:eastAsia="Calibri" w:hAnsi="Times New Roman" w:cs="Times New Roman"/>
          <w:bCs/>
          <w:i/>
          <w:sz w:val="24"/>
          <w:szCs w:val="24"/>
        </w:rPr>
        <w:t xml:space="preserve"> </w:t>
      </w:r>
      <w:r w:rsidRPr="005F29EE">
        <w:rPr>
          <w:rFonts w:ascii="Times New Roman" w:eastAsia="Calibri" w:hAnsi="Times New Roman" w:cs="Times New Roman"/>
          <w:bCs/>
          <w:sz w:val="24"/>
          <w:szCs w:val="24"/>
        </w:rPr>
        <w:t xml:space="preserve">said the applicant was not relying solely on the acknowledgment of debt but on a thread of documentation which verifies the cause of action in detail and conclusively establishes the mount owed. He moved the Court to grant the application and supported his argument with the case of </w:t>
      </w:r>
      <w:r w:rsidRPr="005F29EE">
        <w:rPr>
          <w:rFonts w:ascii="Times New Roman" w:eastAsia="Calibri" w:hAnsi="Times New Roman" w:cs="Times New Roman"/>
          <w:bCs/>
          <w:i/>
          <w:sz w:val="24"/>
          <w:szCs w:val="24"/>
        </w:rPr>
        <w:t xml:space="preserve">Takawira </w:t>
      </w:r>
      <w:r w:rsidRPr="005F29EE">
        <w:rPr>
          <w:rFonts w:ascii="Times New Roman" w:eastAsia="Calibri" w:hAnsi="Times New Roman" w:cs="Times New Roman"/>
          <w:bCs/>
          <w:sz w:val="24"/>
          <w:szCs w:val="24"/>
        </w:rPr>
        <w:t xml:space="preserve">v </w:t>
      </w:r>
      <w:r w:rsidRPr="005F29EE">
        <w:rPr>
          <w:rFonts w:ascii="Times New Roman" w:eastAsia="Calibri" w:hAnsi="Times New Roman" w:cs="Times New Roman"/>
          <w:bCs/>
          <w:i/>
          <w:sz w:val="24"/>
          <w:szCs w:val="24"/>
        </w:rPr>
        <w:t xml:space="preserve">ZISCO </w:t>
      </w:r>
      <w:r w:rsidRPr="005F29EE">
        <w:rPr>
          <w:rFonts w:ascii="Times New Roman" w:eastAsia="Calibri" w:hAnsi="Times New Roman" w:cs="Times New Roman"/>
          <w:bCs/>
          <w:sz w:val="24"/>
          <w:szCs w:val="24"/>
        </w:rPr>
        <w:t>HB42-18.</w:t>
      </w:r>
    </w:p>
    <w:p w14:paraId="2A6B97B4" w14:textId="77777777" w:rsidR="005F29EE" w:rsidRPr="005F29EE" w:rsidRDefault="005F29EE" w:rsidP="006514D3">
      <w:pPr>
        <w:numPr>
          <w:ilvl w:val="0"/>
          <w:numId w:val="2"/>
        </w:numPr>
        <w:spacing w:before="0" w:beforeAutospacing="0" w:after="160" w:afterAutospacing="0"/>
        <w:ind w:right="0"/>
        <w:contextualSpacing/>
        <w:jc w:val="both"/>
        <w:rPr>
          <w:rFonts w:ascii="Times New Roman" w:eastAsia="Calibri" w:hAnsi="Times New Roman" w:cs="Times New Roman"/>
          <w:bCs/>
          <w:sz w:val="24"/>
          <w:szCs w:val="24"/>
        </w:rPr>
      </w:pPr>
      <w:r w:rsidRPr="005F29EE">
        <w:rPr>
          <w:rFonts w:ascii="Times New Roman" w:eastAsia="Calibri" w:hAnsi="Times New Roman" w:cs="Times New Roman"/>
          <w:bCs/>
          <w:sz w:val="24"/>
          <w:szCs w:val="24"/>
        </w:rPr>
        <w:t xml:space="preserve">I may need to add that although both parties took points </w:t>
      </w:r>
      <w:r w:rsidRPr="005F29EE">
        <w:rPr>
          <w:rFonts w:ascii="Times New Roman" w:eastAsia="Calibri" w:hAnsi="Times New Roman" w:cs="Times New Roman"/>
          <w:bCs/>
          <w:i/>
          <w:sz w:val="24"/>
          <w:szCs w:val="24"/>
        </w:rPr>
        <w:t>in limine</w:t>
      </w:r>
      <w:r w:rsidRPr="005F29EE">
        <w:rPr>
          <w:rFonts w:ascii="Times New Roman" w:eastAsia="Calibri" w:hAnsi="Times New Roman" w:cs="Times New Roman"/>
          <w:bCs/>
          <w:sz w:val="24"/>
          <w:szCs w:val="24"/>
        </w:rPr>
        <w:t xml:space="preserve"> in their papers they both abandoned them at the hearing.</w:t>
      </w:r>
    </w:p>
    <w:p w14:paraId="5E5789DC" w14:textId="77777777" w:rsidR="006514D3" w:rsidRDefault="006514D3" w:rsidP="006514D3">
      <w:pPr>
        <w:spacing w:before="0" w:beforeAutospacing="0" w:after="160" w:afterAutospacing="0"/>
        <w:ind w:right="0"/>
        <w:jc w:val="both"/>
        <w:rPr>
          <w:rFonts w:ascii="Times New Roman" w:eastAsia="Calibri" w:hAnsi="Times New Roman" w:cs="Times New Roman"/>
          <w:b/>
          <w:bCs/>
          <w:sz w:val="24"/>
          <w:szCs w:val="24"/>
        </w:rPr>
      </w:pPr>
    </w:p>
    <w:p w14:paraId="7CA7A071" w14:textId="77777777" w:rsidR="005F29EE" w:rsidRPr="005F29EE" w:rsidRDefault="005F29EE" w:rsidP="006514D3">
      <w:pPr>
        <w:spacing w:before="0" w:beforeAutospacing="0" w:after="160" w:afterAutospacing="0"/>
        <w:ind w:right="0"/>
        <w:jc w:val="both"/>
        <w:rPr>
          <w:rFonts w:ascii="Times New Roman" w:eastAsia="Calibri" w:hAnsi="Times New Roman" w:cs="Times New Roman"/>
          <w:b/>
          <w:bCs/>
          <w:sz w:val="24"/>
          <w:szCs w:val="24"/>
        </w:rPr>
      </w:pPr>
      <w:r w:rsidRPr="005F29EE">
        <w:rPr>
          <w:rFonts w:ascii="Times New Roman" w:eastAsia="Calibri" w:hAnsi="Times New Roman" w:cs="Times New Roman"/>
          <w:b/>
          <w:bCs/>
          <w:sz w:val="24"/>
          <w:szCs w:val="24"/>
        </w:rPr>
        <w:t>The Law</w:t>
      </w:r>
    </w:p>
    <w:p w14:paraId="45C2F6E7" w14:textId="77777777" w:rsidR="005F29EE" w:rsidRPr="005F29EE" w:rsidRDefault="005F29EE" w:rsidP="006514D3">
      <w:pPr>
        <w:numPr>
          <w:ilvl w:val="0"/>
          <w:numId w:val="2"/>
        </w:numPr>
        <w:spacing w:before="0" w:beforeAutospacing="0" w:after="0" w:afterAutospacing="0"/>
        <w:ind w:right="0"/>
        <w:contextualSpacing/>
        <w:jc w:val="both"/>
        <w:rPr>
          <w:rFonts w:ascii="Times New Roman" w:eastAsia="Calibri" w:hAnsi="Times New Roman" w:cs="Times New Roman"/>
          <w:sz w:val="24"/>
          <w:szCs w:val="24"/>
        </w:rPr>
      </w:pPr>
      <w:r w:rsidRPr="005F29EE">
        <w:rPr>
          <w:rFonts w:ascii="Times New Roman" w:eastAsia="Calibri" w:hAnsi="Times New Roman" w:cs="Times New Roman"/>
          <w:sz w:val="24"/>
          <w:szCs w:val="24"/>
        </w:rPr>
        <w:t xml:space="preserve">The principles governing summary judgment are settled in this jurisdiction. Summary judgment is an extreme remedy which a court will only grant in exceptional instances where an applicant has clearly shown that a defendant has no </w:t>
      </w:r>
      <w:r w:rsidRPr="005F29EE">
        <w:rPr>
          <w:rFonts w:ascii="Times New Roman" w:eastAsia="Calibri" w:hAnsi="Times New Roman" w:cs="Times New Roman"/>
          <w:i/>
          <w:sz w:val="24"/>
          <w:szCs w:val="24"/>
        </w:rPr>
        <w:t>bona fide</w:t>
      </w:r>
      <w:r w:rsidRPr="005F29EE">
        <w:rPr>
          <w:rFonts w:ascii="Times New Roman" w:eastAsia="Calibri" w:hAnsi="Times New Roman" w:cs="Times New Roman"/>
          <w:sz w:val="24"/>
          <w:szCs w:val="24"/>
        </w:rPr>
        <w:t xml:space="preserve"> defence and has entered appearance to defend solely for purposes of delaying the inevitable. M</w:t>
      </w:r>
      <w:r w:rsidRPr="005F29EE">
        <w:rPr>
          <w:rFonts w:ascii="Times New Roman" w:eastAsia="Calibri" w:hAnsi="Times New Roman" w:cs="Times New Roman"/>
          <w:sz w:val="20"/>
          <w:szCs w:val="20"/>
        </w:rPr>
        <w:t>ATHONSI</w:t>
      </w:r>
      <w:r w:rsidRPr="005F29EE">
        <w:rPr>
          <w:rFonts w:ascii="Times New Roman" w:eastAsia="Calibri" w:hAnsi="Times New Roman" w:cs="Times New Roman"/>
          <w:sz w:val="24"/>
          <w:szCs w:val="24"/>
        </w:rPr>
        <w:t xml:space="preserve"> J (now JA) in </w:t>
      </w:r>
      <w:r w:rsidRPr="005F29EE">
        <w:rPr>
          <w:rFonts w:ascii="Times New Roman" w:eastAsia="Calibri" w:hAnsi="Times New Roman" w:cs="Times New Roman"/>
          <w:i/>
          <w:sz w:val="24"/>
          <w:szCs w:val="24"/>
        </w:rPr>
        <w:t xml:space="preserve">Takawira </w:t>
      </w:r>
      <w:r w:rsidRPr="005F29EE">
        <w:rPr>
          <w:rFonts w:ascii="Times New Roman" w:eastAsia="Calibri" w:hAnsi="Times New Roman" w:cs="Times New Roman"/>
          <w:sz w:val="24"/>
          <w:szCs w:val="24"/>
        </w:rPr>
        <w:t>v</w:t>
      </w:r>
      <w:r w:rsidRPr="005F29EE">
        <w:rPr>
          <w:rFonts w:ascii="Times New Roman" w:eastAsia="Calibri" w:hAnsi="Times New Roman" w:cs="Times New Roman"/>
          <w:i/>
          <w:sz w:val="24"/>
          <w:szCs w:val="24"/>
        </w:rPr>
        <w:t xml:space="preserve"> ZISCO (supra) </w:t>
      </w:r>
      <w:r w:rsidRPr="005F29EE">
        <w:rPr>
          <w:rFonts w:ascii="Times New Roman" w:eastAsia="Calibri" w:hAnsi="Times New Roman" w:cs="Times New Roman"/>
          <w:iCs/>
          <w:sz w:val="24"/>
          <w:szCs w:val="24"/>
        </w:rPr>
        <w:t>described it as follows</w:t>
      </w:r>
      <w:r w:rsidRPr="005F29EE">
        <w:rPr>
          <w:rFonts w:ascii="Times New Roman" w:eastAsia="Calibri" w:hAnsi="Times New Roman" w:cs="Times New Roman"/>
          <w:sz w:val="24"/>
          <w:szCs w:val="24"/>
        </w:rPr>
        <w:t>: -</w:t>
      </w:r>
    </w:p>
    <w:p w14:paraId="6386CC77" w14:textId="77777777" w:rsidR="005F29EE" w:rsidRPr="005F29EE" w:rsidRDefault="005F29EE" w:rsidP="005F29EE">
      <w:pPr>
        <w:spacing w:before="0" w:beforeAutospacing="0" w:after="0" w:afterAutospacing="0" w:line="240" w:lineRule="auto"/>
        <w:ind w:left="1440" w:right="0"/>
        <w:contextualSpacing/>
        <w:jc w:val="both"/>
        <w:rPr>
          <w:rFonts w:ascii="Times New Roman" w:eastAsia="Calibri" w:hAnsi="Times New Roman" w:cs="Times New Roman"/>
          <w:sz w:val="20"/>
          <w:szCs w:val="20"/>
        </w:rPr>
      </w:pPr>
      <w:r w:rsidRPr="005F29EE">
        <w:rPr>
          <w:rFonts w:ascii="Times New Roman" w:eastAsia="Calibri" w:hAnsi="Times New Roman" w:cs="Times New Roman"/>
          <w:sz w:val="20"/>
          <w:szCs w:val="20"/>
        </w:rPr>
        <w:t xml:space="preserve">“Summary judgment is a remedy which deliberately denies a </w:t>
      </w:r>
      <w:r w:rsidRPr="005F29EE">
        <w:rPr>
          <w:rFonts w:ascii="Times New Roman" w:eastAsia="Calibri" w:hAnsi="Times New Roman" w:cs="Times New Roman"/>
          <w:i/>
          <w:sz w:val="20"/>
          <w:szCs w:val="20"/>
        </w:rPr>
        <w:t xml:space="preserve">mala fide </w:t>
      </w:r>
      <w:r w:rsidRPr="005F29EE">
        <w:rPr>
          <w:rFonts w:ascii="Times New Roman" w:eastAsia="Calibri" w:hAnsi="Times New Roman" w:cs="Times New Roman"/>
          <w:sz w:val="20"/>
          <w:szCs w:val="20"/>
        </w:rPr>
        <w:t xml:space="preserve">defendant the benefit of the </w:t>
      </w:r>
      <w:proofErr w:type="spellStart"/>
      <w:r w:rsidRPr="005F29EE">
        <w:rPr>
          <w:rFonts w:ascii="Times New Roman" w:eastAsia="Calibri" w:hAnsi="Times New Roman" w:cs="Times New Roman"/>
          <w:i/>
          <w:sz w:val="20"/>
          <w:szCs w:val="20"/>
        </w:rPr>
        <w:t>audi</w:t>
      </w:r>
      <w:proofErr w:type="spellEnd"/>
      <w:r w:rsidRPr="005F29EE">
        <w:rPr>
          <w:rFonts w:ascii="Times New Roman" w:eastAsia="Calibri" w:hAnsi="Times New Roman" w:cs="Times New Roman"/>
          <w:i/>
          <w:sz w:val="20"/>
          <w:szCs w:val="20"/>
        </w:rPr>
        <w:t xml:space="preserve"> alteram partem </w:t>
      </w:r>
      <w:r w:rsidRPr="005F29EE">
        <w:rPr>
          <w:rFonts w:ascii="Times New Roman" w:eastAsia="Calibri" w:hAnsi="Times New Roman" w:cs="Times New Roman"/>
          <w:sz w:val="20"/>
          <w:szCs w:val="20"/>
        </w:rPr>
        <w:t xml:space="preserve">rule because such a defendant would be wasting the court’s time and abusing the process of the court. </w:t>
      </w:r>
      <w:r w:rsidRPr="005F29EE">
        <w:rPr>
          <w:rFonts w:ascii="Times New Roman" w:eastAsia="Calibri" w:hAnsi="Times New Roman" w:cs="Times New Roman"/>
          <w:sz w:val="20"/>
          <w:szCs w:val="20"/>
          <w:u w:val="single"/>
        </w:rPr>
        <w:t>It is granted to a plaintiff whose case is unassailable and as such it is only when all the proposed defences to the claim are clearly unarguable both in fact and in law that the drastic remedy of summary judgment is available to the plaintiff</w:t>
      </w:r>
      <w:r w:rsidRPr="005F29EE">
        <w:rPr>
          <w:rFonts w:ascii="Times New Roman" w:eastAsia="Calibri" w:hAnsi="Times New Roman" w:cs="Times New Roman"/>
          <w:sz w:val="20"/>
          <w:szCs w:val="20"/>
        </w:rPr>
        <w:t>. See</w:t>
      </w:r>
      <w:r w:rsidRPr="005F29EE">
        <w:rPr>
          <w:rFonts w:ascii="Times New Roman" w:eastAsia="Calibri" w:hAnsi="Times New Roman" w:cs="Times New Roman"/>
          <w:i/>
          <w:sz w:val="20"/>
          <w:szCs w:val="20"/>
        </w:rPr>
        <w:t xml:space="preserve"> </w:t>
      </w:r>
      <w:proofErr w:type="spellStart"/>
      <w:r w:rsidRPr="005F29EE">
        <w:rPr>
          <w:rFonts w:ascii="Times New Roman" w:eastAsia="Calibri" w:hAnsi="Times New Roman" w:cs="Times New Roman"/>
          <w:i/>
          <w:sz w:val="20"/>
          <w:szCs w:val="20"/>
        </w:rPr>
        <w:t>Chrisma</w:t>
      </w:r>
      <w:proofErr w:type="spellEnd"/>
      <w:r w:rsidRPr="005F29EE">
        <w:rPr>
          <w:rFonts w:ascii="Times New Roman" w:eastAsia="Calibri" w:hAnsi="Times New Roman" w:cs="Times New Roman"/>
          <w:i/>
          <w:sz w:val="20"/>
          <w:szCs w:val="20"/>
        </w:rPr>
        <w:t xml:space="preserve"> v </w:t>
      </w:r>
      <w:proofErr w:type="spellStart"/>
      <w:r w:rsidRPr="005F29EE">
        <w:rPr>
          <w:rFonts w:ascii="Times New Roman" w:eastAsia="Calibri" w:hAnsi="Times New Roman" w:cs="Times New Roman"/>
          <w:i/>
          <w:sz w:val="20"/>
          <w:szCs w:val="20"/>
        </w:rPr>
        <w:t>Stutchbury</w:t>
      </w:r>
      <w:proofErr w:type="spellEnd"/>
      <w:r w:rsidRPr="005F29EE">
        <w:rPr>
          <w:rFonts w:ascii="Times New Roman" w:eastAsia="Calibri" w:hAnsi="Times New Roman" w:cs="Times New Roman"/>
          <w:i/>
          <w:sz w:val="20"/>
          <w:szCs w:val="20"/>
        </w:rPr>
        <w:t xml:space="preserve"> &amp; Anor </w:t>
      </w:r>
      <w:r w:rsidRPr="005F29EE">
        <w:rPr>
          <w:rFonts w:ascii="Times New Roman" w:eastAsia="Calibri" w:hAnsi="Times New Roman" w:cs="Times New Roman"/>
          <w:sz w:val="20"/>
          <w:szCs w:val="20"/>
        </w:rPr>
        <w:t>1973 (1) RLR 277 (SR) at 279.</w:t>
      </w:r>
    </w:p>
    <w:p w14:paraId="455ED52F" w14:textId="77777777" w:rsidR="005F29EE" w:rsidRPr="005F29EE" w:rsidRDefault="005F29EE" w:rsidP="005F29EE">
      <w:pPr>
        <w:spacing w:before="0" w:beforeAutospacing="0" w:after="0" w:afterAutospacing="0" w:line="240" w:lineRule="auto"/>
        <w:ind w:left="1440" w:right="0"/>
        <w:contextualSpacing/>
        <w:jc w:val="both"/>
        <w:rPr>
          <w:rFonts w:ascii="Times New Roman" w:eastAsia="Calibri" w:hAnsi="Times New Roman" w:cs="Times New Roman"/>
          <w:sz w:val="24"/>
          <w:szCs w:val="24"/>
        </w:rPr>
      </w:pPr>
      <w:r w:rsidRPr="005F29EE">
        <w:rPr>
          <w:rFonts w:ascii="Times New Roman" w:eastAsia="Calibri" w:hAnsi="Times New Roman" w:cs="Times New Roman"/>
          <w:sz w:val="20"/>
          <w:szCs w:val="20"/>
        </w:rPr>
        <w:t xml:space="preserve">In order to succeed in defeating such an application the respondent must disclose a defence and material facts upon which that defence is based with sufficient clarity and completeness so as </w:t>
      </w:r>
      <w:r w:rsidRPr="005F29EE">
        <w:rPr>
          <w:rFonts w:ascii="Times New Roman" w:eastAsia="Calibri" w:hAnsi="Times New Roman" w:cs="Times New Roman"/>
          <w:sz w:val="20"/>
          <w:szCs w:val="20"/>
        </w:rPr>
        <w:lastRenderedPageBreak/>
        <w:t xml:space="preserve">to persuade the court that if proved at the trial such facts will constitute a defence to the claim. See </w:t>
      </w:r>
      <w:r w:rsidRPr="005F29EE">
        <w:rPr>
          <w:rFonts w:ascii="Times New Roman" w:eastAsia="Calibri" w:hAnsi="Times New Roman" w:cs="Times New Roman"/>
          <w:i/>
          <w:sz w:val="20"/>
          <w:szCs w:val="20"/>
        </w:rPr>
        <w:t xml:space="preserve">Hales </w:t>
      </w:r>
      <w:r w:rsidRPr="005F29EE">
        <w:rPr>
          <w:rFonts w:ascii="Times New Roman" w:eastAsia="Calibri" w:hAnsi="Times New Roman" w:cs="Times New Roman"/>
          <w:sz w:val="20"/>
          <w:szCs w:val="20"/>
        </w:rPr>
        <w:t>v</w:t>
      </w:r>
      <w:r w:rsidRPr="005F29EE">
        <w:rPr>
          <w:rFonts w:ascii="Times New Roman" w:eastAsia="Calibri" w:hAnsi="Times New Roman" w:cs="Times New Roman"/>
          <w:i/>
          <w:sz w:val="20"/>
          <w:szCs w:val="20"/>
        </w:rPr>
        <w:t xml:space="preserve"> </w:t>
      </w:r>
      <w:proofErr w:type="spellStart"/>
      <w:r w:rsidRPr="005F29EE">
        <w:rPr>
          <w:rFonts w:ascii="Times New Roman" w:eastAsia="Calibri" w:hAnsi="Times New Roman" w:cs="Times New Roman"/>
          <w:i/>
          <w:sz w:val="20"/>
          <w:szCs w:val="20"/>
        </w:rPr>
        <w:t>Doverick</w:t>
      </w:r>
      <w:proofErr w:type="spellEnd"/>
      <w:r w:rsidRPr="005F29EE">
        <w:rPr>
          <w:rFonts w:ascii="Times New Roman" w:eastAsia="Calibri" w:hAnsi="Times New Roman" w:cs="Times New Roman"/>
          <w:i/>
          <w:sz w:val="20"/>
          <w:szCs w:val="20"/>
        </w:rPr>
        <w:t xml:space="preserve"> Investments [Pvt] Ltd </w:t>
      </w:r>
      <w:r w:rsidRPr="005F29EE">
        <w:rPr>
          <w:rFonts w:ascii="Times New Roman" w:eastAsia="Calibri" w:hAnsi="Times New Roman" w:cs="Times New Roman"/>
          <w:sz w:val="20"/>
          <w:szCs w:val="20"/>
        </w:rPr>
        <w:t>1998 [2] ZLR 235 [H] at 239</w:t>
      </w:r>
      <w:r w:rsidRPr="005F29EE">
        <w:rPr>
          <w:rFonts w:ascii="Times New Roman" w:eastAsia="Calibri" w:hAnsi="Times New Roman" w:cs="Times New Roman"/>
          <w:i/>
          <w:sz w:val="20"/>
          <w:szCs w:val="20"/>
        </w:rPr>
        <w:t xml:space="preserve"> </w:t>
      </w:r>
      <w:r w:rsidRPr="005F29EE">
        <w:rPr>
          <w:rFonts w:ascii="Times New Roman" w:eastAsia="Calibri" w:hAnsi="Times New Roman" w:cs="Times New Roman"/>
          <w:sz w:val="20"/>
          <w:szCs w:val="20"/>
        </w:rPr>
        <w:t>A-B;</w:t>
      </w:r>
      <w:r w:rsidRPr="005F29EE">
        <w:rPr>
          <w:rFonts w:ascii="Times New Roman" w:eastAsia="Calibri" w:hAnsi="Times New Roman" w:cs="Times New Roman"/>
          <w:b/>
          <w:sz w:val="20"/>
          <w:szCs w:val="20"/>
        </w:rPr>
        <w:t xml:space="preserve"> </w:t>
      </w:r>
      <w:proofErr w:type="spellStart"/>
      <w:r w:rsidRPr="005F29EE">
        <w:rPr>
          <w:rFonts w:ascii="Times New Roman" w:eastAsia="Calibri" w:hAnsi="Times New Roman" w:cs="Times New Roman"/>
          <w:i/>
          <w:sz w:val="20"/>
          <w:szCs w:val="20"/>
        </w:rPr>
        <w:t>Kingstons</w:t>
      </w:r>
      <w:proofErr w:type="spellEnd"/>
      <w:r w:rsidRPr="005F29EE">
        <w:rPr>
          <w:rFonts w:ascii="Times New Roman" w:eastAsia="Calibri" w:hAnsi="Times New Roman" w:cs="Times New Roman"/>
          <w:i/>
          <w:sz w:val="20"/>
          <w:szCs w:val="20"/>
        </w:rPr>
        <w:t xml:space="preserve"> Ltd </w:t>
      </w:r>
      <w:r w:rsidRPr="005F29EE">
        <w:rPr>
          <w:rFonts w:ascii="Times New Roman" w:eastAsia="Calibri" w:hAnsi="Times New Roman" w:cs="Times New Roman"/>
          <w:sz w:val="20"/>
          <w:szCs w:val="20"/>
        </w:rPr>
        <w:t>v</w:t>
      </w:r>
      <w:r w:rsidRPr="005F29EE">
        <w:rPr>
          <w:rFonts w:ascii="Times New Roman" w:eastAsia="Calibri" w:hAnsi="Times New Roman" w:cs="Times New Roman"/>
          <w:i/>
          <w:sz w:val="20"/>
          <w:szCs w:val="20"/>
        </w:rPr>
        <w:t xml:space="preserve"> L D Ineson [Pvt] Ltd </w:t>
      </w:r>
      <w:r w:rsidRPr="005F29EE">
        <w:rPr>
          <w:rFonts w:ascii="Times New Roman" w:eastAsia="Calibri" w:hAnsi="Times New Roman" w:cs="Times New Roman"/>
          <w:sz w:val="20"/>
          <w:szCs w:val="20"/>
        </w:rPr>
        <w:t xml:space="preserve">2006 [1] ZLR 451[S] at 458 F-H” </w:t>
      </w:r>
      <w:r w:rsidRPr="005F29EE">
        <w:rPr>
          <w:rFonts w:ascii="Times New Roman" w:eastAsia="Calibri" w:hAnsi="Times New Roman" w:cs="Times New Roman"/>
          <w:sz w:val="24"/>
          <w:szCs w:val="24"/>
        </w:rPr>
        <w:t>(my emphasis)</w:t>
      </w:r>
    </w:p>
    <w:p w14:paraId="4CBE1F3F" w14:textId="77777777" w:rsidR="005F29EE" w:rsidRPr="005F29EE" w:rsidRDefault="005F29EE" w:rsidP="006514D3">
      <w:pPr>
        <w:numPr>
          <w:ilvl w:val="0"/>
          <w:numId w:val="2"/>
        </w:numPr>
        <w:spacing w:before="0" w:beforeAutospacing="0" w:after="0" w:afterAutospacing="0"/>
        <w:ind w:right="0"/>
        <w:contextualSpacing/>
        <w:jc w:val="both"/>
        <w:rPr>
          <w:rFonts w:ascii="Times New Roman" w:eastAsia="Calibri" w:hAnsi="Times New Roman" w:cs="Times New Roman"/>
          <w:kern w:val="0"/>
          <w:sz w:val="24"/>
          <w:szCs w:val="24"/>
          <w:lang w:val="en-US"/>
          <w14:ligatures w14:val="none"/>
        </w:rPr>
      </w:pPr>
      <w:r w:rsidRPr="005F29EE">
        <w:rPr>
          <w:rFonts w:ascii="Times New Roman" w:eastAsia="Calibri" w:hAnsi="Times New Roman" w:cs="Times New Roman"/>
          <w:sz w:val="24"/>
          <w:szCs w:val="24"/>
        </w:rPr>
        <w:t xml:space="preserve">Because it muzzles a defendant from presenting his/her/its arguments before a court by denying him the right to be heard, a court will not grant summary judgment if there is any possibility that the defence raised on the papers might succeed.  It is for that reason that the threshold of what a defendant has to demonstrate has been pitched so low. A mere possibility that a defence will succeed suffices to deflect the grant of summary judgment.  Authorities have repeatedly stated that “all that a defendant has to establish in order to succeed in having an application for summary judgment dismissed is that “there is a mere possibility of his success"; "he has a plausible case"; "there is a triable issue"; or, "there is a reasonable possibility that an injustice may be done if summary judgment is granted". See the cases of </w:t>
      </w:r>
      <w:r w:rsidRPr="005F29EE">
        <w:rPr>
          <w:rFonts w:ascii="Times New Roman" w:eastAsia="Calibri" w:hAnsi="Times New Roman" w:cs="Times New Roman"/>
          <w:i/>
          <w:iCs/>
          <w:sz w:val="24"/>
          <w:szCs w:val="24"/>
        </w:rPr>
        <w:t xml:space="preserve">Davis </w:t>
      </w:r>
      <w:r w:rsidRPr="005F29EE">
        <w:rPr>
          <w:rFonts w:ascii="Times New Roman" w:eastAsia="Calibri" w:hAnsi="Times New Roman" w:cs="Times New Roman"/>
          <w:i/>
          <w:sz w:val="24"/>
          <w:szCs w:val="24"/>
        </w:rPr>
        <w:t>v Terry</w:t>
      </w:r>
      <w:r w:rsidRPr="005F29EE">
        <w:rPr>
          <w:rFonts w:ascii="Times New Roman" w:eastAsia="Calibri" w:hAnsi="Times New Roman" w:cs="Times New Roman"/>
          <w:sz w:val="24"/>
          <w:szCs w:val="24"/>
        </w:rPr>
        <w:t xml:space="preserve"> 1957 (4) SA 98 (SR); </w:t>
      </w:r>
      <w:r w:rsidRPr="005F29EE">
        <w:rPr>
          <w:rFonts w:ascii="Times New Roman" w:eastAsia="Calibri" w:hAnsi="Times New Roman" w:cs="Times New Roman"/>
          <w:i/>
          <w:sz w:val="24"/>
          <w:szCs w:val="24"/>
        </w:rPr>
        <w:t>Webb v Shell</w:t>
      </w:r>
      <w:r w:rsidRPr="005F29EE">
        <w:rPr>
          <w:rFonts w:ascii="Times New Roman" w:eastAsia="Calibri" w:hAnsi="Times New Roman" w:cs="Times New Roman"/>
          <w:sz w:val="24"/>
          <w:szCs w:val="24"/>
        </w:rPr>
        <w:t xml:space="preserve"> </w:t>
      </w:r>
      <w:r w:rsidRPr="005F29EE">
        <w:rPr>
          <w:rFonts w:ascii="Times New Roman" w:eastAsia="Calibri" w:hAnsi="Times New Roman" w:cs="Times New Roman"/>
          <w:i/>
          <w:sz w:val="24"/>
          <w:szCs w:val="24"/>
        </w:rPr>
        <w:t>Zimbabwe (</w:t>
      </w:r>
      <w:proofErr w:type="spellStart"/>
      <w:r w:rsidRPr="005F29EE">
        <w:rPr>
          <w:rFonts w:ascii="Times New Roman" w:eastAsia="Calibri" w:hAnsi="Times New Roman" w:cs="Times New Roman"/>
          <w:i/>
          <w:sz w:val="24"/>
          <w:szCs w:val="24"/>
        </w:rPr>
        <w:t>PvT</w:t>
      </w:r>
      <w:proofErr w:type="spellEnd"/>
      <w:r w:rsidRPr="005F29EE">
        <w:rPr>
          <w:rFonts w:ascii="Times New Roman" w:eastAsia="Calibri" w:hAnsi="Times New Roman" w:cs="Times New Roman"/>
          <w:i/>
          <w:sz w:val="24"/>
          <w:szCs w:val="24"/>
        </w:rPr>
        <w:t>) Ltd</w:t>
      </w:r>
      <w:r w:rsidRPr="005F29EE">
        <w:rPr>
          <w:rFonts w:ascii="Times New Roman" w:eastAsia="Calibri" w:hAnsi="Times New Roman" w:cs="Times New Roman"/>
          <w:sz w:val="24"/>
          <w:szCs w:val="24"/>
        </w:rPr>
        <w:t xml:space="preserve"> 1982 (1) ZLR 102; </w:t>
      </w:r>
      <w:r w:rsidRPr="005F29EE">
        <w:rPr>
          <w:rFonts w:ascii="Times New Roman" w:eastAsia="Calibri" w:hAnsi="Times New Roman" w:cs="Times New Roman"/>
          <w:i/>
          <w:sz w:val="24"/>
          <w:szCs w:val="24"/>
        </w:rPr>
        <w:t xml:space="preserve">Jena v </w:t>
      </w:r>
      <w:proofErr w:type="spellStart"/>
      <w:r w:rsidRPr="005F29EE">
        <w:rPr>
          <w:rFonts w:ascii="Times New Roman" w:eastAsia="Calibri" w:hAnsi="Times New Roman" w:cs="Times New Roman"/>
          <w:i/>
          <w:sz w:val="24"/>
          <w:szCs w:val="24"/>
        </w:rPr>
        <w:t>Nechipote</w:t>
      </w:r>
      <w:proofErr w:type="spellEnd"/>
      <w:r w:rsidRPr="005F29EE">
        <w:rPr>
          <w:rFonts w:ascii="Times New Roman" w:eastAsia="Calibri" w:hAnsi="Times New Roman" w:cs="Times New Roman"/>
          <w:sz w:val="24"/>
          <w:szCs w:val="24"/>
        </w:rPr>
        <w:t xml:space="preserve"> 1986 (1) ZLR 29 (SC); </w:t>
      </w:r>
      <w:proofErr w:type="spellStart"/>
      <w:r w:rsidRPr="005F29EE">
        <w:rPr>
          <w:rFonts w:ascii="Times New Roman" w:eastAsia="Calibri" w:hAnsi="Times New Roman" w:cs="Times New Roman"/>
          <w:i/>
          <w:sz w:val="24"/>
          <w:szCs w:val="24"/>
        </w:rPr>
        <w:t>Kingstons</w:t>
      </w:r>
      <w:proofErr w:type="spellEnd"/>
      <w:r w:rsidRPr="005F29EE">
        <w:rPr>
          <w:rFonts w:ascii="Times New Roman" w:eastAsia="Calibri" w:hAnsi="Times New Roman" w:cs="Times New Roman"/>
          <w:i/>
          <w:sz w:val="24"/>
          <w:szCs w:val="24"/>
        </w:rPr>
        <w:t xml:space="preserve"> Limited v L D</w:t>
      </w:r>
      <w:r w:rsidRPr="005F29EE">
        <w:rPr>
          <w:rFonts w:ascii="Times New Roman" w:eastAsia="Calibri" w:hAnsi="Times New Roman" w:cs="Times New Roman"/>
          <w:sz w:val="24"/>
          <w:szCs w:val="24"/>
        </w:rPr>
        <w:t xml:space="preserve"> </w:t>
      </w:r>
      <w:r w:rsidRPr="005F29EE">
        <w:rPr>
          <w:rFonts w:ascii="Times New Roman" w:eastAsia="Calibri" w:hAnsi="Times New Roman" w:cs="Times New Roman"/>
          <w:i/>
          <w:sz w:val="24"/>
          <w:szCs w:val="24"/>
        </w:rPr>
        <w:t>Ineson (Pvt) Ltd</w:t>
      </w:r>
      <w:r w:rsidRPr="005F29EE">
        <w:rPr>
          <w:rFonts w:ascii="Times New Roman" w:eastAsia="Calibri" w:hAnsi="Times New Roman" w:cs="Times New Roman"/>
          <w:sz w:val="24"/>
          <w:szCs w:val="24"/>
        </w:rPr>
        <w:t xml:space="preserve"> 2006 (1) ZLR 451 (S) at 458 F-G.</w:t>
      </w:r>
    </w:p>
    <w:p w14:paraId="34C18E54" w14:textId="77777777" w:rsidR="005F29EE" w:rsidRPr="005F29EE" w:rsidRDefault="005F29EE" w:rsidP="006514D3">
      <w:pPr>
        <w:numPr>
          <w:ilvl w:val="0"/>
          <w:numId w:val="2"/>
        </w:numPr>
        <w:spacing w:before="0" w:beforeAutospacing="0" w:after="0" w:afterAutospacing="0"/>
        <w:ind w:right="0"/>
        <w:contextualSpacing/>
        <w:jc w:val="both"/>
        <w:rPr>
          <w:rFonts w:ascii="Times New Roman" w:eastAsia="Calibri" w:hAnsi="Times New Roman" w:cs="Times New Roman"/>
          <w:kern w:val="0"/>
          <w:sz w:val="24"/>
          <w:szCs w:val="24"/>
          <w:lang w:val="en-US"/>
          <w14:ligatures w14:val="none"/>
        </w:rPr>
      </w:pPr>
      <w:r w:rsidRPr="005F29EE">
        <w:rPr>
          <w:rFonts w:ascii="Times New Roman" w:eastAsia="Calibri" w:hAnsi="Times New Roman" w:cs="Times New Roman"/>
          <w:sz w:val="24"/>
          <w:szCs w:val="24"/>
        </w:rPr>
        <w:t xml:space="preserve">What the above means is that an applicant in a summary judgment must positively state the cause of action and the specific amount claimed, if any, that in his/her/its belief there is no </w:t>
      </w:r>
      <w:r w:rsidRPr="005F29EE">
        <w:rPr>
          <w:rFonts w:ascii="Times New Roman" w:eastAsia="Calibri" w:hAnsi="Times New Roman" w:cs="Times New Roman"/>
          <w:i/>
          <w:sz w:val="24"/>
          <w:szCs w:val="24"/>
        </w:rPr>
        <w:t xml:space="preserve">bona fide </w:t>
      </w:r>
      <w:r w:rsidRPr="005F29EE">
        <w:rPr>
          <w:rFonts w:ascii="Times New Roman" w:eastAsia="Calibri" w:hAnsi="Times New Roman" w:cs="Times New Roman"/>
          <w:sz w:val="24"/>
          <w:szCs w:val="24"/>
        </w:rPr>
        <w:t xml:space="preserve">defence to the action. The applicant may attach to his affidavit documents supporting his application. In turn, the respondent must disclose a defence which is likely to succeed at trial or raise a triable issue which can lead to a possibility of injustice if judgment is summarily granted against him/her/it. It is not sufficient for a respondent to make vague generalisations or to provide bald and sketchy facts. Instead, a respondent must disclose material facts with sufficient clarity and completeness to demonstrate the existence of such a defence. See </w:t>
      </w:r>
      <w:r w:rsidRPr="005F29EE">
        <w:rPr>
          <w:rFonts w:ascii="Times New Roman" w:eastAsia="Calibri" w:hAnsi="Times New Roman" w:cs="Times New Roman"/>
          <w:i/>
          <w:sz w:val="24"/>
          <w:szCs w:val="24"/>
        </w:rPr>
        <w:t xml:space="preserve">Hales </w:t>
      </w:r>
      <w:r w:rsidRPr="005F29EE">
        <w:rPr>
          <w:rFonts w:ascii="Times New Roman" w:eastAsia="Calibri" w:hAnsi="Times New Roman" w:cs="Times New Roman"/>
          <w:sz w:val="24"/>
          <w:szCs w:val="24"/>
        </w:rPr>
        <w:t xml:space="preserve">v </w:t>
      </w:r>
      <w:proofErr w:type="spellStart"/>
      <w:r w:rsidRPr="005F29EE">
        <w:rPr>
          <w:rFonts w:ascii="Times New Roman" w:eastAsia="Calibri" w:hAnsi="Times New Roman" w:cs="Times New Roman"/>
          <w:i/>
          <w:sz w:val="24"/>
          <w:szCs w:val="24"/>
        </w:rPr>
        <w:t>Doverick</w:t>
      </w:r>
      <w:proofErr w:type="spellEnd"/>
      <w:r w:rsidRPr="005F29EE">
        <w:rPr>
          <w:rFonts w:ascii="Times New Roman" w:eastAsia="Calibri" w:hAnsi="Times New Roman" w:cs="Times New Roman"/>
          <w:i/>
          <w:sz w:val="24"/>
          <w:szCs w:val="24"/>
        </w:rPr>
        <w:t xml:space="preserve"> Investments (Pvt) Ltd </w:t>
      </w:r>
      <w:r w:rsidRPr="005F29EE">
        <w:rPr>
          <w:rFonts w:ascii="Times New Roman" w:eastAsia="Calibri" w:hAnsi="Times New Roman" w:cs="Times New Roman"/>
          <w:sz w:val="24"/>
          <w:szCs w:val="24"/>
        </w:rPr>
        <w:t>1998 (2) ZLR 235 (HC).</w:t>
      </w:r>
    </w:p>
    <w:p w14:paraId="007DE936" w14:textId="77777777" w:rsidR="005F29EE" w:rsidRPr="005F29EE" w:rsidRDefault="005F29EE" w:rsidP="005F29EE">
      <w:pPr>
        <w:spacing w:before="0" w:beforeAutospacing="0" w:after="0" w:afterAutospacing="0"/>
        <w:ind w:right="0"/>
        <w:contextualSpacing/>
        <w:jc w:val="both"/>
        <w:rPr>
          <w:rFonts w:ascii="Times New Roman" w:eastAsia="Calibri" w:hAnsi="Times New Roman" w:cs="Times New Roman"/>
          <w:sz w:val="24"/>
          <w:szCs w:val="24"/>
        </w:rPr>
      </w:pPr>
    </w:p>
    <w:p w14:paraId="79687509" w14:textId="77777777" w:rsidR="005F29EE" w:rsidRPr="005F29EE" w:rsidRDefault="005F29EE" w:rsidP="005F29EE">
      <w:pPr>
        <w:spacing w:before="0" w:beforeAutospacing="0" w:after="160" w:afterAutospacing="0"/>
        <w:ind w:right="0"/>
        <w:contextualSpacing/>
        <w:jc w:val="both"/>
        <w:rPr>
          <w:rFonts w:ascii="Times New Roman" w:eastAsia="Calibri" w:hAnsi="Times New Roman" w:cs="Times New Roman"/>
          <w:b/>
          <w:bCs/>
          <w:sz w:val="24"/>
          <w:szCs w:val="24"/>
        </w:rPr>
      </w:pPr>
      <w:r w:rsidRPr="005F29EE">
        <w:rPr>
          <w:rFonts w:ascii="Times New Roman" w:eastAsia="Calibri" w:hAnsi="Times New Roman" w:cs="Times New Roman"/>
          <w:b/>
          <w:bCs/>
          <w:sz w:val="24"/>
          <w:szCs w:val="24"/>
        </w:rPr>
        <w:t>Application of the law to the facts</w:t>
      </w:r>
    </w:p>
    <w:p w14:paraId="375ED1DB" w14:textId="77777777" w:rsidR="005F29EE" w:rsidRPr="005F29EE" w:rsidRDefault="005F29EE" w:rsidP="005F29EE">
      <w:pPr>
        <w:spacing w:before="0" w:beforeAutospacing="0" w:after="0" w:afterAutospacing="0" w:line="480" w:lineRule="auto"/>
        <w:ind w:right="0"/>
        <w:contextualSpacing/>
        <w:jc w:val="both"/>
        <w:rPr>
          <w:rFonts w:ascii="Times New Roman" w:eastAsia="Calibri" w:hAnsi="Times New Roman" w:cs="Times New Roman"/>
          <w:sz w:val="24"/>
          <w:szCs w:val="24"/>
        </w:rPr>
      </w:pPr>
      <w:r w:rsidRPr="005F29EE">
        <w:rPr>
          <w:rFonts w:ascii="Times New Roman" w:eastAsia="Calibri" w:hAnsi="Times New Roman" w:cs="Times New Roman"/>
          <w:b/>
          <w:bCs/>
          <w:sz w:val="24"/>
          <w:szCs w:val="24"/>
        </w:rPr>
        <w:t>Whether or not the plaintiff’s claim is clearly unarguable</w:t>
      </w:r>
    </w:p>
    <w:p w14:paraId="4BA5A00A" w14:textId="77777777" w:rsidR="005F29EE" w:rsidRPr="005F29EE" w:rsidRDefault="005F29EE" w:rsidP="006514D3">
      <w:pPr>
        <w:numPr>
          <w:ilvl w:val="0"/>
          <w:numId w:val="2"/>
        </w:numPr>
        <w:spacing w:before="0" w:beforeAutospacing="0" w:after="160" w:afterAutospacing="0"/>
        <w:ind w:right="0"/>
        <w:contextualSpacing/>
        <w:jc w:val="both"/>
        <w:rPr>
          <w:rFonts w:ascii="Times New Roman" w:eastAsia="Times New Roman" w:hAnsi="Times New Roman" w:cs="Times New Roman"/>
          <w:kern w:val="0"/>
          <w:sz w:val="24"/>
          <w:szCs w:val="24"/>
          <w:lang w:val="en-US"/>
          <w14:ligatures w14:val="none"/>
        </w:rPr>
      </w:pPr>
      <w:r w:rsidRPr="005F29EE">
        <w:rPr>
          <w:rFonts w:ascii="Times New Roman" w:eastAsia="Times New Roman" w:hAnsi="Times New Roman" w:cs="Times New Roman"/>
          <w:kern w:val="0"/>
          <w:sz w:val="24"/>
          <w:szCs w:val="24"/>
          <w:lang w:val="en-US"/>
          <w14:ligatures w14:val="none"/>
        </w:rPr>
        <w:t xml:space="preserve">The contractual relationship between the parties is not disputed. That the applicant also rendered services and supplied mining equipment and materials to the respondent is equally common cause. The dispute between the parties is primarily </w:t>
      </w:r>
      <w:proofErr w:type="spellStart"/>
      <w:r w:rsidRPr="005F29EE">
        <w:rPr>
          <w:rFonts w:ascii="Times New Roman" w:eastAsia="Times New Roman" w:hAnsi="Times New Roman" w:cs="Times New Roman"/>
          <w:kern w:val="0"/>
          <w:sz w:val="24"/>
          <w:szCs w:val="24"/>
          <w:lang w:val="en-US"/>
          <w14:ligatures w14:val="none"/>
        </w:rPr>
        <w:t>centred</w:t>
      </w:r>
      <w:proofErr w:type="spellEnd"/>
      <w:r w:rsidRPr="005F29EE">
        <w:rPr>
          <w:rFonts w:ascii="Times New Roman" w:eastAsia="Times New Roman" w:hAnsi="Times New Roman" w:cs="Times New Roman"/>
          <w:kern w:val="0"/>
          <w:sz w:val="24"/>
          <w:szCs w:val="24"/>
          <w:lang w:val="en-US"/>
          <w14:ligatures w14:val="none"/>
        </w:rPr>
        <w:t xml:space="preserve"> on the quantum of the indebtedness. The applicant’s claim is for </w:t>
      </w:r>
      <w:r w:rsidRPr="005F29EE">
        <w:rPr>
          <w:rFonts w:ascii="Times New Roman" w:eastAsia="Times New Roman" w:hAnsi="Times New Roman" w:cs="Times New Roman"/>
          <w:b/>
          <w:bCs/>
          <w:kern w:val="0"/>
          <w:sz w:val="24"/>
          <w:szCs w:val="24"/>
          <w:lang w:val="en-US"/>
          <w14:ligatures w14:val="none"/>
        </w:rPr>
        <w:t xml:space="preserve">US$297 </w:t>
      </w:r>
      <w:r w:rsidRPr="005F29EE">
        <w:rPr>
          <w:rFonts w:ascii="Times New Roman" w:eastAsia="Times New Roman" w:hAnsi="Times New Roman" w:cs="Times New Roman"/>
          <w:b/>
          <w:bCs/>
          <w:kern w:val="0"/>
          <w:sz w:val="24"/>
          <w:szCs w:val="24"/>
          <w:lang w:val="en-US"/>
          <w14:ligatures w14:val="none"/>
        </w:rPr>
        <w:lastRenderedPageBreak/>
        <w:t>532.00</w:t>
      </w:r>
      <w:r w:rsidRPr="005F29EE">
        <w:rPr>
          <w:rFonts w:ascii="Times New Roman" w:eastAsia="Times New Roman" w:hAnsi="Times New Roman" w:cs="Times New Roman"/>
          <w:kern w:val="0"/>
          <w:sz w:val="24"/>
          <w:szCs w:val="24"/>
          <w:lang w:val="en-US"/>
          <w14:ligatures w14:val="none"/>
        </w:rPr>
        <w:t>. To support its claim, the applicant attached supporting annexures, placing reliance on an alleged acknowledgment of debt contained in correspondence dated 1 April 2025. The respondent does not deny liability in its entirety. It admits owing the applicant to the tune of</w:t>
      </w:r>
      <w:r w:rsidRPr="005F29EE">
        <w:rPr>
          <w:rFonts w:ascii="Times New Roman" w:eastAsia="Calibri" w:hAnsi="Times New Roman" w:cs="Times New Roman"/>
          <w:sz w:val="24"/>
          <w:szCs w:val="24"/>
        </w:rPr>
        <w:t xml:space="preserve"> </w:t>
      </w:r>
      <w:r w:rsidRPr="005F29EE">
        <w:rPr>
          <w:rFonts w:ascii="Times New Roman" w:eastAsia="Calibri" w:hAnsi="Times New Roman" w:cs="Times New Roman"/>
          <w:b/>
          <w:bCs/>
          <w:sz w:val="24"/>
          <w:szCs w:val="24"/>
        </w:rPr>
        <w:t>US$73,883.25</w:t>
      </w:r>
      <w:r w:rsidRPr="005F29EE">
        <w:rPr>
          <w:rFonts w:ascii="Times New Roman" w:eastAsia="Calibri" w:hAnsi="Times New Roman" w:cs="Times New Roman"/>
          <w:sz w:val="24"/>
          <w:szCs w:val="24"/>
        </w:rPr>
        <w:t xml:space="preserve">. </w:t>
      </w:r>
    </w:p>
    <w:p w14:paraId="2BF98589" w14:textId="77777777" w:rsidR="005F29EE" w:rsidRPr="005F29EE" w:rsidRDefault="005F29EE" w:rsidP="006514D3">
      <w:pPr>
        <w:numPr>
          <w:ilvl w:val="0"/>
          <w:numId w:val="2"/>
        </w:numPr>
        <w:spacing w:before="0" w:beforeAutospacing="0" w:after="160" w:afterAutospacing="0"/>
        <w:ind w:right="0"/>
        <w:contextualSpacing/>
        <w:jc w:val="both"/>
        <w:rPr>
          <w:rFonts w:ascii="Times New Roman" w:eastAsia="Times New Roman" w:hAnsi="Times New Roman" w:cs="Times New Roman"/>
          <w:kern w:val="0"/>
          <w:sz w:val="24"/>
          <w:szCs w:val="24"/>
          <w:lang w:val="en-US"/>
          <w14:ligatures w14:val="none"/>
        </w:rPr>
      </w:pPr>
      <w:r w:rsidRPr="005F29EE">
        <w:rPr>
          <w:rFonts w:ascii="Times New Roman" w:eastAsia="Times New Roman" w:hAnsi="Times New Roman" w:cs="Times New Roman"/>
          <w:bCs/>
          <w:kern w:val="0"/>
          <w:sz w:val="24"/>
          <w:szCs w:val="24"/>
          <w:lang w:val="en-US"/>
          <w14:ligatures w14:val="none"/>
        </w:rPr>
        <w:t>In response to the application, t</w:t>
      </w:r>
      <w:r w:rsidRPr="005F29EE">
        <w:rPr>
          <w:rFonts w:ascii="Times New Roman" w:eastAsia="Times New Roman" w:hAnsi="Times New Roman" w:cs="Times New Roman"/>
          <w:kern w:val="0"/>
          <w:sz w:val="24"/>
          <w:szCs w:val="24"/>
          <w:lang w:val="en-US"/>
          <w14:ligatures w14:val="none"/>
        </w:rPr>
        <w:t xml:space="preserve">he respondent challenges the applicant’s claim on three fronts. First, it argued that the acknowledgment of debt is insufficient as it does not unequivocally state the amount acknowledged. Second, it submits that that omission is fundamental, particularly because the respondent does not dispute liability but contests the quantum. It renders the document an illiquid one. Third, the respondent alleged that the applicant failed to attach primary evidence in support of its claim. Fourth, it argued that the correspondences exchanged between the parties were made on a </w:t>
      </w:r>
      <w:r w:rsidRPr="005F29EE">
        <w:rPr>
          <w:rFonts w:ascii="Times New Roman" w:eastAsia="Times New Roman" w:hAnsi="Times New Roman" w:cs="Times New Roman"/>
          <w:i/>
          <w:kern w:val="0"/>
          <w:sz w:val="24"/>
          <w:szCs w:val="24"/>
          <w:lang w:val="en-US"/>
          <w14:ligatures w14:val="none"/>
        </w:rPr>
        <w:t>“without</w:t>
      </w:r>
      <w:r w:rsidRPr="005F29EE">
        <w:rPr>
          <w:rFonts w:ascii="Times New Roman" w:eastAsia="Times New Roman" w:hAnsi="Times New Roman" w:cs="Times New Roman"/>
          <w:kern w:val="0"/>
          <w:sz w:val="24"/>
          <w:szCs w:val="24"/>
          <w:lang w:val="en-US"/>
          <w14:ligatures w14:val="none"/>
        </w:rPr>
        <w:t xml:space="preserve"> </w:t>
      </w:r>
      <w:r w:rsidRPr="005F29EE">
        <w:rPr>
          <w:rFonts w:ascii="Times New Roman" w:eastAsia="Times New Roman" w:hAnsi="Times New Roman" w:cs="Times New Roman"/>
          <w:i/>
          <w:kern w:val="0"/>
          <w:sz w:val="24"/>
          <w:szCs w:val="24"/>
          <w:lang w:val="en-US"/>
          <w14:ligatures w14:val="none"/>
        </w:rPr>
        <w:t>prejudice”</w:t>
      </w:r>
      <w:r w:rsidRPr="005F29EE">
        <w:rPr>
          <w:rFonts w:ascii="Times New Roman" w:eastAsia="Times New Roman" w:hAnsi="Times New Roman" w:cs="Times New Roman"/>
          <w:kern w:val="0"/>
          <w:sz w:val="24"/>
          <w:szCs w:val="24"/>
          <w:lang w:val="en-US"/>
          <w14:ligatures w14:val="none"/>
        </w:rPr>
        <w:t xml:space="preserve"> basis and are therefore inadmissible against the respondent. It cannot be used to prove the respondent’s liability to the amount claimed. </w:t>
      </w:r>
    </w:p>
    <w:p w14:paraId="1E84B3CF" w14:textId="77777777" w:rsidR="005F29EE" w:rsidRPr="005F29EE" w:rsidRDefault="005F29EE" w:rsidP="006514D3">
      <w:pPr>
        <w:numPr>
          <w:ilvl w:val="0"/>
          <w:numId w:val="2"/>
        </w:numPr>
        <w:spacing w:before="0" w:beforeAutospacing="0" w:after="160" w:afterAutospacing="0"/>
        <w:ind w:right="0"/>
        <w:contextualSpacing/>
        <w:jc w:val="both"/>
        <w:rPr>
          <w:rFonts w:ascii="Times New Roman" w:eastAsia="Times New Roman" w:hAnsi="Times New Roman" w:cs="Times New Roman"/>
          <w:kern w:val="0"/>
          <w:sz w:val="24"/>
          <w:szCs w:val="24"/>
          <w:lang w:val="en-US"/>
          <w14:ligatures w14:val="none"/>
        </w:rPr>
      </w:pPr>
      <w:r w:rsidRPr="005F29EE">
        <w:rPr>
          <w:rFonts w:ascii="Times New Roman" w:eastAsia="Times New Roman" w:hAnsi="Times New Roman" w:cs="Times New Roman"/>
          <w:kern w:val="0"/>
          <w:sz w:val="24"/>
          <w:szCs w:val="24"/>
          <w:lang w:val="en-US"/>
          <w14:ligatures w14:val="none"/>
        </w:rPr>
        <w:t xml:space="preserve">The law is unambiguous that for a document to constitute an acknowledgment of debt, it must be a clear and unequivocal admission of liability for a specific and ascertainable amount.  It must have been executed by the debtor in </w:t>
      </w:r>
      <w:proofErr w:type="spellStart"/>
      <w:r w:rsidRPr="005F29EE">
        <w:rPr>
          <w:rFonts w:ascii="Times New Roman" w:eastAsia="Times New Roman" w:hAnsi="Times New Roman" w:cs="Times New Roman"/>
          <w:kern w:val="0"/>
          <w:sz w:val="24"/>
          <w:szCs w:val="24"/>
          <w:lang w:val="en-US"/>
          <w14:ligatures w14:val="none"/>
        </w:rPr>
        <w:t>favour</w:t>
      </w:r>
      <w:proofErr w:type="spellEnd"/>
      <w:r w:rsidRPr="005F29EE">
        <w:rPr>
          <w:rFonts w:ascii="Times New Roman" w:eastAsia="Times New Roman" w:hAnsi="Times New Roman" w:cs="Times New Roman"/>
          <w:kern w:val="0"/>
          <w:sz w:val="24"/>
          <w:szCs w:val="24"/>
          <w:lang w:val="en-US"/>
          <w14:ligatures w14:val="none"/>
        </w:rPr>
        <w:t xml:space="preserve"> of the creditor wherein the debtor confirms the existence of a debt for a specified amount. My view is therefore that the debtor must clearly admit his/her/its indebtedness to the creditor in the specified sum.  The principle was </w:t>
      </w:r>
      <w:proofErr w:type="spellStart"/>
      <w:r w:rsidRPr="005F29EE">
        <w:rPr>
          <w:rFonts w:ascii="Times New Roman" w:eastAsia="Times New Roman" w:hAnsi="Times New Roman" w:cs="Times New Roman"/>
          <w:kern w:val="0"/>
          <w:sz w:val="24"/>
          <w:szCs w:val="24"/>
          <w:lang w:val="en-US"/>
          <w14:ligatures w14:val="none"/>
        </w:rPr>
        <w:t>eleoquently</w:t>
      </w:r>
      <w:proofErr w:type="spellEnd"/>
      <w:r w:rsidRPr="005F29EE">
        <w:rPr>
          <w:rFonts w:ascii="Times New Roman" w:eastAsia="Times New Roman" w:hAnsi="Times New Roman" w:cs="Times New Roman"/>
          <w:kern w:val="0"/>
          <w:sz w:val="24"/>
          <w:szCs w:val="24"/>
          <w:lang w:val="en-US"/>
          <w14:ligatures w14:val="none"/>
        </w:rPr>
        <w:t xml:space="preserve"> stated in </w:t>
      </w:r>
      <w:r w:rsidRPr="005F29EE">
        <w:rPr>
          <w:rFonts w:ascii="Times New Roman" w:eastAsia="Times New Roman" w:hAnsi="Times New Roman" w:cs="Times New Roman"/>
          <w:i/>
          <w:kern w:val="0"/>
          <w:sz w:val="24"/>
          <w:szCs w:val="24"/>
          <w:lang w:val="en-US"/>
          <w14:ligatures w14:val="none"/>
        </w:rPr>
        <w:t xml:space="preserve">African Banking Corporation of Zimbabwe Ltd </w:t>
      </w:r>
      <w:r w:rsidRPr="005F29EE">
        <w:rPr>
          <w:rFonts w:ascii="Times New Roman" w:eastAsia="Times New Roman" w:hAnsi="Times New Roman" w:cs="Times New Roman"/>
          <w:kern w:val="0"/>
          <w:sz w:val="24"/>
          <w:szCs w:val="24"/>
          <w:lang w:val="en-US"/>
          <w14:ligatures w14:val="none"/>
        </w:rPr>
        <w:t xml:space="preserve">v </w:t>
      </w:r>
      <w:proofErr w:type="spellStart"/>
      <w:r w:rsidRPr="005F29EE">
        <w:rPr>
          <w:rFonts w:ascii="Times New Roman" w:eastAsia="Times New Roman" w:hAnsi="Times New Roman" w:cs="Times New Roman"/>
          <w:i/>
          <w:kern w:val="0"/>
          <w:sz w:val="24"/>
          <w:szCs w:val="24"/>
          <w:lang w:val="en-US"/>
          <w14:ligatures w14:val="none"/>
        </w:rPr>
        <w:t>Sunjet</w:t>
      </w:r>
      <w:proofErr w:type="spellEnd"/>
      <w:r w:rsidRPr="005F29EE">
        <w:rPr>
          <w:rFonts w:ascii="Times New Roman" w:eastAsia="Times New Roman" w:hAnsi="Times New Roman" w:cs="Times New Roman"/>
          <w:i/>
          <w:kern w:val="0"/>
          <w:sz w:val="24"/>
          <w:szCs w:val="24"/>
          <w:lang w:val="en-US"/>
          <w14:ligatures w14:val="none"/>
        </w:rPr>
        <w:t xml:space="preserve"> Development Holdings (</w:t>
      </w:r>
      <w:proofErr w:type="spellStart"/>
      <w:r w:rsidRPr="005F29EE">
        <w:rPr>
          <w:rFonts w:ascii="Times New Roman" w:eastAsia="Times New Roman" w:hAnsi="Times New Roman" w:cs="Times New Roman"/>
          <w:i/>
          <w:kern w:val="0"/>
          <w:sz w:val="24"/>
          <w:szCs w:val="24"/>
          <w:lang w:val="en-US"/>
          <w14:ligatures w14:val="none"/>
        </w:rPr>
        <w:t>Pvt</w:t>
      </w:r>
      <w:proofErr w:type="spellEnd"/>
      <w:r w:rsidRPr="005F29EE">
        <w:rPr>
          <w:rFonts w:ascii="Times New Roman" w:eastAsia="Times New Roman" w:hAnsi="Times New Roman" w:cs="Times New Roman"/>
          <w:i/>
          <w:kern w:val="0"/>
          <w:sz w:val="24"/>
          <w:szCs w:val="24"/>
          <w:lang w:val="en-US"/>
          <w14:ligatures w14:val="none"/>
        </w:rPr>
        <w:t xml:space="preserve">) Ltd </w:t>
      </w:r>
      <w:r w:rsidRPr="005F29EE">
        <w:rPr>
          <w:rFonts w:ascii="Times New Roman" w:eastAsia="Times New Roman" w:hAnsi="Times New Roman" w:cs="Times New Roman"/>
          <w:kern w:val="0"/>
          <w:sz w:val="24"/>
          <w:szCs w:val="24"/>
          <w:lang w:val="en-US"/>
          <w14:ligatures w14:val="none"/>
        </w:rPr>
        <w:t>HH190-14 as follows:</w:t>
      </w:r>
    </w:p>
    <w:p w14:paraId="63F2DA46" w14:textId="77777777" w:rsidR="005F29EE" w:rsidRDefault="005F29EE" w:rsidP="005F29EE">
      <w:pPr>
        <w:spacing w:line="240" w:lineRule="auto"/>
        <w:ind w:left="1440" w:right="0"/>
        <w:contextualSpacing/>
        <w:jc w:val="both"/>
        <w:rPr>
          <w:rFonts w:ascii="Times New Roman" w:eastAsia="Times New Roman" w:hAnsi="Times New Roman" w:cs="Times New Roman"/>
          <w:kern w:val="0"/>
          <w:sz w:val="20"/>
          <w:szCs w:val="20"/>
          <w:u w:val="single"/>
          <w:lang w:val="en-US"/>
          <w14:ligatures w14:val="none"/>
        </w:rPr>
      </w:pPr>
      <w:r w:rsidRPr="005F29EE">
        <w:rPr>
          <w:rFonts w:ascii="Times New Roman" w:eastAsia="Times New Roman" w:hAnsi="Times New Roman" w:cs="Times New Roman"/>
          <w:kern w:val="0"/>
          <w:sz w:val="20"/>
          <w:szCs w:val="20"/>
          <w:lang w:val="en-US"/>
          <w14:ligatures w14:val="none"/>
        </w:rPr>
        <w:t xml:space="preserve">“As regards the Acknowledgment of Debt, whether it is termed an Acknowledgment of Debt or contract is neither here nor there. </w:t>
      </w:r>
      <w:r w:rsidRPr="005F29EE">
        <w:rPr>
          <w:rFonts w:ascii="Times New Roman" w:eastAsia="Times New Roman" w:hAnsi="Times New Roman" w:cs="Times New Roman"/>
          <w:kern w:val="0"/>
          <w:sz w:val="20"/>
          <w:szCs w:val="20"/>
          <w:u w:val="single"/>
          <w:lang w:val="en-US"/>
          <w14:ligatures w14:val="none"/>
        </w:rPr>
        <w:t>What matters is the fact that the respondent, in that document, acknowledges that it is indebted to the applicant in the sum claimed.”</w:t>
      </w:r>
    </w:p>
    <w:p w14:paraId="502CA75E" w14:textId="77777777" w:rsidR="006514D3" w:rsidRPr="005F29EE" w:rsidRDefault="006514D3" w:rsidP="005F29EE">
      <w:pPr>
        <w:spacing w:line="240" w:lineRule="auto"/>
        <w:ind w:left="1440" w:right="0"/>
        <w:contextualSpacing/>
        <w:jc w:val="both"/>
        <w:rPr>
          <w:rFonts w:ascii="Times New Roman" w:eastAsia="Times New Roman" w:hAnsi="Times New Roman" w:cs="Times New Roman"/>
          <w:kern w:val="0"/>
          <w:sz w:val="20"/>
          <w:szCs w:val="20"/>
          <w:lang w:val="en-US"/>
          <w14:ligatures w14:val="none"/>
        </w:rPr>
      </w:pPr>
    </w:p>
    <w:p w14:paraId="76AC939B" w14:textId="77777777" w:rsidR="005F29EE" w:rsidRPr="005F29EE" w:rsidRDefault="005F29EE" w:rsidP="005F29EE">
      <w:pPr>
        <w:ind w:right="0"/>
        <w:contextualSpacing/>
        <w:jc w:val="both"/>
        <w:rPr>
          <w:rFonts w:ascii="Times New Roman" w:eastAsia="Times New Roman" w:hAnsi="Times New Roman" w:cs="Times New Roman"/>
          <w:kern w:val="0"/>
          <w:sz w:val="24"/>
          <w:szCs w:val="24"/>
          <w:lang w:val="en-US"/>
          <w14:ligatures w14:val="none"/>
        </w:rPr>
      </w:pPr>
      <w:r w:rsidRPr="005F29EE">
        <w:rPr>
          <w:rFonts w:ascii="Times New Roman" w:eastAsia="Times New Roman" w:hAnsi="Times New Roman" w:cs="Times New Roman"/>
          <w:kern w:val="0"/>
          <w:sz w:val="24"/>
          <w:szCs w:val="24"/>
          <w:lang w:val="en-US"/>
          <w14:ligatures w14:val="none"/>
        </w:rPr>
        <w:t>In the present matter, the so-called acknowledgment of debt omits to specify the amount alleged to be owed. That on its own, diminishes its evidential value. It falls short in establishing the full extent of the respondent’s indebtedness and on that basis alone cannot qualify as a liquid document capable of founding a claim for summary judgment.</w:t>
      </w:r>
    </w:p>
    <w:p w14:paraId="55A79BE4" w14:textId="77777777" w:rsidR="005F29EE" w:rsidRPr="005F29EE" w:rsidRDefault="005F29EE" w:rsidP="006514D3">
      <w:pPr>
        <w:numPr>
          <w:ilvl w:val="0"/>
          <w:numId w:val="2"/>
        </w:numPr>
        <w:shd w:val="clear" w:color="auto" w:fill="FFFFFF"/>
        <w:spacing w:before="0" w:beforeAutospacing="0" w:after="160" w:afterAutospacing="0"/>
        <w:ind w:right="0"/>
        <w:contextualSpacing/>
        <w:jc w:val="both"/>
        <w:rPr>
          <w:rFonts w:ascii="Times New Roman" w:eastAsia="Times New Roman" w:hAnsi="Times New Roman" w:cs="Times New Roman"/>
          <w:color w:val="0A0A0A"/>
          <w:kern w:val="0"/>
          <w:sz w:val="24"/>
          <w:szCs w:val="24"/>
          <w:lang w:eastAsia="en-ZW"/>
          <w14:ligatures w14:val="none"/>
        </w:rPr>
      </w:pPr>
      <w:r w:rsidRPr="005F29EE">
        <w:rPr>
          <w:rFonts w:ascii="Times New Roman" w:eastAsia="Times New Roman" w:hAnsi="Times New Roman" w:cs="Times New Roman"/>
          <w:kern w:val="0"/>
          <w:sz w:val="24"/>
          <w:szCs w:val="24"/>
          <w:lang w:val="en-US"/>
          <w14:ligatures w14:val="none"/>
        </w:rPr>
        <w:t xml:space="preserve">My further view is that the applicant did not satisfactorily depose to and disclose the material facts on which its cause of action is founded. It did not produce the </w:t>
      </w:r>
      <w:r w:rsidRPr="005F29EE">
        <w:rPr>
          <w:rFonts w:ascii="Times New Roman" w:eastAsia="Calibri" w:hAnsi="Times New Roman" w:cs="Times New Roman"/>
          <w:sz w:val="24"/>
          <w:szCs w:val="24"/>
        </w:rPr>
        <w:t xml:space="preserve">primary evidence to support its claim. Where the amount is disputed, the evidentiary burden rests squarely on the applicant to place before the court, cogent and verifiable proof of </w:t>
      </w:r>
      <w:r w:rsidRPr="005F29EE">
        <w:rPr>
          <w:rFonts w:ascii="Times New Roman" w:eastAsia="Calibri" w:hAnsi="Times New Roman" w:cs="Times New Roman"/>
          <w:sz w:val="24"/>
          <w:szCs w:val="24"/>
        </w:rPr>
        <w:lastRenderedPageBreak/>
        <w:t xml:space="preserve">the indebtedness. That burden has not been discharged in the present matter. The evidence demonstrates that there has always been some haggling and discord regarding the amount that the respondent owed the applicant. At some stage, the applicant itself had to adjust its statement of account in line with the representations made by the respondent. </w:t>
      </w:r>
      <w:r w:rsidRPr="005F29EE">
        <w:rPr>
          <w:rFonts w:ascii="Times New Roman" w:eastAsia="Times New Roman" w:hAnsi="Times New Roman" w:cs="Times New Roman"/>
          <w:color w:val="0A0A0A"/>
          <w:kern w:val="0"/>
          <w:sz w:val="24"/>
          <w:szCs w:val="24"/>
          <w:lang w:eastAsia="en-ZW"/>
          <w14:ligatures w14:val="none"/>
        </w:rPr>
        <w:t xml:space="preserve">Summary judgment cannot be granted based on a negotiated amount that the parties did not agree on from the start. The remedy requires a clear, unassailable, and verified claim where there is complete </w:t>
      </w:r>
      <w:proofErr w:type="spellStart"/>
      <w:r w:rsidRPr="005F29EE">
        <w:rPr>
          <w:rFonts w:ascii="Times New Roman" w:eastAsia="Times New Roman" w:hAnsi="Times New Roman" w:cs="Times New Roman"/>
          <w:i/>
          <w:iCs/>
          <w:color w:val="0A0A0A"/>
          <w:kern w:val="0"/>
          <w:sz w:val="24"/>
          <w:szCs w:val="24"/>
          <w:lang w:eastAsia="en-ZW"/>
          <w14:ligatures w14:val="none"/>
        </w:rPr>
        <w:t>ad</w:t>
      </w:r>
      <w:proofErr w:type="spellEnd"/>
      <w:r w:rsidRPr="005F29EE">
        <w:rPr>
          <w:rFonts w:ascii="Times New Roman" w:eastAsia="Times New Roman" w:hAnsi="Times New Roman" w:cs="Times New Roman"/>
          <w:i/>
          <w:iCs/>
          <w:color w:val="0A0A0A"/>
          <w:kern w:val="0"/>
          <w:sz w:val="24"/>
          <w:szCs w:val="24"/>
          <w:lang w:eastAsia="en-ZW"/>
          <w14:ligatures w14:val="none"/>
        </w:rPr>
        <w:t xml:space="preserve"> idem</w:t>
      </w:r>
      <w:r w:rsidRPr="005F29EE">
        <w:rPr>
          <w:rFonts w:ascii="Times New Roman" w:eastAsia="Times New Roman" w:hAnsi="Times New Roman" w:cs="Times New Roman"/>
          <w:color w:val="0A0A0A"/>
          <w:kern w:val="0"/>
          <w:sz w:val="24"/>
          <w:szCs w:val="24"/>
          <w:lang w:eastAsia="en-ZW"/>
          <w14:ligatures w14:val="none"/>
        </w:rPr>
        <w:t xml:space="preserve"> or consensus on the debt. An amount arrived at through compromise requires mutual agreement. One party cannot unilaterally impose a negotiated figure and then claim that the amount was indisputable. In this case, the respondent disputes the amount owed and argues that there was never an agreement on the sum. That, on the threshold of a mere possibility of a defence succeeding, raises a plausible and triable defence. The debt or rather, the specific settlement amount is being genuinely disputed. The applicant would require evidence to prove how much is owed.</w:t>
      </w:r>
    </w:p>
    <w:p w14:paraId="1A1459F7" w14:textId="77777777" w:rsidR="005F29EE" w:rsidRPr="006514D3" w:rsidRDefault="005F29EE" w:rsidP="006514D3">
      <w:pPr>
        <w:numPr>
          <w:ilvl w:val="0"/>
          <w:numId w:val="2"/>
        </w:numPr>
        <w:spacing w:before="0" w:beforeAutospacing="0" w:after="160" w:afterAutospacing="0"/>
        <w:ind w:right="0"/>
        <w:contextualSpacing/>
        <w:jc w:val="both"/>
        <w:rPr>
          <w:rFonts w:ascii="Times New Roman" w:eastAsia="Times New Roman" w:hAnsi="Times New Roman" w:cs="Times New Roman"/>
          <w:kern w:val="0"/>
          <w:sz w:val="24"/>
          <w:szCs w:val="24"/>
          <w:lang w:val="en-US"/>
          <w14:ligatures w14:val="none"/>
        </w:rPr>
      </w:pPr>
      <w:r w:rsidRPr="005F29EE">
        <w:rPr>
          <w:rFonts w:ascii="Times New Roman" w:eastAsia="Calibri" w:hAnsi="Times New Roman" w:cs="Times New Roman"/>
          <w:sz w:val="24"/>
          <w:szCs w:val="24"/>
        </w:rPr>
        <w:t>Admittedly, it is possible</w:t>
      </w:r>
      <w:r w:rsidRPr="005F29EE">
        <w:rPr>
          <w:rFonts w:ascii="Times New Roman" w:eastAsia="Calibri" w:hAnsi="Times New Roman" w:cs="Times New Roman"/>
          <w:b/>
          <w:bCs/>
          <w:sz w:val="24"/>
          <w:szCs w:val="24"/>
        </w:rPr>
        <w:t xml:space="preserve"> </w:t>
      </w:r>
      <w:r w:rsidRPr="005F29EE">
        <w:rPr>
          <w:rFonts w:ascii="Times New Roman" w:eastAsia="Calibri" w:hAnsi="Times New Roman" w:cs="Times New Roman"/>
          <w:sz w:val="24"/>
          <w:szCs w:val="24"/>
        </w:rPr>
        <w:t xml:space="preserve">for a valid acknowledgement of debt to be created from a series of communications, such as an exchange of emails because in our law, an acknowledgement of debt need not be a single, formal document titled "Acknowledgement of Debt." What is important is that the thread of emails taken together must disclose a clear, unequivocal, and unambiguous written admission of liability for a fixed sum of money. In this case, the respondent not only challenged the email communications on the ground that they were exchanged on a without prejudice basis. The thread itself, demonstrates a negotiation between the parties. The final amount owed was never expressly accepted by the respondent in the emails. So, my view is that whether or not they were made on a without prejudice basis, the emails still fall far short of supporting the claim for summary judgment. By claiming that they were without prejudice communication, the respondent is putting in issue the admissibility of the emails. That admissibility is not an issue which I am required to determine in this application. Better still, the contention cannot be by any standard, deemed to be frivolous or untenable.  It raises a triable issue which requires a proper interrogation of the context, purpose and content of the communications at trial. In other words, whether the correspondence falls within that category is a matter that requires proper ventilation </w:t>
      </w:r>
      <w:r w:rsidRPr="005F29EE">
        <w:rPr>
          <w:rFonts w:ascii="Times New Roman" w:eastAsia="Calibri" w:hAnsi="Times New Roman" w:cs="Times New Roman"/>
          <w:sz w:val="24"/>
          <w:szCs w:val="24"/>
        </w:rPr>
        <w:lastRenderedPageBreak/>
        <w:t xml:space="preserve">at trial.  In any event, it remains within the discretion of the Court to determine whether such communications are admissible. In </w:t>
      </w:r>
      <w:r w:rsidRPr="005F29EE">
        <w:rPr>
          <w:rFonts w:ascii="Times New Roman" w:eastAsia="Calibri" w:hAnsi="Times New Roman" w:cs="Times New Roman"/>
          <w:i/>
          <w:iCs/>
          <w:sz w:val="24"/>
          <w:szCs w:val="24"/>
        </w:rPr>
        <w:t xml:space="preserve">Kazingizi &amp; Another </w:t>
      </w:r>
      <w:r w:rsidRPr="005F29EE">
        <w:rPr>
          <w:rFonts w:ascii="Times New Roman" w:eastAsia="Calibri" w:hAnsi="Times New Roman" w:cs="Times New Roman"/>
          <w:iCs/>
          <w:sz w:val="24"/>
          <w:szCs w:val="24"/>
        </w:rPr>
        <w:t>v</w:t>
      </w:r>
      <w:r w:rsidRPr="005F29EE">
        <w:rPr>
          <w:rFonts w:ascii="Times New Roman" w:eastAsia="Calibri" w:hAnsi="Times New Roman" w:cs="Times New Roman"/>
          <w:i/>
          <w:iCs/>
          <w:sz w:val="24"/>
          <w:szCs w:val="24"/>
        </w:rPr>
        <w:t xml:space="preserve"> Equity Properties (Pvt) Ltd </w:t>
      </w:r>
      <w:r w:rsidRPr="005F29EE">
        <w:rPr>
          <w:rFonts w:ascii="Times New Roman" w:eastAsia="Calibri" w:hAnsi="Times New Roman" w:cs="Times New Roman"/>
          <w:iCs/>
          <w:sz w:val="24"/>
          <w:szCs w:val="24"/>
        </w:rPr>
        <w:t>HH 797-17</w:t>
      </w:r>
      <w:r w:rsidRPr="005F29EE">
        <w:rPr>
          <w:rFonts w:ascii="Times New Roman" w:eastAsia="Calibri" w:hAnsi="Times New Roman" w:cs="Times New Roman"/>
          <w:sz w:val="24"/>
          <w:szCs w:val="24"/>
        </w:rPr>
        <w:t xml:space="preserve">, where the parties had engaged in correspondence negotiating a payment plan; MATHONSI J (as he then was) stated thus:- </w:t>
      </w:r>
    </w:p>
    <w:p w14:paraId="42DC0951" w14:textId="77777777" w:rsidR="006514D3" w:rsidRPr="005F29EE" w:rsidRDefault="006514D3" w:rsidP="006514D3">
      <w:pPr>
        <w:spacing w:before="0" w:beforeAutospacing="0" w:after="160" w:afterAutospacing="0"/>
        <w:ind w:right="0"/>
        <w:contextualSpacing/>
        <w:jc w:val="both"/>
        <w:rPr>
          <w:rFonts w:ascii="Times New Roman" w:eastAsia="Times New Roman" w:hAnsi="Times New Roman" w:cs="Times New Roman"/>
          <w:kern w:val="0"/>
          <w:sz w:val="24"/>
          <w:szCs w:val="24"/>
          <w:lang w:val="en-US"/>
          <w14:ligatures w14:val="none"/>
        </w:rPr>
      </w:pPr>
    </w:p>
    <w:p w14:paraId="19CC0DEF" w14:textId="77777777" w:rsidR="005F29EE" w:rsidRDefault="005F29EE" w:rsidP="005F29EE">
      <w:pPr>
        <w:spacing w:before="0" w:beforeAutospacing="0" w:after="160" w:afterAutospacing="0" w:line="240" w:lineRule="auto"/>
        <w:ind w:left="1440" w:right="0"/>
        <w:contextualSpacing/>
        <w:jc w:val="both"/>
        <w:rPr>
          <w:rFonts w:ascii="Times New Roman" w:eastAsia="Calibri" w:hAnsi="Times New Roman" w:cs="Times New Roman"/>
          <w:sz w:val="20"/>
          <w:szCs w:val="20"/>
        </w:rPr>
      </w:pPr>
      <w:r w:rsidRPr="005F29EE">
        <w:rPr>
          <w:rFonts w:ascii="Times New Roman" w:eastAsia="Calibri" w:hAnsi="Times New Roman" w:cs="Times New Roman"/>
          <w:sz w:val="20"/>
          <w:szCs w:val="20"/>
        </w:rPr>
        <w:t>“In the final analysis, it is always in the discretion of the court to determine whether to admit or not to admit without prejudice communications. In exercising its discretion, the court may remove the privilege attaching to such communication if it deems that the admissibility of such communication is essential in proving certain things, such as the credibility of a witness, or if it considers that the upholding of the privilege would be contrary to public policy, for instance where the communication contains a threat or an act of insolvency.”</w:t>
      </w:r>
    </w:p>
    <w:p w14:paraId="0E5E3BE6" w14:textId="77777777" w:rsidR="006514D3" w:rsidRPr="005F29EE" w:rsidRDefault="006514D3" w:rsidP="005F29EE">
      <w:pPr>
        <w:spacing w:before="0" w:beforeAutospacing="0" w:after="160" w:afterAutospacing="0" w:line="240" w:lineRule="auto"/>
        <w:ind w:left="1440" w:right="0"/>
        <w:contextualSpacing/>
        <w:jc w:val="both"/>
        <w:rPr>
          <w:rFonts w:ascii="Times New Roman" w:eastAsia="Calibri" w:hAnsi="Times New Roman" w:cs="Times New Roman"/>
          <w:sz w:val="20"/>
          <w:szCs w:val="20"/>
        </w:rPr>
      </w:pPr>
    </w:p>
    <w:p w14:paraId="443F3BF4" w14:textId="77777777" w:rsidR="005F29EE" w:rsidRPr="005F29EE" w:rsidRDefault="005F29EE" w:rsidP="006514D3">
      <w:pPr>
        <w:numPr>
          <w:ilvl w:val="0"/>
          <w:numId w:val="2"/>
        </w:numPr>
        <w:spacing w:before="0" w:beforeAutospacing="0" w:after="160" w:afterAutospacing="0"/>
        <w:ind w:right="0"/>
        <w:jc w:val="both"/>
        <w:rPr>
          <w:rFonts w:ascii="Times New Roman" w:eastAsia="Times New Roman" w:hAnsi="Times New Roman" w:cs="Times New Roman"/>
          <w:kern w:val="0"/>
          <w:sz w:val="24"/>
          <w:szCs w:val="24"/>
          <w:lang w:val="en-US"/>
          <w14:ligatures w14:val="none"/>
        </w:rPr>
      </w:pPr>
      <w:r w:rsidRPr="005F29EE">
        <w:rPr>
          <w:rFonts w:ascii="Times New Roman" w:eastAsia="Times New Roman" w:hAnsi="Times New Roman" w:cs="Times New Roman"/>
          <w:kern w:val="0"/>
          <w:sz w:val="24"/>
          <w:szCs w:val="24"/>
          <w:lang w:val="en-US"/>
          <w14:ligatures w14:val="none"/>
        </w:rPr>
        <w:t xml:space="preserve">In the present case, I am ultimately unable to conclude that the applicant’s claim is clear and unassailable. The question whether the variations to the invoices were agreed upon, and whether the final figure claimed by the applicant is correct are matters that cannot be resolved at this stage. The respondent’s proposed </w:t>
      </w:r>
      <w:proofErr w:type="spellStart"/>
      <w:r w:rsidRPr="005F29EE">
        <w:rPr>
          <w:rFonts w:ascii="Times New Roman" w:eastAsia="Times New Roman" w:hAnsi="Times New Roman" w:cs="Times New Roman"/>
          <w:kern w:val="0"/>
          <w:sz w:val="24"/>
          <w:szCs w:val="24"/>
          <w:lang w:val="en-US"/>
          <w14:ligatures w14:val="none"/>
        </w:rPr>
        <w:t>defences</w:t>
      </w:r>
      <w:proofErr w:type="spellEnd"/>
      <w:r w:rsidRPr="005F29EE">
        <w:rPr>
          <w:rFonts w:ascii="Times New Roman" w:eastAsia="Times New Roman" w:hAnsi="Times New Roman" w:cs="Times New Roman"/>
          <w:kern w:val="0"/>
          <w:sz w:val="24"/>
          <w:szCs w:val="24"/>
          <w:lang w:val="en-US"/>
          <w14:ligatures w14:val="none"/>
        </w:rPr>
        <w:t xml:space="preserve"> are clearly arguable both in fact and in law</w:t>
      </w:r>
      <w:r w:rsidRPr="005F29EE">
        <w:rPr>
          <w:rFonts w:ascii="Times New Roman" w:eastAsia="Times New Roman" w:hAnsi="Times New Roman" w:cs="Times New Roman"/>
          <w:i/>
          <w:kern w:val="0"/>
          <w:sz w:val="24"/>
          <w:szCs w:val="24"/>
          <w:lang w:val="en-US"/>
          <w14:ligatures w14:val="none"/>
        </w:rPr>
        <w:t xml:space="preserve">. </w:t>
      </w:r>
      <w:r w:rsidRPr="005F29EE">
        <w:rPr>
          <w:rFonts w:ascii="Times New Roman" w:eastAsia="Times New Roman" w:hAnsi="Times New Roman" w:cs="Times New Roman"/>
          <w:kern w:val="0"/>
          <w:sz w:val="24"/>
          <w:szCs w:val="24"/>
          <w:lang w:val="en-US"/>
          <w14:ligatures w14:val="none"/>
        </w:rPr>
        <w:t xml:space="preserve">It is therefore only just that the respondent be afforded the opportunity to present such at trial. Those issues go to the heart of the applicant’s claim and cannot be dismissed as a mere attempt to delay proceedings. The present case is therefore not one in which the respondent must be shut out without being heard. In the end, I am convinced that the respondent has disclosed a </w:t>
      </w:r>
      <w:r w:rsidRPr="005F29EE">
        <w:rPr>
          <w:rFonts w:ascii="Times New Roman" w:eastAsia="Times New Roman" w:hAnsi="Times New Roman" w:cs="Times New Roman"/>
          <w:i/>
          <w:kern w:val="0"/>
          <w:sz w:val="24"/>
          <w:szCs w:val="24"/>
          <w:lang w:val="en-US"/>
          <w14:ligatures w14:val="none"/>
        </w:rPr>
        <w:t>bona fide</w:t>
      </w:r>
      <w:r w:rsidRPr="005F29EE">
        <w:rPr>
          <w:rFonts w:ascii="Times New Roman" w:eastAsia="Times New Roman" w:hAnsi="Times New Roman" w:cs="Times New Roman"/>
          <w:kern w:val="0"/>
          <w:sz w:val="24"/>
          <w:szCs w:val="24"/>
          <w:lang w:val="en-US"/>
          <w14:ligatures w14:val="none"/>
        </w:rPr>
        <w:t xml:space="preserve"> </w:t>
      </w:r>
      <w:proofErr w:type="spellStart"/>
      <w:r w:rsidRPr="005F29EE">
        <w:rPr>
          <w:rFonts w:ascii="Times New Roman" w:eastAsia="Times New Roman" w:hAnsi="Times New Roman" w:cs="Times New Roman"/>
          <w:kern w:val="0"/>
          <w:sz w:val="24"/>
          <w:szCs w:val="24"/>
          <w:lang w:val="en-US"/>
          <w14:ligatures w14:val="none"/>
        </w:rPr>
        <w:t>defence</w:t>
      </w:r>
      <w:proofErr w:type="spellEnd"/>
      <w:r w:rsidRPr="005F29EE">
        <w:rPr>
          <w:rFonts w:ascii="Times New Roman" w:eastAsia="Times New Roman" w:hAnsi="Times New Roman" w:cs="Times New Roman"/>
          <w:kern w:val="0"/>
          <w:sz w:val="24"/>
          <w:szCs w:val="24"/>
          <w:lang w:val="en-US"/>
          <w14:ligatures w14:val="none"/>
        </w:rPr>
        <w:t xml:space="preserve"> within the meaning of r 30(1) of the High Court Rules, 2021 and has a reasonable possibility of success at trial.</w:t>
      </w:r>
    </w:p>
    <w:p w14:paraId="48EBC6F9" w14:textId="77777777" w:rsidR="005F29EE" w:rsidRPr="005F29EE" w:rsidRDefault="005F29EE" w:rsidP="005F29EE">
      <w:pPr>
        <w:ind w:right="0"/>
        <w:jc w:val="both"/>
        <w:rPr>
          <w:rFonts w:ascii="Times New Roman" w:eastAsia="Times New Roman" w:hAnsi="Times New Roman" w:cs="Times New Roman"/>
          <w:i/>
          <w:kern w:val="0"/>
          <w:sz w:val="24"/>
          <w:szCs w:val="24"/>
          <w:lang w:val="en-US"/>
          <w14:ligatures w14:val="none"/>
        </w:rPr>
      </w:pPr>
      <w:r w:rsidRPr="005F29EE">
        <w:rPr>
          <w:rFonts w:ascii="Times New Roman" w:eastAsia="Times New Roman" w:hAnsi="Times New Roman" w:cs="Times New Roman"/>
          <w:b/>
          <w:bCs/>
          <w:kern w:val="0"/>
          <w:sz w:val="24"/>
          <w:szCs w:val="24"/>
          <w:lang w:val="en-US"/>
          <w14:ligatures w14:val="none"/>
        </w:rPr>
        <w:t>The collection commission</w:t>
      </w:r>
    </w:p>
    <w:p w14:paraId="183D154D" w14:textId="77777777" w:rsidR="005F29EE" w:rsidRPr="005F29EE" w:rsidRDefault="005F29EE" w:rsidP="006514D3">
      <w:pPr>
        <w:numPr>
          <w:ilvl w:val="0"/>
          <w:numId w:val="2"/>
        </w:numPr>
        <w:spacing w:before="0" w:beforeAutospacing="0" w:after="160" w:afterAutospacing="0"/>
        <w:ind w:right="0"/>
        <w:jc w:val="both"/>
        <w:rPr>
          <w:rFonts w:ascii="Times New Roman" w:eastAsia="Times New Roman" w:hAnsi="Times New Roman" w:cs="Times New Roman"/>
          <w:i/>
          <w:kern w:val="0"/>
          <w:sz w:val="24"/>
          <w:szCs w:val="24"/>
          <w:lang w:val="en-US"/>
          <w14:ligatures w14:val="none"/>
        </w:rPr>
      </w:pPr>
      <w:r w:rsidRPr="005F29EE">
        <w:rPr>
          <w:rFonts w:ascii="Times New Roman" w:eastAsia="Times New Roman" w:hAnsi="Times New Roman" w:cs="Times New Roman"/>
          <w:kern w:val="0"/>
          <w:sz w:val="24"/>
          <w:szCs w:val="24"/>
          <w:lang w:val="en-US"/>
          <w14:ligatures w14:val="none"/>
        </w:rPr>
        <w:t>As correctly pointed by the respondent, the law is that it is incompetent to claim collection commission after the institution of summons in circumstances where such commission was not agreed upon between the parties. Section 70 of the Law Society of Zimbabwe (Amendment) By-laws, 2014 (No. 15), is clear and unambiguous. The relevant provisions state as follows:</w:t>
      </w:r>
    </w:p>
    <w:p w14:paraId="7A66F273" w14:textId="77777777" w:rsidR="005F29EE" w:rsidRPr="005F29EE" w:rsidRDefault="005F29EE" w:rsidP="005F29EE">
      <w:pPr>
        <w:spacing w:line="240" w:lineRule="auto"/>
        <w:ind w:left="1440" w:right="0"/>
        <w:jc w:val="both"/>
        <w:rPr>
          <w:rFonts w:ascii="Times New Roman" w:eastAsia="Times New Roman" w:hAnsi="Times New Roman" w:cs="Times New Roman"/>
          <w:i/>
          <w:kern w:val="0"/>
          <w:sz w:val="24"/>
          <w:szCs w:val="24"/>
          <w:lang w:val="en-US"/>
          <w14:ligatures w14:val="none"/>
        </w:rPr>
      </w:pPr>
      <w:r w:rsidRPr="005F29EE">
        <w:rPr>
          <w:rFonts w:ascii="Times New Roman" w:eastAsia="Times New Roman" w:hAnsi="Times New Roman" w:cs="Times New Roman"/>
          <w:kern w:val="0"/>
          <w:sz w:val="20"/>
          <w:szCs w:val="20"/>
          <w:lang w:val="en-US"/>
          <w14:ligatures w14:val="none"/>
        </w:rPr>
        <w:t xml:space="preserve">“A legal practitioner instructed to collect an uncontested claim for trade debt shall be entitled and obliged, in </w:t>
      </w:r>
      <w:r w:rsidRPr="005F29EE">
        <w:rPr>
          <w:rFonts w:ascii="Times New Roman" w:eastAsia="Times New Roman" w:hAnsi="Times New Roman" w:cs="Times New Roman"/>
          <w:i/>
          <w:kern w:val="0"/>
          <w:sz w:val="20"/>
          <w:szCs w:val="20"/>
          <w:lang w:val="en-US"/>
          <w14:ligatures w14:val="none"/>
        </w:rPr>
        <w:t>lieu</w:t>
      </w:r>
      <w:r w:rsidRPr="005F29EE">
        <w:rPr>
          <w:rFonts w:ascii="Times New Roman" w:eastAsia="Times New Roman" w:hAnsi="Times New Roman" w:cs="Times New Roman"/>
          <w:kern w:val="0"/>
          <w:sz w:val="20"/>
          <w:szCs w:val="20"/>
          <w:lang w:val="en-US"/>
          <w14:ligatures w14:val="none"/>
        </w:rPr>
        <w:t xml:space="preserve"> of any other fees and charges, save for disbursements, and save as to hereinafter provided, to charge his client a collection commission…”</w:t>
      </w:r>
    </w:p>
    <w:p w14:paraId="5A7030EB" w14:textId="77777777" w:rsidR="005F29EE" w:rsidRPr="005F29EE" w:rsidRDefault="005F29EE" w:rsidP="006514D3">
      <w:pPr>
        <w:numPr>
          <w:ilvl w:val="0"/>
          <w:numId w:val="2"/>
        </w:numPr>
        <w:spacing w:before="0" w:beforeAutospacing="0" w:after="160" w:afterAutospacing="0"/>
        <w:ind w:right="0"/>
        <w:jc w:val="both"/>
        <w:rPr>
          <w:rFonts w:ascii="Times New Roman" w:eastAsia="Times New Roman" w:hAnsi="Times New Roman" w:cs="Times New Roman"/>
          <w:i/>
          <w:kern w:val="0"/>
          <w:sz w:val="24"/>
          <w:szCs w:val="24"/>
          <w:lang w:val="en-US"/>
          <w14:ligatures w14:val="none"/>
        </w:rPr>
      </w:pPr>
      <w:r w:rsidRPr="005F29EE">
        <w:rPr>
          <w:rFonts w:ascii="Times New Roman" w:eastAsia="Times New Roman" w:hAnsi="Times New Roman" w:cs="Times New Roman"/>
          <w:kern w:val="0"/>
          <w:sz w:val="24"/>
          <w:szCs w:val="24"/>
          <w:lang w:val="en-US"/>
          <w14:ligatures w14:val="none"/>
        </w:rPr>
        <w:lastRenderedPageBreak/>
        <w:t xml:space="preserve">The above position was firmly approved in the authority of </w:t>
      </w:r>
      <w:proofErr w:type="spellStart"/>
      <w:r w:rsidRPr="005F29EE">
        <w:rPr>
          <w:rFonts w:ascii="Times New Roman" w:eastAsia="Times New Roman" w:hAnsi="Times New Roman" w:cs="Times New Roman"/>
          <w:i/>
          <w:kern w:val="0"/>
          <w:sz w:val="24"/>
          <w:szCs w:val="24"/>
          <w:lang w:val="en-US"/>
          <w14:ligatures w14:val="none"/>
        </w:rPr>
        <w:t>Scotfin</w:t>
      </w:r>
      <w:proofErr w:type="spellEnd"/>
      <w:r w:rsidRPr="005F29EE">
        <w:rPr>
          <w:rFonts w:ascii="Times New Roman" w:eastAsia="Times New Roman" w:hAnsi="Times New Roman" w:cs="Times New Roman"/>
          <w:i/>
          <w:kern w:val="0"/>
          <w:sz w:val="24"/>
          <w:szCs w:val="24"/>
          <w:lang w:val="en-US"/>
          <w14:ligatures w14:val="none"/>
        </w:rPr>
        <w:t xml:space="preserve"> Ltd </w:t>
      </w:r>
      <w:r w:rsidRPr="005F29EE">
        <w:rPr>
          <w:rFonts w:ascii="Times New Roman" w:eastAsia="Times New Roman" w:hAnsi="Times New Roman" w:cs="Times New Roman"/>
          <w:kern w:val="0"/>
          <w:sz w:val="24"/>
          <w:szCs w:val="24"/>
          <w:lang w:val="en-US"/>
          <w14:ligatures w14:val="none"/>
        </w:rPr>
        <w:t xml:space="preserve">v </w:t>
      </w:r>
      <w:proofErr w:type="spellStart"/>
      <w:r w:rsidRPr="005F29EE">
        <w:rPr>
          <w:rFonts w:ascii="Times New Roman" w:eastAsia="Times New Roman" w:hAnsi="Times New Roman" w:cs="Times New Roman"/>
          <w:i/>
          <w:kern w:val="0"/>
          <w:sz w:val="24"/>
          <w:szCs w:val="24"/>
          <w:lang w:val="en-US"/>
          <w14:ligatures w14:val="none"/>
        </w:rPr>
        <w:t>Ngomahuru</w:t>
      </w:r>
      <w:proofErr w:type="spellEnd"/>
      <w:r w:rsidRPr="005F29EE">
        <w:rPr>
          <w:rFonts w:ascii="Times New Roman" w:eastAsia="Times New Roman" w:hAnsi="Times New Roman" w:cs="Times New Roman"/>
          <w:i/>
          <w:kern w:val="0"/>
          <w:sz w:val="24"/>
          <w:szCs w:val="24"/>
          <w:lang w:val="en-US"/>
          <w14:ligatures w14:val="none"/>
        </w:rPr>
        <w:t xml:space="preserve"> (Pvt) Ltd </w:t>
      </w:r>
      <w:r w:rsidRPr="005F29EE">
        <w:rPr>
          <w:rFonts w:ascii="Times New Roman" w:eastAsia="Times New Roman" w:hAnsi="Times New Roman" w:cs="Times New Roman"/>
          <w:kern w:val="0"/>
          <w:sz w:val="24"/>
          <w:szCs w:val="24"/>
          <w:lang w:val="en-US"/>
          <w14:ligatures w14:val="none"/>
        </w:rPr>
        <w:t xml:space="preserve">HH97-17, wherein this Court cited with approval the </w:t>
      </w:r>
      <w:r w:rsidRPr="005F29EE">
        <w:rPr>
          <w:rFonts w:ascii="Times New Roman" w:eastAsia="Times New Roman" w:hAnsi="Times New Roman" w:cs="Times New Roman"/>
          <w:i/>
          <w:kern w:val="0"/>
          <w:sz w:val="24"/>
          <w:szCs w:val="24"/>
          <w:lang w:val="en-US"/>
          <w14:ligatures w14:val="none"/>
        </w:rPr>
        <w:t>dicta</w:t>
      </w:r>
      <w:r w:rsidRPr="005F29EE">
        <w:rPr>
          <w:rFonts w:ascii="Times New Roman" w:eastAsia="Times New Roman" w:hAnsi="Times New Roman" w:cs="Times New Roman"/>
          <w:kern w:val="0"/>
          <w:sz w:val="24"/>
          <w:szCs w:val="24"/>
          <w:lang w:val="en-US"/>
          <w14:ligatures w14:val="none"/>
        </w:rPr>
        <w:t xml:space="preserve"> in </w:t>
      </w:r>
      <w:r w:rsidRPr="005F29EE">
        <w:rPr>
          <w:rFonts w:ascii="Times New Roman" w:eastAsia="Times New Roman" w:hAnsi="Times New Roman" w:cs="Times New Roman"/>
          <w:i/>
          <w:kern w:val="0"/>
          <w:sz w:val="24"/>
          <w:szCs w:val="24"/>
          <w:lang w:val="en-US"/>
          <w14:ligatures w14:val="none"/>
        </w:rPr>
        <w:t xml:space="preserve">SEDCO </w:t>
      </w:r>
      <w:r w:rsidRPr="005F29EE">
        <w:rPr>
          <w:rFonts w:ascii="Times New Roman" w:eastAsia="Times New Roman" w:hAnsi="Times New Roman" w:cs="Times New Roman"/>
          <w:kern w:val="0"/>
          <w:sz w:val="24"/>
          <w:szCs w:val="24"/>
          <w:lang w:val="en-US"/>
          <w14:ligatures w14:val="none"/>
        </w:rPr>
        <w:t xml:space="preserve">v </w:t>
      </w:r>
      <w:proofErr w:type="spellStart"/>
      <w:r w:rsidRPr="005F29EE">
        <w:rPr>
          <w:rFonts w:ascii="Times New Roman" w:eastAsia="Times New Roman" w:hAnsi="Times New Roman" w:cs="Times New Roman"/>
          <w:i/>
          <w:kern w:val="0"/>
          <w:sz w:val="24"/>
          <w:szCs w:val="24"/>
          <w:lang w:val="en-US"/>
          <w14:ligatures w14:val="none"/>
        </w:rPr>
        <w:t>Guvheya</w:t>
      </w:r>
      <w:proofErr w:type="spellEnd"/>
      <w:r w:rsidRPr="005F29EE">
        <w:rPr>
          <w:rFonts w:ascii="Times New Roman" w:eastAsia="Times New Roman" w:hAnsi="Times New Roman" w:cs="Times New Roman"/>
          <w:i/>
          <w:kern w:val="0"/>
          <w:sz w:val="24"/>
          <w:szCs w:val="24"/>
          <w:lang w:val="en-US"/>
          <w14:ligatures w14:val="none"/>
        </w:rPr>
        <w:t xml:space="preserve"> </w:t>
      </w:r>
      <w:r w:rsidRPr="005F29EE">
        <w:rPr>
          <w:rFonts w:ascii="Times New Roman" w:eastAsia="Times New Roman" w:hAnsi="Times New Roman" w:cs="Times New Roman"/>
          <w:kern w:val="0"/>
          <w:sz w:val="24"/>
          <w:szCs w:val="24"/>
          <w:lang w:val="en-US"/>
          <w14:ligatures w14:val="none"/>
        </w:rPr>
        <w:t>1994 (2) ZLR 311 (H) as follows:</w:t>
      </w:r>
    </w:p>
    <w:p w14:paraId="1D118D0D" w14:textId="77777777" w:rsidR="005F29EE" w:rsidRPr="005F29EE" w:rsidRDefault="005F29EE" w:rsidP="005F29EE">
      <w:pPr>
        <w:spacing w:before="0" w:beforeAutospacing="0" w:after="160" w:afterAutospacing="0" w:line="240" w:lineRule="auto"/>
        <w:ind w:left="1440" w:right="0"/>
        <w:contextualSpacing/>
        <w:jc w:val="both"/>
        <w:rPr>
          <w:rFonts w:ascii="Times New Roman" w:eastAsia="Calibri" w:hAnsi="Times New Roman" w:cs="Times New Roman"/>
          <w:sz w:val="24"/>
          <w:szCs w:val="24"/>
        </w:rPr>
      </w:pPr>
      <w:r w:rsidRPr="005F29EE">
        <w:rPr>
          <w:rFonts w:ascii="Times New Roman" w:eastAsia="Calibri" w:hAnsi="Times New Roman" w:cs="Times New Roman"/>
          <w:sz w:val="20"/>
          <w:szCs w:val="20"/>
        </w:rPr>
        <w:t xml:space="preserve">“Once summons has been issued for any debt, the legal practitioner is entitled to claim his costs but not collection commission unless, subsequent to the service of summons the debtor has agreed to pay collection commission. </w:t>
      </w:r>
      <w:r w:rsidRPr="005F29EE">
        <w:rPr>
          <w:rFonts w:ascii="Times New Roman" w:eastAsia="Calibri" w:hAnsi="Times New Roman" w:cs="Times New Roman"/>
          <w:sz w:val="20"/>
          <w:szCs w:val="20"/>
          <w:u w:val="single"/>
        </w:rPr>
        <w:t xml:space="preserve">Collection commission can only be charged on monies actually collected by the legal practitioner.” </w:t>
      </w:r>
      <w:r w:rsidRPr="005F29EE">
        <w:rPr>
          <w:rFonts w:ascii="Times New Roman" w:eastAsia="Calibri" w:hAnsi="Times New Roman" w:cs="Times New Roman"/>
          <w:sz w:val="24"/>
          <w:szCs w:val="24"/>
        </w:rPr>
        <w:t>(emphasis is mine)</w:t>
      </w:r>
    </w:p>
    <w:p w14:paraId="455CF1DB" w14:textId="77777777" w:rsidR="005F29EE" w:rsidRPr="005F29EE" w:rsidRDefault="005F29EE" w:rsidP="005F29EE">
      <w:pPr>
        <w:spacing w:before="0" w:beforeAutospacing="0" w:after="160" w:afterAutospacing="0" w:line="240" w:lineRule="auto"/>
        <w:ind w:left="1440" w:right="0"/>
        <w:contextualSpacing/>
        <w:jc w:val="both"/>
        <w:rPr>
          <w:rFonts w:ascii="Times New Roman" w:eastAsia="Calibri" w:hAnsi="Times New Roman" w:cs="Times New Roman"/>
          <w:sz w:val="24"/>
          <w:szCs w:val="24"/>
        </w:rPr>
      </w:pPr>
    </w:p>
    <w:p w14:paraId="0401F8D6" w14:textId="77777777" w:rsidR="003B5CED" w:rsidRDefault="005F29EE" w:rsidP="006514D3">
      <w:pPr>
        <w:numPr>
          <w:ilvl w:val="0"/>
          <w:numId w:val="2"/>
        </w:numPr>
        <w:spacing w:before="0" w:beforeAutospacing="0" w:after="160" w:afterAutospacing="0"/>
        <w:ind w:left="900" w:right="0"/>
        <w:contextualSpacing/>
        <w:jc w:val="both"/>
        <w:rPr>
          <w:rFonts w:ascii="Times New Roman" w:eastAsia="Calibri" w:hAnsi="Times New Roman" w:cs="Times New Roman"/>
          <w:sz w:val="24"/>
          <w:szCs w:val="24"/>
        </w:rPr>
      </w:pPr>
      <w:r w:rsidRPr="005F29EE">
        <w:rPr>
          <w:rFonts w:ascii="Times New Roman" w:eastAsia="Calibri" w:hAnsi="Times New Roman" w:cs="Times New Roman"/>
          <w:sz w:val="24"/>
          <w:szCs w:val="24"/>
        </w:rPr>
        <w:t xml:space="preserve">In other words, even where a legal practitioner successfully represents his/her client in recovering monies owed to the client, it is not the legal practitioner who would have collected the money. Put in another way, such commission is only due where the monies were collected without the coercion of the court. There is also no dispute here, that the respondent did not consent to the payment of collection commission. The applicant’s legal practitioner did not recover any monies even if the applicant would ultimately be successful in the main action.  He is therefore not entitled to any collection commission. </w:t>
      </w:r>
    </w:p>
    <w:p w14:paraId="19B73900" w14:textId="19C356EE" w:rsidR="005F29EE" w:rsidRPr="003B5CED" w:rsidRDefault="005F29EE" w:rsidP="003B5CED">
      <w:pPr>
        <w:spacing w:before="0" w:beforeAutospacing="0" w:after="160" w:afterAutospacing="0"/>
        <w:ind w:left="900" w:right="0"/>
        <w:contextualSpacing/>
        <w:jc w:val="both"/>
        <w:rPr>
          <w:rFonts w:ascii="Times New Roman" w:eastAsia="Calibri" w:hAnsi="Times New Roman" w:cs="Times New Roman"/>
          <w:sz w:val="24"/>
          <w:szCs w:val="24"/>
        </w:rPr>
      </w:pPr>
      <w:r w:rsidRPr="003B5CED">
        <w:rPr>
          <w:rFonts w:ascii="Times New Roman" w:eastAsia="Calibri" w:hAnsi="Times New Roman" w:cs="Times New Roman"/>
          <w:b/>
          <w:sz w:val="24"/>
          <w:szCs w:val="24"/>
        </w:rPr>
        <w:t>Costs</w:t>
      </w:r>
    </w:p>
    <w:p w14:paraId="251271B2" w14:textId="77777777" w:rsidR="005F29EE" w:rsidRPr="005F29EE" w:rsidRDefault="005F29EE" w:rsidP="006514D3">
      <w:pPr>
        <w:numPr>
          <w:ilvl w:val="0"/>
          <w:numId w:val="2"/>
        </w:numPr>
        <w:spacing w:before="0" w:beforeAutospacing="0" w:after="0" w:afterAutospacing="0"/>
        <w:ind w:right="0"/>
        <w:contextualSpacing/>
        <w:jc w:val="both"/>
        <w:rPr>
          <w:rFonts w:ascii="Times New Roman" w:eastAsia="Calibri" w:hAnsi="Times New Roman" w:cs="Times New Roman"/>
          <w:sz w:val="20"/>
          <w:szCs w:val="20"/>
        </w:rPr>
      </w:pPr>
      <w:r w:rsidRPr="005F29EE">
        <w:rPr>
          <w:rFonts w:ascii="Times New Roman" w:eastAsia="Calibri" w:hAnsi="Times New Roman" w:cs="Times New Roman"/>
          <w:sz w:val="24"/>
          <w:szCs w:val="24"/>
        </w:rPr>
        <w:t xml:space="preserve">The rule is that, ordinarily, costs follow the cause. I am not convinced by respondent’s counsel’s push for costs on the higher scale on the argument that the applicant was not acting in good faith. The awarding of costs at a higher scale is reserved for the egregiously bad cases and will not be lightly resorted to. As MUSHORE J put in the case of </w:t>
      </w:r>
      <w:proofErr w:type="spellStart"/>
      <w:r w:rsidRPr="005F29EE">
        <w:rPr>
          <w:rFonts w:ascii="Times New Roman" w:eastAsia="Calibri" w:hAnsi="Times New Roman" w:cs="Times New Roman"/>
          <w:i/>
          <w:sz w:val="24"/>
          <w:szCs w:val="24"/>
        </w:rPr>
        <w:t>Crief</w:t>
      </w:r>
      <w:proofErr w:type="spellEnd"/>
      <w:r w:rsidRPr="005F29EE">
        <w:rPr>
          <w:rFonts w:ascii="Times New Roman" w:eastAsia="Calibri" w:hAnsi="Times New Roman" w:cs="Times New Roman"/>
          <w:i/>
          <w:sz w:val="24"/>
          <w:szCs w:val="24"/>
        </w:rPr>
        <w:t xml:space="preserve"> Investments (Pvt) Ltd &amp; Anor </w:t>
      </w:r>
      <w:r w:rsidRPr="005F29EE">
        <w:rPr>
          <w:rFonts w:ascii="Times New Roman" w:eastAsia="Calibri" w:hAnsi="Times New Roman" w:cs="Times New Roman"/>
          <w:sz w:val="24"/>
          <w:szCs w:val="24"/>
        </w:rPr>
        <w:t xml:space="preserve">v </w:t>
      </w:r>
      <w:r w:rsidRPr="005F29EE">
        <w:rPr>
          <w:rFonts w:ascii="Times New Roman" w:eastAsia="Calibri" w:hAnsi="Times New Roman" w:cs="Times New Roman"/>
          <w:i/>
          <w:sz w:val="24"/>
          <w:szCs w:val="24"/>
        </w:rPr>
        <w:t xml:space="preserve">Grand Home Centre (Pvt) Ltd &amp; 4 Ors </w:t>
      </w:r>
      <w:r w:rsidRPr="005F29EE">
        <w:rPr>
          <w:rFonts w:ascii="Times New Roman" w:eastAsia="Calibri" w:hAnsi="Times New Roman" w:cs="Times New Roman"/>
          <w:sz w:val="24"/>
          <w:szCs w:val="24"/>
        </w:rPr>
        <w:t>HH12-18, such costs are awarded “</w:t>
      </w:r>
      <w:r w:rsidRPr="005F29EE">
        <w:rPr>
          <w:rFonts w:ascii="Times New Roman" w:eastAsia="Calibri" w:hAnsi="Times New Roman" w:cs="Times New Roman"/>
          <w:sz w:val="20"/>
          <w:szCs w:val="20"/>
        </w:rPr>
        <w:t xml:space="preserve">where the degree of irregularities, bad behaviour and vexatious proceedings” necessitate their grant and not merely because the winning party requested for them. The threat of costs must never be used to scare litigants, who genuinely believe in their causes, from seeking justice. </w:t>
      </w:r>
      <w:r w:rsidRPr="005F29EE">
        <w:rPr>
          <w:rFonts w:ascii="Times New Roman" w:eastAsia="Calibri" w:hAnsi="Times New Roman" w:cs="Times New Roman"/>
          <w:sz w:val="24"/>
          <w:szCs w:val="24"/>
        </w:rPr>
        <w:t xml:space="preserve">The conduct of the applicant in this case does not approximate the threshold of the disingenuously filed claims. For that reason, I decline the respondent’s request for costs on a punitive scale. </w:t>
      </w:r>
    </w:p>
    <w:p w14:paraId="4FA07216" w14:textId="77777777" w:rsidR="005F29EE" w:rsidRPr="005F29EE" w:rsidRDefault="005F29EE" w:rsidP="006514D3">
      <w:pPr>
        <w:numPr>
          <w:ilvl w:val="0"/>
          <w:numId w:val="2"/>
        </w:numPr>
        <w:spacing w:before="0" w:beforeAutospacing="0" w:after="160" w:afterAutospacing="0"/>
        <w:ind w:right="0"/>
        <w:contextualSpacing/>
        <w:jc w:val="both"/>
        <w:rPr>
          <w:rFonts w:ascii="Times New Roman" w:eastAsia="Times New Roman" w:hAnsi="Times New Roman" w:cs="Times New Roman"/>
          <w:sz w:val="20"/>
          <w:szCs w:val="20"/>
        </w:rPr>
      </w:pPr>
      <w:r w:rsidRPr="005F29EE">
        <w:rPr>
          <w:rFonts w:ascii="Times New Roman" w:eastAsia="Calibri" w:hAnsi="Times New Roman" w:cs="Times New Roman"/>
          <w:sz w:val="24"/>
          <w:szCs w:val="24"/>
        </w:rPr>
        <w:t>But as already said, the applicant’s claim cannot succeed. Accordingly, I order as follows:</w:t>
      </w:r>
    </w:p>
    <w:p w14:paraId="59458737" w14:textId="77777777" w:rsidR="005F29EE" w:rsidRPr="005F29EE" w:rsidRDefault="005F29EE" w:rsidP="005F29EE">
      <w:pPr>
        <w:spacing w:before="0" w:beforeAutospacing="0" w:after="160" w:afterAutospacing="0"/>
        <w:ind w:left="1440" w:right="0"/>
        <w:contextualSpacing/>
        <w:jc w:val="both"/>
        <w:rPr>
          <w:rFonts w:ascii="Times New Roman" w:eastAsia="Calibri" w:hAnsi="Times New Roman" w:cs="Times New Roman"/>
          <w:b/>
          <w:bCs/>
          <w:iCs/>
          <w:sz w:val="24"/>
          <w:szCs w:val="24"/>
        </w:rPr>
      </w:pPr>
      <w:r w:rsidRPr="005F29EE">
        <w:rPr>
          <w:rFonts w:ascii="Times New Roman" w:eastAsia="Calibri" w:hAnsi="Times New Roman" w:cs="Times New Roman"/>
          <w:b/>
          <w:bCs/>
          <w:iCs/>
          <w:sz w:val="24"/>
          <w:szCs w:val="24"/>
        </w:rPr>
        <w:t>1. The application for summary judgment be and is hereby dismissed.</w:t>
      </w:r>
    </w:p>
    <w:p w14:paraId="5B611EEC" w14:textId="77777777" w:rsidR="005F29EE" w:rsidRPr="005F29EE" w:rsidRDefault="005F29EE" w:rsidP="005F29EE">
      <w:pPr>
        <w:spacing w:before="0" w:beforeAutospacing="0" w:after="160" w:afterAutospacing="0"/>
        <w:ind w:left="1440" w:right="0"/>
        <w:contextualSpacing/>
        <w:jc w:val="both"/>
        <w:rPr>
          <w:rFonts w:ascii="Times New Roman" w:eastAsia="Calibri" w:hAnsi="Times New Roman" w:cs="Times New Roman"/>
          <w:b/>
          <w:bCs/>
          <w:iCs/>
          <w:sz w:val="24"/>
          <w:szCs w:val="24"/>
        </w:rPr>
      </w:pPr>
      <w:r w:rsidRPr="005F29EE">
        <w:rPr>
          <w:rFonts w:ascii="Times New Roman" w:eastAsia="Calibri" w:hAnsi="Times New Roman" w:cs="Times New Roman"/>
          <w:b/>
          <w:bCs/>
          <w:iCs/>
          <w:sz w:val="24"/>
          <w:szCs w:val="24"/>
        </w:rPr>
        <w:t>2. The applicant shall bear the respondent’s costs of suit.</w:t>
      </w:r>
    </w:p>
    <w:p w14:paraId="37EC2AB0" w14:textId="77777777" w:rsidR="005F29EE" w:rsidRPr="005F29EE" w:rsidRDefault="005F29EE" w:rsidP="005F29EE">
      <w:pPr>
        <w:spacing w:before="0" w:beforeAutospacing="0" w:after="160" w:afterAutospacing="0"/>
        <w:ind w:left="1440" w:right="0"/>
        <w:contextualSpacing/>
        <w:jc w:val="both"/>
        <w:rPr>
          <w:rFonts w:ascii="Times New Roman" w:eastAsia="Calibri" w:hAnsi="Times New Roman" w:cs="Times New Roman"/>
          <w:b/>
          <w:bCs/>
          <w:iCs/>
          <w:sz w:val="24"/>
          <w:szCs w:val="24"/>
        </w:rPr>
      </w:pPr>
    </w:p>
    <w:p w14:paraId="61DCAF28" w14:textId="77777777" w:rsidR="005F29EE" w:rsidRPr="005F29EE" w:rsidRDefault="005F29EE" w:rsidP="005F29EE">
      <w:pPr>
        <w:spacing w:before="0" w:beforeAutospacing="0" w:after="160" w:afterAutospacing="0"/>
        <w:ind w:right="0"/>
        <w:contextualSpacing/>
        <w:jc w:val="both"/>
        <w:rPr>
          <w:rFonts w:ascii="Times New Roman" w:eastAsia="Calibri" w:hAnsi="Times New Roman" w:cs="Times New Roman"/>
          <w:b/>
          <w:bCs/>
          <w:iCs/>
          <w:sz w:val="24"/>
          <w:szCs w:val="24"/>
        </w:rPr>
      </w:pPr>
    </w:p>
    <w:p w14:paraId="6A387AF4" w14:textId="77777777" w:rsidR="005F29EE" w:rsidRPr="005F29EE" w:rsidRDefault="005F29EE" w:rsidP="005F29EE">
      <w:pPr>
        <w:spacing w:before="0" w:beforeAutospacing="0" w:after="160" w:afterAutospacing="0"/>
        <w:ind w:right="0"/>
        <w:contextualSpacing/>
        <w:jc w:val="both"/>
        <w:rPr>
          <w:rFonts w:ascii="Times New Roman" w:eastAsia="Calibri" w:hAnsi="Times New Roman" w:cs="Times New Roman"/>
          <w:b/>
          <w:bCs/>
          <w:iCs/>
          <w:sz w:val="24"/>
          <w:szCs w:val="24"/>
        </w:rPr>
      </w:pPr>
      <w:r w:rsidRPr="005F29EE">
        <w:rPr>
          <w:rFonts w:ascii="Times New Roman" w:eastAsia="Calibri" w:hAnsi="Times New Roman" w:cs="Times New Roman"/>
          <w:b/>
          <w:bCs/>
          <w:iCs/>
          <w:sz w:val="24"/>
          <w:szCs w:val="24"/>
        </w:rPr>
        <w:t>MUTEVEDZI J…………………………………….</w:t>
      </w:r>
    </w:p>
    <w:p w14:paraId="13D1D249" w14:textId="77777777" w:rsidR="005F29EE" w:rsidRPr="005F29EE" w:rsidRDefault="005F29EE" w:rsidP="005F29EE">
      <w:pPr>
        <w:spacing w:before="0" w:beforeAutospacing="0" w:after="160" w:afterAutospacing="0"/>
        <w:ind w:right="0"/>
        <w:contextualSpacing/>
        <w:jc w:val="both"/>
        <w:rPr>
          <w:rFonts w:ascii="Times New Roman" w:eastAsia="Calibri" w:hAnsi="Times New Roman" w:cs="Times New Roman"/>
          <w:bCs/>
          <w:iCs/>
          <w:sz w:val="24"/>
          <w:szCs w:val="24"/>
        </w:rPr>
      </w:pPr>
      <w:r w:rsidRPr="005F29EE">
        <w:rPr>
          <w:rFonts w:ascii="Times New Roman" w:eastAsia="Calibri" w:hAnsi="Times New Roman" w:cs="Times New Roman"/>
          <w:bCs/>
          <w:i/>
          <w:iCs/>
          <w:sz w:val="24"/>
          <w:szCs w:val="24"/>
        </w:rPr>
        <w:t xml:space="preserve">Moyo &amp; Nyoni Legal Practitioners, </w:t>
      </w:r>
      <w:r w:rsidRPr="005F29EE">
        <w:rPr>
          <w:rFonts w:ascii="Times New Roman" w:eastAsia="Calibri" w:hAnsi="Times New Roman" w:cs="Times New Roman"/>
          <w:bCs/>
          <w:iCs/>
          <w:sz w:val="24"/>
          <w:szCs w:val="24"/>
        </w:rPr>
        <w:t>for the applicant</w:t>
      </w:r>
    </w:p>
    <w:p w14:paraId="737D06B8" w14:textId="77777777" w:rsidR="005F29EE" w:rsidRPr="005F29EE" w:rsidRDefault="005F29EE" w:rsidP="005F29EE">
      <w:pPr>
        <w:spacing w:before="0" w:beforeAutospacing="0" w:after="160" w:afterAutospacing="0"/>
        <w:ind w:right="0"/>
        <w:contextualSpacing/>
        <w:jc w:val="both"/>
        <w:rPr>
          <w:rFonts w:ascii="Times New Roman" w:eastAsia="Calibri" w:hAnsi="Times New Roman" w:cs="Times New Roman"/>
          <w:bCs/>
          <w:iCs/>
          <w:sz w:val="24"/>
          <w:szCs w:val="24"/>
        </w:rPr>
      </w:pPr>
      <w:r w:rsidRPr="005F29EE">
        <w:rPr>
          <w:rFonts w:ascii="Times New Roman" w:eastAsia="Calibri" w:hAnsi="Times New Roman" w:cs="Times New Roman"/>
          <w:bCs/>
          <w:i/>
          <w:iCs/>
          <w:sz w:val="24"/>
          <w:szCs w:val="24"/>
        </w:rPr>
        <w:t xml:space="preserve">Chimuka Mafunga Commercial Attorneys, </w:t>
      </w:r>
      <w:r w:rsidRPr="005F29EE">
        <w:rPr>
          <w:rFonts w:ascii="Times New Roman" w:eastAsia="Calibri" w:hAnsi="Times New Roman" w:cs="Times New Roman"/>
          <w:bCs/>
          <w:iCs/>
          <w:sz w:val="24"/>
          <w:szCs w:val="24"/>
        </w:rPr>
        <w:t>for the respondent</w:t>
      </w:r>
    </w:p>
    <w:sectPr w:rsidR="005F29EE" w:rsidRPr="005F29EE">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CE56C8C" w14:textId="77777777" w:rsidR="004603D8" w:rsidRDefault="004603D8" w:rsidP="005F29EE">
      <w:pPr>
        <w:spacing w:before="0" w:after="0" w:line="240" w:lineRule="auto"/>
      </w:pPr>
      <w:r>
        <w:separator/>
      </w:r>
    </w:p>
  </w:endnote>
  <w:endnote w:type="continuationSeparator" w:id="0">
    <w:p w14:paraId="2F5A6520" w14:textId="77777777" w:rsidR="004603D8" w:rsidRDefault="004603D8" w:rsidP="005F29E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9E0BFBC" w14:textId="77777777" w:rsidR="004603D8" w:rsidRDefault="004603D8" w:rsidP="005F29EE">
      <w:pPr>
        <w:spacing w:before="0" w:after="0" w:line="240" w:lineRule="auto"/>
      </w:pPr>
      <w:r>
        <w:separator/>
      </w:r>
    </w:p>
  </w:footnote>
  <w:footnote w:type="continuationSeparator" w:id="0">
    <w:p w14:paraId="4B87C13A" w14:textId="77777777" w:rsidR="004603D8" w:rsidRDefault="004603D8" w:rsidP="005F29EE">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Calibri" w:eastAsia="Calibri" w:hAnsi="Calibri" w:cs="Times New Roman"/>
        <w:sz w:val="24"/>
        <w:szCs w:val="24"/>
      </w:rPr>
      <w:id w:val="-1432892164"/>
      <w:docPartObj>
        <w:docPartGallery w:val="Page Numbers (Top of Page)"/>
        <w:docPartUnique/>
      </w:docPartObj>
    </w:sdtPr>
    <w:sdtEndPr>
      <w:rPr>
        <w:rFonts w:ascii="Times New Roman" w:hAnsi="Times New Roman"/>
        <w:noProof/>
      </w:rPr>
    </w:sdtEndPr>
    <w:sdtContent>
      <w:p w14:paraId="68597742" w14:textId="77777777" w:rsidR="005F29EE" w:rsidRPr="006514D3" w:rsidRDefault="005F29EE" w:rsidP="005F29EE">
        <w:pPr>
          <w:tabs>
            <w:tab w:val="center" w:pos="4680"/>
            <w:tab w:val="right" w:pos="9360"/>
          </w:tabs>
          <w:spacing w:before="0" w:beforeAutospacing="0" w:after="0" w:afterAutospacing="0" w:line="240" w:lineRule="auto"/>
          <w:ind w:left="0" w:right="0"/>
          <w:jc w:val="right"/>
          <w:rPr>
            <w:rFonts w:ascii="Times New Roman" w:eastAsia="Calibri" w:hAnsi="Times New Roman" w:cs="Times New Roman"/>
            <w:noProof/>
            <w:sz w:val="24"/>
            <w:szCs w:val="24"/>
          </w:rPr>
        </w:pPr>
        <w:r w:rsidRPr="006514D3">
          <w:rPr>
            <w:rFonts w:ascii="Times New Roman" w:eastAsia="Calibri" w:hAnsi="Times New Roman" w:cs="Times New Roman"/>
            <w:sz w:val="24"/>
            <w:szCs w:val="24"/>
          </w:rPr>
          <w:fldChar w:fldCharType="begin"/>
        </w:r>
        <w:r w:rsidRPr="006514D3">
          <w:rPr>
            <w:rFonts w:ascii="Times New Roman" w:eastAsia="Calibri" w:hAnsi="Times New Roman" w:cs="Times New Roman"/>
            <w:sz w:val="24"/>
            <w:szCs w:val="24"/>
          </w:rPr>
          <w:instrText xml:space="preserve"> PAGE   \* MERGEFORMAT </w:instrText>
        </w:r>
        <w:r w:rsidRPr="006514D3">
          <w:rPr>
            <w:rFonts w:ascii="Times New Roman" w:eastAsia="Calibri" w:hAnsi="Times New Roman" w:cs="Times New Roman"/>
            <w:sz w:val="24"/>
            <w:szCs w:val="24"/>
          </w:rPr>
          <w:fldChar w:fldCharType="separate"/>
        </w:r>
        <w:r w:rsidR="00DB6402">
          <w:rPr>
            <w:rFonts w:ascii="Times New Roman" w:eastAsia="Calibri" w:hAnsi="Times New Roman" w:cs="Times New Roman"/>
            <w:noProof/>
            <w:sz w:val="24"/>
            <w:szCs w:val="24"/>
          </w:rPr>
          <w:t>10</w:t>
        </w:r>
        <w:r w:rsidRPr="006514D3">
          <w:rPr>
            <w:rFonts w:ascii="Times New Roman" w:eastAsia="Calibri" w:hAnsi="Times New Roman" w:cs="Times New Roman"/>
            <w:noProof/>
            <w:sz w:val="24"/>
            <w:szCs w:val="24"/>
          </w:rPr>
          <w:fldChar w:fldCharType="end"/>
        </w:r>
      </w:p>
      <w:p w14:paraId="4B410EFE" w14:textId="0CECF4B3" w:rsidR="005F29EE" w:rsidRPr="006514D3" w:rsidRDefault="006514D3" w:rsidP="005F29EE">
        <w:pPr>
          <w:tabs>
            <w:tab w:val="center" w:pos="4680"/>
            <w:tab w:val="right" w:pos="9360"/>
          </w:tabs>
          <w:spacing w:before="0" w:beforeAutospacing="0" w:after="0" w:afterAutospacing="0" w:line="240" w:lineRule="auto"/>
          <w:ind w:left="0" w:right="0"/>
          <w:jc w:val="right"/>
          <w:rPr>
            <w:rFonts w:ascii="Times New Roman" w:eastAsia="Calibri" w:hAnsi="Times New Roman" w:cs="Times New Roman"/>
            <w:sz w:val="24"/>
            <w:szCs w:val="24"/>
          </w:rPr>
        </w:pPr>
        <w:r w:rsidRPr="006514D3">
          <w:rPr>
            <w:rFonts w:ascii="Times New Roman" w:eastAsia="Calibri" w:hAnsi="Times New Roman" w:cs="Times New Roman"/>
            <w:sz w:val="24"/>
            <w:szCs w:val="24"/>
          </w:rPr>
          <w:t>HB 106</w:t>
        </w:r>
        <w:r w:rsidR="005F29EE" w:rsidRPr="006514D3">
          <w:rPr>
            <w:rFonts w:ascii="Times New Roman" w:eastAsia="Calibri" w:hAnsi="Times New Roman" w:cs="Times New Roman"/>
            <w:sz w:val="24"/>
            <w:szCs w:val="24"/>
          </w:rPr>
          <w:t>/26</w:t>
        </w:r>
      </w:p>
      <w:p w14:paraId="19E91552" w14:textId="77777777" w:rsidR="005F29EE" w:rsidRPr="006514D3" w:rsidRDefault="005F29EE" w:rsidP="005F29EE">
        <w:pPr>
          <w:tabs>
            <w:tab w:val="center" w:pos="4680"/>
            <w:tab w:val="right" w:pos="9360"/>
          </w:tabs>
          <w:spacing w:before="0" w:beforeAutospacing="0" w:after="0" w:afterAutospacing="0" w:line="240" w:lineRule="auto"/>
          <w:ind w:left="0" w:right="0"/>
          <w:jc w:val="right"/>
          <w:rPr>
            <w:rFonts w:ascii="Times New Roman" w:eastAsia="Calibri" w:hAnsi="Times New Roman" w:cs="Times New Roman"/>
            <w:noProof/>
            <w:sz w:val="24"/>
            <w:szCs w:val="24"/>
          </w:rPr>
        </w:pPr>
        <w:r w:rsidRPr="006514D3">
          <w:rPr>
            <w:rFonts w:ascii="Times New Roman" w:eastAsia="Calibri" w:hAnsi="Times New Roman" w:cs="Times New Roman"/>
            <w:sz w:val="24"/>
            <w:szCs w:val="24"/>
          </w:rPr>
          <w:t>HCBC1360/25</w:t>
        </w:r>
      </w:p>
    </w:sdtContent>
  </w:sdt>
  <w:p w14:paraId="22E67692" w14:textId="77777777" w:rsidR="005F29EE" w:rsidRPr="006514D3" w:rsidRDefault="005F29EE" w:rsidP="005F29E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9C50B20"/>
    <w:multiLevelType w:val="hybridMultilevel"/>
    <w:tmpl w:val="CE541F7A"/>
    <w:lvl w:ilvl="0" w:tplc="762AAAEC">
      <w:start w:val="1"/>
      <w:numFmt w:val="decimal"/>
      <w:lvlText w:val="[%1]"/>
      <w:lvlJc w:val="left"/>
      <w:pPr>
        <w:ind w:left="720" w:hanging="360"/>
      </w:pPr>
      <w:rPr>
        <w:rFonts w:hint="default"/>
        <w:b w:val="0"/>
        <w:i w:val="0"/>
        <w:sz w:val="24"/>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15:restartNumberingAfterBreak="0">
    <w:nsid w:val="6F671D2C"/>
    <w:multiLevelType w:val="hybridMultilevel"/>
    <w:tmpl w:val="C108DFC4"/>
    <w:lvl w:ilvl="0" w:tplc="3009000F">
      <w:start w:val="1"/>
      <w:numFmt w:val="decimal"/>
      <w:lvlText w:val="%1."/>
      <w:lvlJc w:val="left"/>
      <w:pPr>
        <w:ind w:left="720" w:hanging="360"/>
      </w:pPr>
    </w:lvl>
    <w:lvl w:ilvl="1" w:tplc="30090019">
      <w:start w:val="1"/>
      <w:numFmt w:val="lowerLetter"/>
      <w:lvlText w:val="%2."/>
      <w:lvlJc w:val="left"/>
      <w:pPr>
        <w:ind w:left="1440" w:hanging="360"/>
      </w:pPr>
    </w:lvl>
    <w:lvl w:ilvl="2" w:tplc="3009001B">
      <w:start w:val="1"/>
      <w:numFmt w:val="lowerRoman"/>
      <w:lvlText w:val="%3."/>
      <w:lvlJc w:val="right"/>
      <w:pPr>
        <w:ind w:left="2160" w:hanging="180"/>
      </w:pPr>
    </w:lvl>
    <w:lvl w:ilvl="3" w:tplc="3009000F">
      <w:start w:val="1"/>
      <w:numFmt w:val="decimal"/>
      <w:lvlText w:val="%4."/>
      <w:lvlJc w:val="left"/>
      <w:pPr>
        <w:ind w:left="2880" w:hanging="360"/>
      </w:pPr>
    </w:lvl>
    <w:lvl w:ilvl="4" w:tplc="30090019">
      <w:start w:val="1"/>
      <w:numFmt w:val="lowerLetter"/>
      <w:lvlText w:val="%5."/>
      <w:lvlJc w:val="left"/>
      <w:pPr>
        <w:ind w:left="3600" w:hanging="360"/>
      </w:pPr>
    </w:lvl>
    <w:lvl w:ilvl="5" w:tplc="3009001B">
      <w:start w:val="1"/>
      <w:numFmt w:val="lowerRoman"/>
      <w:lvlText w:val="%6."/>
      <w:lvlJc w:val="right"/>
      <w:pPr>
        <w:ind w:left="4140" w:hanging="180"/>
      </w:pPr>
    </w:lvl>
    <w:lvl w:ilvl="6" w:tplc="3009000F">
      <w:start w:val="1"/>
      <w:numFmt w:val="decimal"/>
      <w:lvlText w:val="%7."/>
      <w:lvlJc w:val="left"/>
      <w:pPr>
        <w:ind w:left="5040" w:hanging="360"/>
      </w:pPr>
    </w:lvl>
    <w:lvl w:ilvl="7" w:tplc="30090019">
      <w:start w:val="1"/>
      <w:numFmt w:val="lowerLetter"/>
      <w:lvlText w:val="%8."/>
      <w:lvlJc w:val="left"/>
      <w:pPr>
        <w:ind w:left="5760" w:hanging="360"/>
      </w:pPr>
    </w:lvl>
    <w:lvl w:ilvl="8" w:tplc="3009001B">
      <w:start w:val="1"/>
      <w:numFmt w:val="lowerRoman"/>
      <w:lvlText w:val="%9."/>
      <w:lvlJc w:val="right"/>
      <w:pPr>
        <w:ind w:left="648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29EE"/>
    <w:rsid w:val="00094F8F"/>
    <w:rsid w:val="00116FA3"/>
    <w:rsid w:val="00145FB6"/>
    <w:rsid w:val="00163D03"/>
    <w:rsid w:val="00333A0A"/>
    <w:rsid w:val="003B5CED"/>
    <w:rsid w:val="004603D8"/>
    <w:rsid w:val="005F29EE"/>
    <w:rsid w:val="006514D3"/>
    <w:rsid w:val="006D3188"/>
    <w:rsid w:val="00A0448B"/>
    <w:rsid w:val="00AB21BC"/>
    <w:rsid w:val="00B12B42"/>
    <w:rsid w:val="00BA09B6"/>
    <w:rsid w:val="00BD0A90"/>
    <w:rsid w:val="00BF0E12"/>
    <w:rsid w:val="00C1261E"/>
    <w:rsid w:val="00DB6402"/>
    <w:rsid w:val="00DE543E"/>
    <w:rsid w:val="00E22550"/>
    <w:rsid w:val="00EC6D15"/>
    <w:rsid w:val="00F56FC8"/>
  </w:rsids>
  <m:mathPr>
    <m:mathFont m:val="Cambria Math"/>
    <m:brkBin m:val="before"/>
    <m:brkBinSub m:val="--"/>
    <m:smallFrac m:val="0"/>
    <m:dispDef/>
    <m:lMargin m:val="0"/>
    <m:rMargin m:val="0"/>
    <m:defJc m:val="centerGroup"/>
    <m:wrapIndent m:val="1440"/>
    <m:intLim m:val="subSup"/>
    <m:naryLim m:val="undOvr"/>
  </m:mathPr>
  <w:themeFontLang w:val="en-ZW"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7A855"/>
  <w15:chartTrackingRefBased/>
  <w15:docId w15:val="{0706F3A6-6F17-49C1-AA17-4769B63DD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before="100" w:beforeAutospacing="1" w:after="100" w:afterAutospacing="1" w:line="360" w:lineRule="auto"/>
        <w:ind w:left="720" w:right="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F29E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F29E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F29E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F29E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F29E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F29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9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9EE"/>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9EE"/>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9E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F29E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F29E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F29E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F29E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F29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29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9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29EE"/>
    <w:rPr>
      <w:rFonts w:eastAsiaTheme="majorEastAsia" w:cstheme="majorBidi"/>
      <w:color w:val="272727" w:themeColor="text1" w:themeTint="D8"/>
    </w:rPr>
  </w:style>
  <w:style w:type="paragraph" w:styleId="Title">
    <w:name w:val="Title"/>
    <w:basedOn w:val="Normal"/>
    <w:next w:val="Normal"/>
    <w:link w:val="TitleChar"/>
    <w:uiPriority w:val="10"/>
    <w:qFormat/>
    <w:rsid w:val="005F29EE"/>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9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9EE"/>
    <w:pPr>
      <w:numPr>
        <w:ilvl w:val="1"/>
      </w:numPr>
      <w:spacing w:after="160"/>
      <w:ind w:left="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9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29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F29EE"/>
    <w:rPr>
      <w:i/>
      <w:iCs/>
      <w:color w:val="404040" w:themeColor="text1" w:themeTint="BF"/>
    </w:rPr>
  </w:style>
  <w:style w:type="paragraph" w:styleId="ListParagraph">
    <w:name w:val="List Paragraph"/>
    <w:basedOn w:val="Normal"/>
    <w:uiPriority w:val="34"/>
    <w:qFormat/>
    <w:rsid w:val="005F29EE"/>
    <w:pPr>
      <w:contextualSpacing/>
    </w:pPr>
  </w:style>
  <w:style w:type="character" w:styleId="IntenseEmphasis">
    <w:name w:val="Intense Emphasis"/>
    <w:basedOn w:val="DefaultParagraphFont"/>
    <w:uiPriority w:val="21"/>
    <w:qFormat/>
    <w:rsid w:val="005F29EE"/>
    <w:rPr>
      <w:i/>
      <w:iCs/>
      <w:color w:val="2E74B5" w:themeColor="accent1" w:themeShade="BF"/>
    </w:rPr>
  </w:style>
  <w:style w:type="paragraph" w:styleId="IntenseQuote">
    <w:name w:val="Intense Quote"/>
    <w:basedOn w:val="Normal"/>
    <w:next w:val="Normal"/>
    <w:link w:val="IntenseQuoteChar"/>
    <w:uiPriority w:val="30"/>
    <w:qFormat/>
    <w:rsid w:val="005F29E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F29EE"/>
    <w:rPr>
      <w:i/>
      <w:iCs/>
      <w:color w:val="2E74B5" w:themeColor="accent1" w:themeShade="BF"/>
    </w:rPr>
  </w:style>
  <w:style w:type="character" w:styleId="IntenseReference">
    <w:name w:val="Intense Reference"/>
    <w:basedOn w:val="DefaultParagraphFont"/>
    <w:uiPriority w:val="32"/>
    <w:qFormat/>
    <w:rsid w:val="005F29EE"/>
    <w:rPr>
      <w:b/>
      <w:bCs/>
      <w:smallCaps/>
      <w:color w:val="2E74B5" w:themeColor="accent1" w:themeShade="BF"/>
      <w:spacing w:val="5"/>
    </w:rPr>
  </w:style>
  <w:style w:type="paragraph" w:styleId="Header">
    <w:name w:val="header"/>
    <w:basedOn w:val="Normal"/>
    <w:link w:val="HeaderChar"/>
    <w:uiPriority w:val="99"/>
    <w:unhideWhenUsed/>
    <w:rsid w:val="005F29EE"/>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5F29EE"/>
  </w:style>
  <w:style w:type="paragraph" w:styleId="Footer">
    <w:name w:val="footer"/>
    <w:basedOn w:val="Normal"/>
    <w:link w:val="FooterChar"/>
    <w:uiPriority w:val="99"/>
    <w:unhideWhenUsed/>
    <w:rsid w:val="005F29EE"/>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5F29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3168</Words>
  <Characters>18063</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Pamela Chiguvare</dc:creator>
  <cp:keywords/>
  <dc:description/>
  <cp:lastModifiedBy>USR</cp:lastModifiedBy>
  <cp:revision>5</cp:revision>
  <dcterms:created xsi:type="dcterms:W3CDTF">2026-07-29T06:56:00Z</dcterms:created>
  <dcterms:modified xsi:type="dcterms:W3CDTF">2026-07-29T09:06:00Z</dcterms:modified>
</cp:coreProperties>
</file>