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769" w:rsidRDefault="00BA2F75" w:rsidP="00251769">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CAPEVALLEY PROPERTIES </w:t>
      </w:r>
      <w:r w:rsidR="00687FD3">
        <w:rPr>
          <w:rFonts w:ascii="Times New Roman" w:hAnsi="Times New Roman" w:cs="Times New Roman"/>
          <w:sz w:val="24"/>
          <w:szCs w:val="24"/>
        </w:rPr>
        <w:t>(PVT) LTD</w:t>
      </w:r>
    </w:p>
    <w:p w:rsidR="0007240F" w:rsidRDefault="0007240F" w:rsidP="00251769">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rsidR="00251769" w:rsidRDefault="00BA2F75" w:rsidP="00251769">
      <w:pPr>
        <w:pStyle w:val="NoSpacing"/>
        <w:jc w:val="both"/>
        <w:rPr>
          <w:rFonts w:ascii="Times New Roman" w:hAnsi="Times New Roman" w:cs="Times New Roman"/>
          <w:sz w:val="24"/>
          <w:szCs w:val="24"/>
        </w:rPr>
      </w:pPr>
      <w:r>
        <w:rPr>
          <w:rFonts w:ascii="Times New Roman" w:hAnsi="Times New Roman" w:cs="Times New Roman"/>
          <w:sz w:val="24"/>
          <w:szCs w:val="24"/>
        </w:rPr>
        <w:t>ESTATE AGENTS COUNCIL OF ZIMBABWE</w:t>
      </w:r>
    </w:p>
    <w:p w:rsidR="00BA2F75" w:rsidRDefault="00BA2F75" w:rsidP="00BA2F75">
      <w:pPr>
        <w:pStyle w:val="NoSpacing"/>
        <w:jc w:val="both"/>
        <w:rPr>
          <w:rFonts w:ascii="Times New Roman" w:hAnsi="Times New Roman" w:cs="Times New Roman"/>
          <w:sz w:val="24"/>
          <w:szCs w:val="24"/>
        </w:rPr>
      </w:pPr>
    </w:p>
    <w:p w:rsidR="00BA2F75" w:rsidRDefault="00BA2F75" w:rsidP="00BA2F75">
      <w:pPr>
        <w:pStyle w:val="NoSpacing"/>
        <w:jc w:val="both"/>
        <w:rPr>
          <w:rFonts w:ascii="Times New Roman" w:hAnsi="Times New Roman" w:cs="Times New Roman"/>
          <w:sz w:val="24"/>
          <w:szCs w:val="24"/>
        </w:rPr>
      </w:pPr>
    </w:p>
    <w:p w:rsidR="00251769" w:rsidRDefault="00251769" w:rsidP="00251769">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rsidR="00251769" w:rsidRPr="00251769" w:rsidRDefault="00251769" w:rsidP="00251769">
      <w:pPr>
        <w:pStyle w:val="NoSpacing"/>
        <w:jc w:val="both"/>
        <w:rPr>
          <w:rFonts w:ascii="Times New Roman" w:hAnsi="Times New Roman" w:cs="Times New Roman"/>
          <w:b/>
          <w:sz w:val="24"/>
          <w:szCs w:val="24"/>
        </w:rPr>
      </w:pPr>
      <w:r w:rsidRPr="00251769">
        <w:rPr>
          <w:rFonts w:ascii="Times New Roman" w:hAnsi="Times New Roman" w:cs="Times New Roman"/>
          <w:b/>
          <w:sz w:val="24"/>
          <w:szCs w:val="24"/>
        </w:rPr>
        <w:t>TAKUVA J</w:t>
      </w:r>
    </w:p>
    <w:p w:rsidR="00251769" w:rsidRDefault="00BA2F75" w:rsidP="00251769">
      <w:pPr>
        <w:pStyle w:val="NoSpacing"/>
        <w:jc w:val="both"/>
        <w:rPr>
          <w:rFonts w:ascii="Times New Roman" w:hAnsi="Times New Roman" w:cs="Times New Roman"/>
          <w:sz w:val="24"/>
          <w:szCs w:val="24"/>
        </w:rPr>
      </w:pPr>
      <w:r>
        <w:rPr>
          <w:rFonts w:ascii="Times New Roman" w:hAnsi="Times New Roman" w:cs="Times New Roman"/>
          <w:sz w:val="24"/>
          <w:szCs w:val="24"/>
        </w:rPr>
        <w:t>HARARE; 1 July 2024</w:t>
      </w:r>
      <w:r w:rsidR="00704F20">
        <w:rPr>
          <w:rFonts w:ascii="Times New Roman" w:hAnsi="Times New Roman" w:cs="Times New Roman"/>
          <w:sz w:val="24"/>
          <w:szCs w:val="24"/>
        </w:rPr>
        <w:t xml:space="preserve"> &amp; 26</w:t>
      </w:r>
      <w:r w:rsidR="0007240F">
        <w:rPr>
          <w:rFonts w:ascii="Times New Roman" w:hAnsi="Times New Roman" w:cs="Times New Roman"/>
          <w:sz w:val="24"/>
          <w:szCs w:val="24"/>
        </w:rPr>
        <w:t xml:space="preserve"> </w:t>
      </w:r>
      <w:r w:rsidR="00251769">
        <w:rPr>
          <w:rFonts w:ascii="Times New Roman" w:hAnsi="Times New Roman" w:cs="Times New Roman"/>
          <w:sz w:val="24"/>
          <w:szCs w:val="24"/>
        </w:rPr>
        <w:t>February 2025</w:t>
      </w:r>
    </w:p>
    <w:p w:rsidR="00251769" w:rsidRDefault="00251769" w:rsidP="00251769">
      <w:pPr>
        <w:pStyle w:val="NoSpacing"/>
        <w:jc w:val="both"/>
        <w:rPr>
          <w:rFonts w:ascii="Times New Roman" w:hAnsi="Times New Roman" w:cs="Times New Roman"/>
          <w:sz w:val="24"/>
          <w:szCs w:val="24"/>
        </w:rPr>
      </w:pPr>
    </w:p>
    <w:p w:rsidR="00251769" w:rsidRDefault="00251769" w:rsidP="00816A03">
      <w:pPr>
        <w:pStyle w:val="NoSpacing"/>
        <w:jc w:val="both"/>
        <w:rPr>
          <w:rFonts w:ascii="Times New Roman" w:hAnsi="Times New Roman" w:cs="Times New Roman"/>
          <w:sz w:val="24"/>
          <w:szCs w:val="24"/>
        </w:rPr>
      </w:pPr>
    </w:p>
    <w:p w:rsidR="00251769" w:rsidRPr="00251769" w:rsidRDefault="00251769" w:rsidP="00251769">
      <w:pPr>
        <w:pStyle w:val="NoSpacing"/>
        <w:jc w:val="both"/>
        <w:rPr>
          <w:rFonts w:ascii="Times New Roman" w:hAnsi="Times New Roman" w:cs="Times New Roman"/>
          <w:b/>
          <w:i/>
          <w:sz w:val="24"/>
          <w:szCs w:val="24"/>
        </w:rPr>
      </w:pPr>
      <w:r w:rsidRPr="00251769">
        <w:rPr>
          <w:rFonts w:ascii="Times New Roman" w:hAnsi="Times New Roman" w:cs="Times New Roman"/>
          <w:b/>
          <w:i/>
          <w:sz w:val="24"/>
          <w:szCs w:val="24"/>
        </w:rPr>
        <w:t>Court Application</w:t>
      </w:r>
      <w:r w:rsidR="0007240F">
        <w:rPr>
          <w:rFonts w:ascii="Times New Roman" w:hAnsi="Times New Roman" w:cs="Times New Roman"/>
          <w:b/>
          <w:i/>
          <w:sz w:val="24"/>
          <w:szCs w:val="24"/>
        </w:rPr>
        <w:t xml:space="preserve"> F</w:t>
      </w:r>
      <w:r w:rsidR="00BA2F75">
        <w:rPr>
          <w:rFonts w:ascii="Times New Roman" w:hAnsi="Times New Roman" w:cs="Times New Roman"/>
          <w:b/>
          <w:i/>
          <w:sz w:val="24"/>
          <w:szCs w:val="24"/>
        </w:rPr>
        <w:t>or Review</w:t>
      </w:r>
    </w:p>
    <w:p w:rsidR="00251769" w:rsidRDefault="00251769" w:rsidP="00251769">
      <w:pPr>
        <w:pStyle w:val="NoSpacing"/>
        <w:jc w:val="both"/>
        <w:rPr>
          <w:rFonts w:ascii="Times New Roman" w:hAnsi="Times New Roman" w:cs="Times New Roman"/>
          <w:sz w:val="24"/>
          <w:szCs w:val="24"/>
        </w:rPr>
      </w:pPr>
    </w:p>
    <w:p w:rsidR="00251769" w:rsidRDefault="00251769" w:rsidP="00816A03">
      <w:pPr>
        <w:pStyle w:val="NoSpacing"/>
        <w:jc w:val="both"/>
        <w:rPr>
          <w:rFonts w:ascii="Times New Roman" w:hAnsi="Times New Roman" w:cs="Times New Roman"/>
          <w:sz w:val="24"/>
          <w:szCs w:val="24"/>
        </w:rPr>
      </w:pPr>
    </w:p>
    <w:p w:rsidR="00251769" w:rsidRDefault="00EE1DC4" w:rsidP="00251769">
      <w:pPr>
        <w:pStyle w:val="NoSpacing"/>
        <w:jc w:val="both"/>
        <w:rPr>
          <w:rFonts w:ascii="Times New Roman" w:hAnsi="Times New Roman" w:cs="Times New Roman"/>
          <w:sz w:val="24"/>
          <w:szCs w:val="24"/>
        </w:rPr>
      </w:pPr>
      <w:r>
        <w:rPr>
          <w:rFonts w:ascii="Times New Roman" w:hAnsi="Times New Roman" w:cs="Times New Roman"/>
          <w:sz w:val="24"/>
          <w:szCs w:val="24"/>
        </w:rPr>
        <w:t>Mr T.K Hove</w:t>
      </w:r>
      <w:r w:rsidR="00251769">
        <w:rPr>
          <w:rFonts w:ascii="Times New Roman" w:hAnsi="Times New Roman" w:cs="Times New Roman"/>
          <w:sz w:val="24"/>
          <w:szCs w:val="24"/>
        </w:rPr>
        <w:t>, for the applicant</w:t>
      </w:r>
    </w:p>
    <w:p w:rsidR="00251769" w:rsidRDefault="00EE1DC4" w:rsidP="00687FD3">
      <w:pPr>
        <w:pStyle w:val="NoSpacing"/>
        <w:jc w:val="both"/>
        <w:rPr>
          <w:rFonts w:ascii="Times New Roman" w:hAnsi="Times New Roman" w:cs="Times New Roman"/>
          <w:sz w:val="24"/>
          <w:szCs w:val="24"/>
        </w:rPr>
      </w:pPr>
      <w:r>
        <w:rPr>
          <w:rFonts w:ascii="Times New Roman" w:hAnsi="Times New Roman" w:cs="Times New Roman"/>
          <w:sz w:val="24"/>
          <w:szCs w:val="24"/>
        </w:rPr>
        <w:t>Mr S. Hoko</w:t>
      </w:r>
      <w:r w:rsidR="00251769">
        <w:rPr>
          <w:rFonts w:ascii="Times New Roman" w:hAnsi="Times New Roman" w:cs="Times New Roman"/>
          <w:sz w:val="24"/>
          <w:szCs w:val="24"/>
        </w:rPr>
        <w:t>, for the respondents</w:t>
      </w:r>
    </w:p>
    <w:p w:rsidR="00251769" w:rsidRDefault="00251769" w:rsidP="00687FD3">
      <w:pPr>
        <w:pStyle w:val="NoSpacing"/>
        <w:jc w:val="both"/>
        <w:rPr>
          <w:rFonts w:ascii="Times New Roman" w:hAnsi="Times New Roman" w:cs="Times New Roman"/>
          <w:sz w:val="24"/>
          <w:szCs w:val="24"/>
        </w:rPr>
      </w:pPr>
    </w:p>
    <w:p w:rsidR="00687FD3" w:rsidRDefault="00687FD3" w:rsidP="00687FD3">
      <w:pPr>
        <w:pStyle w:val="NoSpacing"/>
        <w:jc w:val="both"/>
        <w:rPr>
          <w:rFonts w:ascii="Times New Roman" w:hAnsi="Times New Roman" w:cs="Times New Roman"/>
          <w:sz w:val="24"/>
          <w:szCs w:val="24"/>
        </w:rPr>
      </w:pPr>
    </w:p>
    <w:p w:rsidR="00251769" w:rsidRDefault="00251769" w:rsidP="00251769">
      <w:pPr>
        <w:pStyle w:val="NoSpacing"/>
        <w:jc w:val="both"/>
        <w:rPr>
          <w:rFonts w:ascii="Times New Roman" w:hAnsi="Times New Roman" w:cs="Times New Roman"/>
          <w:sz w:val="24"/>
          <w:szCs w:val="24"/>
        </w:rPr>
      </w:pPr>
      <w:r>
        <w:rPr>
          <w:rFonts w:ascii="Times New Roman" w:hAnsi="Times New Roman" w:cs="Times New Roman"/>
          <w:sz w:val="24"/>
          <w:szCs w:val="24"/>
        </w:rPr>
        <w:tab/>
        <w:t>TAKUVA J:</w:t>
      </w:r>
    </w:p>
    <w:p w:rsidR="00251769" w:rsidRDefault="00251769" w:rsidP="00251769">
      <w:pPr>
        <w:pStyle w:val="NoSpacing"/>
        <w:jc w:val="both"/>
        <w:rPr>
          <w:rFonts w:ascii="Times New Roman" w:hAnsi="Times New Roman" w:cs="Times New Roman"/>
          <w:sz w:val="24"/>
          <w:szCs w:val="24"/>
        </w:rPr>
      </w:pPr>
    </w:p>
    <w:p w:rsidR="00251769" w:rsidRDefault="00251769" w:rsidP="00816A03">
      <w:pPr>
        <w:pStyle w:val="NoSpacing"/>
        <w:rPr>
          <w:rFonts w:ascii="Times New Roman" w:hAnsi="Times New Roman" w:cs="Times New Roman"/>
          <w:sz w:val="24"/>
          <w:szCs w:val="24"/>
        </w:rPr>
      </w:pPr>
    </w:p>
    <w:p w:rsidR="00BA2F75" w:rsidRDefault="00251769" w:rsidP="00BA2F7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A3D18">
        <w:rPr>
          <w:rFonts w:ascii="Times New Roman" w:hAnsi="Times New Roman" w:cs="Times New Roman"/>
          <w:sz w:val="24"/>
          <w:szCs w:val="24"/>
        </w:rPr>
        <w:t xml:space="preserve">This is an application for review and setting aside of the respondent’s decision to publish applicant’s name as a </w:t>
      </w:r>
      <w:r w:rsidR="00EE1DC4">
        <w:rPr>
          <w:rFonts w:ascii="Times New Roman" w:hAnsi="Times New Roman" w:cs="Times New Roman"/>
          <w:sz w:val="24"/>
          <w:szCs w:val="24"/>
        </w:rPr>
        <w:t>bogus agent. The application</w:t>
      </w:r>
      <w:r w:rsidR="00AA3D18">
        <w:rPr>
          <w:rFonts w:ascii="Times New Roman" w:hAnsi="Times New Roman" w:cs="Times New Roman"/>
          <w:sz w:val="24"/>
          <w:szCs w:val="24"/>
        </w:rPr>
        <w:t xml:space="preserve"> is made in terms of s 4of the Administrative Justice Act [</w:t>
      </w:r>
      <w:r w:rsidR="00AA3D18" w:rsidRPr="000814D9">
        <w:rPr>
          <w:rFonts w:ascii="Times New Roman" w:hAnsi="Times New Roman" w:cs="Times New Roman"/>
          <w:i/>
          <w:sz w:val="24"/>
          <w:szCs w:val="24"/>
        </w:rPr>
        <w:t>Chapter 10:28</w:t>
      </w:r>
      <w:r w:rsidR="00AA3D18">
        <w:rPr>
          <w:rFonts w:ascii="Times New Roman" w:hAnsi="Times New Roman" w:cs="Times New Roman"/>
          <w:sz w:val="24"/>
          <w:szCs w:val="24"/>
        </w:rPr>
        <w:t>] and s 28 of the High Court Act [</w:t>
      </w:r>
      <w:r w:rsidR="00AA3D18" w:rsidRPr="000814D9">
        <w:rPr>
          <w:rFonts w:ascii="Times New Roman" w:hAnsi="Times New Roman" w:cs="Times New Roman"/>
          <w:i/>
          <w:sz w:val="24"/>
          <w:szCs w:val="24"/>
        </w:rPr>
        <w:t>Chapter 7:08</w:t>
      </w:r>
      <w:r w:rsidR="00AA3D18">
        <w:rPr>
          <w:rFonts w:ascii="Times New Roman" w:hAnsi="Times New Roman" w:cs="Times New Roman"/>
          <w:sz w:val="24"/>
          <w:szCs w:val="24"/>
        </w:rPr>
        <w:t>]. It is based on the following grounds;</w:t>
      </w:r>
    </w:p>
    <w:p w:rsidR="00AA3D18" w:rsidRDefault="00AA3D18" w:rsidP="00AA3D18">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Respondent did not comply with the principles of natural justice and failed to act in a fair manner by denying applicant right of audience before making a decision to publish applicant’s name as a bogus estate agent.</w:t>
      </w:r>
    </w:p>
    <w:p w:rsidR="00AA3D18" w:rsidRDefault="00AA3D18" w:rsidP="00AA3D18">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In its failure to uphold the principles of natural justice respondent committed gross irregularity in its decision.</w:t>
      </w:r>
    </w:p>
    <w:p w:rsidR="00AA3D18" w:rsidRPr="000814D9" w:rsidRDefault="00AA3D18" w:rsidP="00AA3D18">
      <w:pPr>
        <w:pStyle w:val="NoSpacing"/>
        <w:spacing w:line="360" w:lineRule="auto"/>
        <w:jc w:val="both"/>
        <w:rPr>
          <w:rFonts w:ascii="Times New Roman" w:hAnsi="Times New Roman" w:cs="Times New Roman"/>
          <w:b/>
          <w:sz w:val="24"/>
          <w:szCs w:val="24"/>
          <w:u w:val="single"/>
        </w:rPr>
      </w:pPr>
      <w:r w:rsidRPr="000814D9">
        <w:rPr>
          <w:rFonts w:ascii="Times New Roman" w:hAnsi="Times New Roman" w:cs="Times New Roman"/>
          <w:b/>
          <w:sz w:val="24"/>
          <w:szCs w:val="24"/>
          <w:u w:val="single"/>
        </w:rPr>
        <w:t>BACKGROUND FACTS</w:t>
      </w:r>
    </w:p>
    <w:p w:rsidR="00AA3D18" w:rsidRDefault="00AA3D18" w:rsidP="00AA3D18">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6 July 2023, respondent published on its Facebook account and Twitter handle an article titled “</w:t>
      </w:r>
      <w:r w:rsidR="000814D9">
        <w:rPr>
          <w:rFonts w:ascii="Times New Roman" w:hAnsi="Times New Roman" w:cs="Times New Roman"/>
          <w:sz w:val="24"/>
          <w:szCs w:val="24"/>
        </w:rPr>
        <w:t xml:space="preserve">ESTATE </w:t>
      </w:r>
      <w:r>
        <w:rPr>
          <w:rFonts w:ascii="Times New Roman" w:hAnsi="Times New Roman" w:cs="Times New Roman"/>
          <w:sz w:val="24"/>
          <w:szCs w:val="24"/>
        </w:rPr>
        <w:t>AGENTS COUNCIL OF ZIMBABWE (EACZ): BOGUS AGENTS PUBLIC NOTICE ALERT”. In the article, applicant was mentioned in the list sub headed “Unregistered Firms and Individuals illegally practicing as estate agents.”</w:t>
      </w:r>
    </w:p>
    <w:p w:rsidR="00AA3D18" w:rsidRDefault="00AA3D18" w:rsidP="00AA3D18">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Respondent tagged the following media houses in its Twitter post who later republished the article in the Herald, Newsday, Daily News; ZBC Online, 263 Chat, New Zimbabwe &amp; </w:t>
      </w:r>
      <w:r>
        <w:rPr>
          <w:rFonts w:ascii="Times New Roman" w:hAnsi="Times New Roman" w:cs="Times New Roman"/>
          <w:sz w:val="24"/>
          <w:szCs w:val="24"/>
        </w:rPr>
        <w:lastRenderedPageBreak/>
        <w:t>Chronicle. Applicant unsuccessfully tried to stop respondent from further publishing the article. Respondent did not relent until this application.</w:t>
      </w:r>
    </w:p>
    <w:p w:rsidR="00AA3D18" w:rsidRPr="000814D9" w:rsidRDefault="00AA3D18" w:rsidP="00AA3D18">
      <w:pPr>
        <w:pStyle w:val="NoSpacing"/>
        <w:spacing w:line="360" w:lineRule="auto"/>
        <w:jc w:val="both"/>
        <w:rPr>
          <w:rFonts w:ascii="Times New Roman" w:hAnsi="Times New Roman" w:cs="Times New Roman"/>
          <w:b/>
          <w:sz w:val="24"/>
          <w:szCs w:val="24"/>
          <w:u w:val="single"/>
        </w:rPr>
      </w:pPr>
      <w:r w:rsidRPr="000814D9">
        <w:rPr>
          <w:rFonts w:ascii="Times New Roman" w:hAnsi="Times New Roman" w:cs="Times New Roman"/>
          <w:b/>
          <w:sz w:val="24"/>
          <w:szCs w:val="24"/>
          <w:u w:val="single"/>
        </w:rPr>
        <w:t>APPLICANT’S CASE</w:t>
      </w:r>
    </w:p>
    <w:p w:rsidR="00AA3D18" w:rsidRDefault="00AA3D18" w:rsidP="00AA3D18">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is contented that respondent committed a gross irregularity in its failure to afford applicant the right to make representations on the allegations before publication. To date applicant is not aware of the facts that gave rise to the respondent’s belief and conviction that applicant is a bogus estate agent. Further, respondent’s failure to seek clarity and representations from applicant is an </w:t>
      </w:r>
      <w:r w:rsidR="00EE1DC4">
        <w:rPr>
          <w:rFonts w:ascii="Times New Roman" w:hAnsi="Times New Roman" w:cs="Times New Roman"/>
          <w:sz w:val="24"/>
          <w:szCs w:val="24"/>
        </w:rPr>
        <w:t>affront</w:t>
      </w:r>
      <w:r w:rsidR="00C45321">
        <w:rPr>
          <w:rFonts w:ascii="Times New Roman" w:hAnsi="Times New Roman" w:cs="Times New Roman"/>
          <w:sz w:val="24"/>
          <w:szCs w:val="24"/>
        </w:rPr>
        <w:t xml:space="preserve"> to principles of natural justice and therefore prejudicial to applicant.</w:t>
      </w:r>
    </w:p>
    <w:p w:rsidR="00C45321" w:rsidRDefault="00C45321" w:rsidP="00AA3D18">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Applicant also submitted that respondent’s conduct injures the applicant’s reputation which is a genuine business concern and has the effect of causing the applicant irreparable financial and reputational risk and this could have been avoided by allowing applicant to make representations before respondent made such an injurious decision.</w:t>
      </w:r>
    </w:p>
    <w:p w:rsidR="00C45321" w:rsidRDefault="00C45321" w:rsidP="000814D9">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Applicant’s relief for review is in the following terms;</w:t>
      </w:r>
    </w:p>
    <w:p w:rsidR="00C45321" w:rsidRPr="000814D9" w:rsidRDefault="00C45321" w:rsidP="000814D9">
      <w:pPr>
        <w:pStyle w:val="NoSpacing"/>
        <w:jc w:val="both"/>
        <w:rPr>
          <w:rFonts w:ascii="Times New Roman" w:hAnsi="Times New Roman" w:cs="Times New Roman"/>
          <w:szCs w:val="24"/>
        </w:rPr>
      </w:pPr>
      <w:r>
        <w:rPr>
          <w:rFonts w:ascii="Times New Roman" w:hAnsi="Times New Roman" w:cs="Times New Roman"/>
          <w:sz w:val="24"/>
          <w:szCs w:val="24"/>
        </w:rPr>
        <w:tab/>
      </w:r>
      <w:r w:rsidRPr="000814D9">
        <w:rPr>
          <w:rFonts w:ascii="Times New Roman" w:hAnsi="Times New Roman" w:cs="Times New Roman"/>
          <w:szCs w:val="24"/>
        </w:rPr>
        <w:t>“1.   The application for review be and is hereby granted.</w:t>
      </w:r>
    </w:p>
    <w:p w:rsidR="00C45321" w:rsidRPr="000814D9" w:rsidRDefault="00C45321" w:rsidP="000814D9">
      <w:pPr>
        <w:pStyle w:val="NoSpacing"/>
        <w:numPr>
          <w:ilvl w:val="0"/>
          <w:numId w:val="8"/>
        </w:numPr>
        <w:jc w:val="both"/>
        <w:rPr>
          <w:rFonts w:ascii="Times New Roman" w:hAnsi="Times New Roman" w:cs="Times New Roman"/>
          <w:szCs w:val="24"/>
        </w:rPr>
      </w:pPr>
      <w:r w:rsidRPr="000814D9">
        <w:rPr>
          <w:rFonts w:ascii="Times New Roman" w:hAnsi="Times New Roman" w:cs="Times New Roman"/>
          <w:szCs w:val="24"/>
        </w:rPr>
        <w:t>The decision of the respondent to publish applicant as a bogus estate agent be and is hereby set aside.</w:t>
      </w:r>
    </w:p>
    <w:p w:rsidR="00C45321" w:rsidRPr="000814D9" w:rsidRDefault="00C45321" w:rsidP="000814D9">
      <w:pPr>
        <w:pStyle w:val="NoSpacing"/>
        <w:numPr>
          <w:ilvl w:val="0"/>
          <w:numId w:val="8"/>
        </w:numPr>
        <w:spacing w:after="240"/>
        <w:jc w:val="both"/>
        <w:rPr>
          <w:rFonts w:ascii="Times New Roman" w:hAnsi="Times New Roman" w:cs="Times New Roman"/>
          <w:szCs w:val="24"/>
        </w:rPr>
      </w:pPr>
      <w:r w:rsidRPr="000814D9">
        <w:rPr>
          <w:rFonts w:ascii="Times New Roman" w:hAnsi="Times New Roman" w:cs="Times New Roman"/>
          <w:szCs w:val="24"/>
        </w:rPr>
        <w:t xml:space="preserve">Respondent be and is hereby directed to issue a public statement retracting its publication with applicant as a bogus estate agent on its official Facebook, Twitter accounts and website.” </w:t>
      </w:r>
    </w:p>
    <w:p w:rsidR="00CB3389" w:rsidRDefault="00C45321" w:rsidP="006C1C9E">
      <w:pPr>
        <w:pStyle w:val="NoSpacing"/>
        <w:spacing w:line="360" w:lineRule="auto"/>
        <w:jc w:val="both"/>
        <w:rPr>
          <w:rFonts w:ascii="Times New Roman" w:hAnsi="Times New Roman" w:cs="Times New Roman"/>
          <w:b/>
          <w:sz w:val="24"/>
          <w:szCs w:val="24"/>
          <w:u w:val="single"/>
        </w:rPr>
      </w:pPr>
      <w:r w:rsidRPr="00C45321">
        <w:rPr>
          <w:rFonts w:ascii="Times New Roman" w:hAnsi="Times New Roman" w:cs="Times New Roman"/>
          <w:b/>
          <w:sz w:val="24"/>
          <w:szCs w:val="24"/>
          <w:u w:val="single"/>
        </w:rPr>
        <w:t>RESPONDENT’S CASE</w:t>
      </w:r>
    </w:p>
    <w:p w:rsidR="00C45321" w:rsidRDefault="00EE1DC4" w:rsidP="00C45321">
      <w:pPr>
        <w:pStyle w:val="NoSpacing"/>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w:t>
      </w:r>
      <w:r w:rsidR="00C45321">
        <w:rPr>
          <w:rFonts w:ascii="Times New Roman" w:hAnsi="Times New Roman" w:cs="Times New Roman"/>
          <w:sz w:val="24"/>
          <w:szCs w:val="24"/>
        </w:rPr>
        <w:t>n</w:t>
      </w:r>
      <w:r>
        <w:rPr>
          <w:rFonts w:ascii="Times New Roman" w:hAnsi="Times New Roman" w:cs="Times New Roman"/>
          <w:sz w:val="24"/>
          <w:szCs w:val="24"/>
        </w:rPr>
        <w:t>t</w:t>
      </w:r>
      <w:r w:rsidR="00C45321">
        <w:rPr>
          <w:rFonts w:ascii="Times New Roman" w:hAnsi="Times New Roman" w:cs="Times New Roman"/>
          <w:sz w:val="24"/>
          <w:szCs w:val="24"/>
        </w:rPr>
        <w:t xml:space="preserve"> is a delictual claim for defamation disguised as an application for administrative review of the conduct of the respondent.</w:t>
      </w:r>
    </w:p>
    <w:p w:rsidR="00C45321" w:rsidRDefault="00C45321" w:rsidP="00C45321">
      <w:pPr>
        <w:pStyle w:val="NoSpacing"/>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is procedurally defective and lacking in merit in that the applicant is unlawfully practicing as an estate agent.</w:t>
      </w:r>
    </w:p>
    <w:p w:rsidR="00C45321" w:rsidRDefault="00C45321" w:rsidP="00C45321">
      <w:pPr>
        <w:pStyle w:val="NoSpacing"/>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must be dismissed with costs.</w:t>
      </w:r>
    </w:p>
    <w:p w:rsidR="00C45321" w:rsidRDefault="00C45321" w:rsidP="00C45321">
      <w:pPr>
        <w:pStyle w:val="NoSpacing"/>
        <w:spacing w:line="360" w:lineRule="auto"/>
        <w:jc w:val="both"/>
        <w:rPr>
          <w:rFonts w:ascii="Times New Roman" w:hAnsi="Times New Roman" w:cs="Times New Roman"/>
          <w:b/>
          <w:sz w:val="24"/>
          <w:szCs w:val="24"/>
          <w:u w:val="single"/>
        </w:rPr>
      </w:pPr>
      <w:r w:rsidRPr="00C45321">
        <w:rPr>
          <w:rFonts w:ascii="Times New Roman" w:hAnsi="Times New Roman" w:cs="Times New Roman"/>
          <w:b/>
          <w:sz w:val="24"/>
          <w:szCs w:val="24"/>
          <w:u w:val="single"/>
        </w:rPr>
        <w:t>ISSUES</w:t>
      </w:r>
    </w:p>
    <w:p w:rsidR="00C45321" w:rsidRDefault="004C3622" w:rsidP="00C45321">
      <w:pPr>
        <w:pStyle w:val="NoSpacing"/>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Whether the applicant has</w:t>
      </w:r>
      <w:r w:rsidR="00C45321">
        <w:rPr>
          <w:rFonts w:ascii="Times New Roman" w:hAnsi="Times New Roman" w:cs="Times New Roman"/>
          <w:sz w:val="24"/>
          <w:szCs w:val="24"/>
        </w:rPr>
        <w:t xml:space="preserve"> a legitimate expectation to be consulted before publication of the notice?</w:t>
      </w:r>
    </w:p>
    <w:p w:rsidR="00C45321" w:rsidRDefault="00C45321" w:rsidP="00C45321">
      <w:pPr>
        <w:pStyle w:val="NoSpacing"/>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Whether there is any gross irregularity in the conduct of the respondent?</w:t>
      </w:r>
    </w:p>
    <w:p w:rsidR="00C45321" w:rsidRDefault="00C45321" w:rsidP="00C45321">
      <w:pPr>
        <w:pStyle w:val="NoSpacing"/>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Whether the applicant was entitled to receive the reasons for the publication when it did not request for them?</w:t>
      </w:r>
    </w:p>
    <w:p w:rsidR="000814D9" w:rsidRPr="004C3622" w:rsidRDefault="00C45321" w:rsidP="00096D0B">
      <w:pPr>
        <w:pStyle w:val="NoSpacing"/>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Whether the publication was necessary and was in the interests of justice for the respondent to issue?</w:t>
      </w:r>
    </w:p>
    <w:p w:rsidR="00096D0B" w:rsidRPr="00096D0B" w:rsidRDefault="00096D0B" w:rsidP="00096D0B">
      <w:pPr>
        <w:pStyle w:val="NoSpacing"/>
        <w:spacing w:line="360" w:lineRule="auto"/>
        <w:jc w:val="both"/>
        <w:rPr>
          <w:rFonts w:ascii="Times New Roman" w:hAnsi="Times New Roman" w:cs="Times New Roman"/>
          <w:b/>
          <w:sz w:val="24"/>
          <w:szCs w:val="24"/>
          <w:u w:val="single"/>
        </w:rPr>
      </w:pPr>
      <w:r w:rsidRPr="00096D0B">
        <w:rPr>
          <w:rFonts w:ascii="Times New Roman" w:hAnsi="Times New Roman" w:cs="Times New Roman"/>
          <w:b/>
          <w:sz w:val="24"/>
          <w:szCs w:val="24"/>
          <w:u w:val="single"/>
        </w:rPr>
        <w:t>ANALYSIS</w:t>
      </w:r>
    </w:p>
    <w:p w:rsidR="00096D0B" w:rsidRDefault="00096D0B" w:rsidP="00096D0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Respondent argued </w:t>
      </w:r>
      <w:r w:rsidRPr="00E04DA0">
        <w:rPr>
          <w:rFonts w:ascii="Times New Roman" w:hAnsi="Times New Roman" w:cs="Times New Roman"/>
          <w:i/>
          <w:sz w:val="24"/>
          <w:szCs w:val="24"/>
        </w:rPr>
        <w:t>in limine</w:t>
      </w:r>
      <w:r>
        <w:rPr>
          <w:rFonts w:ascii="Times New Roman" w:hAnsi="Times New Roman" w:cs="Times New Roman"/>
          <w:sz w:val="24"/>
          <w:szCs w:val="24"/>
        </w:rPr>
        <w:t xml:space="preserve"> that there is a material dispute of fact in that applicant is of the view that it is a property developer and is not selling residential stands as an estate agent, while the respondent is of the conviction that the applicant is actually practicing as an estate agent who is not registered. In this case, the applicant is of the view that by virtue of the fact that it is not an estate agent, it does not need to be registered with the respondent while the respondent is of </w:t>
      </w:r>
      <w:r w:rsidR="00EE1DC4">
        <w:rPr>
          <w:rFonts w:ascii="Times New Roman" w:hAnsi="Times New Roman" w:cs="Times New Roman"/>
          <w:sz w:val="24"/>
          <w:szCs w:val="24"/>
        </w:rPr>
        <w:t>the view that it did not defame</w:t>
      </w:r>
      <w:r>
        <w:rPr>
          <w:rFonts w:ascii="Times New Roman" w:hAnsi="Times New Roman" w:cs="Times New Roman"/>
          <w:sz w:val="24"/>
          <w:szCs w:val="24"/>
        </w:rPr>
        <w:t xml:space="preserve"> the applicant at all because it made factual findings that the applicant is practicing as an estate agent when it is not a registered one.</w:t>
      </w:r>
    </w:p>
    <w:p w:rsidR="00096D0B" w:rsidRDefault="00096D0B" w:rsidP="00096D0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my view such disputes cannot be resolved on the papers through two contradicting affidavits. There is need for the applicant to call witnesses who will lead evidence to show that the services it provides are in relation to property development only and not to the buying and selling of residential stands. There is need for the leading of evidence to show the scope and extent of applicant’s dealings. Respondent attached Annexures “BB” to “MM” which show that </w:t>
      </w:r>
      <w:r w:rsidRPr="00EE1DC4">
        <w:rPr>
          <w:rFonts w:ascii="Times New Roman" w:hAnsi="Times New Roman" w:cs="Times New Roman"/>
          <w:i/>
          <w:sz w:val="24"/>
          <w:szCs w:val="24"/>
        </w:rPr>
        <w:t>prima facie</w:t>
      </w:r>
      <w:r w:rsidR="00EE1DC4">
        <w:rPr>
          <w:rFonts w:ascii="Times New Roman" w:hAnsi="Times New Roman" w:cs="Times New Roman"/>
          <w:sz w:val="24"/>
          <w:szCs w:val="24"/>
        </w:rPr>
        <w:t xml:space="preserve"> t</w:t>
      </w:r>
      <w:r>
        <w:rPr>
          <w:rFonts w:ascii="Times New Roman" w:hAnsi="Times New Roman" w:cs="Times New Roman"/>
          <w:sz w:val="24"/>
          <w:szCs w:val="24"/>
        </w:rPr>
        <w:t>he applicant is practicing as an unregistered estate agent. However this evidence fa</w:t>
      </w:r>
      <w:r w:rsidR="001B71B5">
        <w:rPr>
          <w:rFonts w:ascii="Times New Roman" w:hAnsi="Times New Roman" w:cs="Times New Roman"/>
          <w:sz w:val="24"/>
          <w:szCs w:val="24"/>
        </w:rPr>
        <w:t>ll</w:t>
      </w:r>
      <w:r w:rsidR="00EE1DC4">
        <w:rPr>
          <w:rFonts w:ascii="Times New Roman" w:hAnsi="Times New Roman" w:cs="Times New Roman"/>
          <w:sz w:val="24"/>
          <w:szCs w:val="24"/>
        </w:rPr>
        <w:t>s far short of proving a case on</w:t>
      </w:r>
      <w:r w:rsidR="001B71B5">
        <w:rPr>
          <w:rFonts w:ascii="Times New Roman" w:hAnsi="Times New Roman" w:cs="Times New Roman"/>
          <w:sz w:val="24"/>
          <w:szCs w:val="24"/>
        </w:rPr>
        <w:t xml:space="preserve"> a balance of probabilities.</w:t>
      </w:r>
    </w:p>
    <w:p w:rsidR="001B71B5" w:rsidRDefault="001B71B5" w:rsidP="00096D0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is undesirable to deal with an application which has clear disputes of fact. The proper thing to do is to enroll it as an action. See </w:t>
      </w:r>
      <w:r w:rsidRPr="001B71B5">
        <w:rPr>
          <w:rFonts w:ascii="Times New Roman" w:hAnsi="Times New Roman" w:cs="Times New Roman"/>
          <w:i/>
          <w:sz w:val="24"/>
          <w:szCs w:val="24"/>
        </w:rPr>
        <w:t>WILDSEARCH SAFARIS &amp; TOURS</w:t>
      </w:r>
      <w:r>
        <w:rPr>
          <w:rFonts w:ascii="Times New Roman" w:hAnsi="Times New Roman" w:cs="Times New Roman"/>
          <w:sz w:val="24"/>
          <w:szCs w:val="24"/>
        </w:rPr>
        <w:t xml:space="preserve"> v </w:t>
      </w:r>
      <w:r w:rsidRPr="001B71B5">
        <w:rPr>
          <w:rFonts w:ascii="Times New Roman" w:hAnsi="Times New Roman" w:cs="Times New Roman"/>
          <w:i/>
          <w:sz w:val="24"/>
          <w:szCs w:val="24"/>
        </w:rPr>
        <w:t>REQUIT (PVT) LTD</w:t>
      </w:r>
      <w:r>
        <w:rPr>
          <w:rFonts w:ascii="Times New Roman" w:hAnsi="Times New Roman" w:cs="Times New Roman"/>
          <w:sz w:val="24"/>
          <w:szCs w:val="24"/>
        </w:rPr>
        <w:t xml:space="preserve"> HH 375/23, </w:t>
      </w:r>
      <w:r w:rsidRPr="001B71B5">
        <w:rPr>
          <w:rFonts w:ascii="Times New Roman" w:hAnsi="Times New Roman" w:cs="Times New Roman"/>
          <w:i/>
          <w:sz w:val="24"/>
          <w:szCs w:val="24"/>
        </w:rPr>
        <w:t>MHAMBI</w:t>
      </w:r>
      <w:r>
        <w:rPr>
          <w:rFonts w:ascii="Times New Roman" w:hAnsi="Times New Roman" w:cs="Times New Roman"/>
          <w:sz w:val="24"/>
          <w:szCs w:val="24"/>
        </w:rPr>
        <w:t xml:space="preserve"> v </w:t>
      </w:r>
      <w:r w:rsidRPr="001B71B5">
        <w:rPr>
          <w:rFonts w:ascii="Times New Roman" w:hAnsi="Times New Roman" w:cs="Times New Roman"/>
          <w:i/>
          <w:sz w:val="24"/>
          <w:szCs w:val="24"/>
        </w:rPr>
        <w:t>DUBE &amp; ANOR</w:t>
      </w:r>
      <w:r>
        <w:rPr>
          <w:rFonts w:ascii="Times New Roman" w:hAnsi="Times New Roman" w:cs="Times New Roman"/>
          <w:sz w:val="24"/>
          <w:szCs w:val="24"/>
        </w:rPr>
        <w:t xml:space="preserve"> HB 145/2000.</w:t>
      </w:r>
    </w:p>
    <w:p w:rsidR="001B71B5" w:rsidRDefault="001B71B5" w:rsidP="001B71B5">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r w:rsidRPr="00E04DA0">
        <w:rPr>
          <w:rFonts w:ascii="Times New Roman" w:hAnsi="Times New Roman" w:cs="Times New Roman"/>
          <w:i/>
          <w:sz w:val="24"/>
          <w:szCs w:val="24"/>
        </w:rPr>
        <w:t>casu</w:t>
      </w:r>
      <w:r>
        <w:rPr>
          <w:rFonts w:ascii="Times New Roman" w:hAnsi="Times New Roman" w:cs="Times New Roman"/>
          <w:sz w:val="24"/>
          <w:szCs w:val="24"/>
        </w:rPr>
        <w:t>, there are material disputes of fact on whether the applicant was defamed or not. Put differently if applicant is actually a property developer, then the applicant has a right to claim that it has been defamed. While on the other hand if the respondent establishes from the facts that the applicant was practicing as an estate agent, then clearly there is no defamation. Such a finding cannot be made on the papers without the be</w:t>
      </w:r>
      <w:r w:rsidR="00EE1DC4">
        <w:rPr>
          <w:rFonts w:ascii="Times New Roman" w:hAnsi="Times New Roman" w:cs="Times New Roman"/>
          <w:sz w:val="24"/>
          <w:szCs w:val="24"/>
        </w:rPr>
        <w:t>ne</w:t>
      </w:r>
      <w:r>
        <w:rPr>
          <w:rFonts w:ascii="Times New Roman" w:hAnsi="Times New Roman" w:cs="Times New Roman"/>
          <w:sz w:val="24"/>
          <w:szCs w:val="24"/>
        </w:rPr>
        <w:t xml:space="preserve">fit of </w:t>
      </w:r>
      <w:r w:rsidRPr="001B71B5">
        <w:rPr>
          <w:rFonts w:ascii="Times New Roman" w:hAnsi="Times New Roman" w:cs="Times New Roman"/>
          <w:i/>
          <w:sz w:val="24"/>
          <w:szCs w:val="24"/>
        </w:rPr>
        <w:t>viva voce</w:t>
      </w:r>
      <w:r>
        <w:rPr>
          <w:rFonts w:ascii="Times New Roman" w:hAnsi="Times New Roman" w:cs="Times New Roman"/>
          <w:sz w:val="24"/>
          <w:szCs w:val="24"/>
        </w:rPr>
        <w:t xml:space="preserve"> evidence. See </w:t>
      </w:r>
      <w:r w:rsidRPr="001B71B5">
        <w:rPr>
          <w:rFonts w:ascii="Times New Roman" w:hAnsi="Times New Roman" w:cs="Times New Roman"/>
          <w:i/>
          <w:sz w:val="24"/>
          <w:szCs w:val="24"/>
        </w:rPr>
        <w:t>Moyo</w:t>
      </w:r>
      <w:r>
        <w:rPr>
          <w:rFonts w:ascii="Times New Roman" w:hAnsi="Times New Roman" w:cs="Times New Roman"/>
          <w:sz w:val="24"/>
          <w:szCs w:val="24"/>
        </w:rPr>
        <w:t xml:space="preserve"> vs </w:t>
      </w:r>
      <w:r w:rsidRPr="001B71B5">
        <w:rPr>
          <w:rFonts w:ascii="Times New Roman" w:hAnsi="Times New Roman" w:cs="Times New Roman"/>
          <w:i/>
          <w:sz w:val="24"/>
          <w:szCs w:val="24"/>
        </w:rPr>
        <w:t>Muleya &amp; Ors</w:t>
      </w:r>
      <w:r>
        <w:rPr>
          <w:rFonts w:ascii="Times New Roman" w:hAnsi="Times New Roman" w:cs="Times New Roman"/>
          <w:sz w:val="24"/>
          <w:szCs w:val="24"/>
        </w:rPr>
        <w:t xml:space="preserve"> 2001 (1) ZLR 257 (H) where </w:t>
      </w:r>
      <w:r w:rsidRPr="001B71B5">
        <w:rPr>
          <w:rFonts w:ascii="Times New Roman" w:hAnsi="Times New Roman" w:cs="Times New Roman"/>
          <w:smallCaps/>
          <w:sz w:val="24"/>
          <w:szCs w:val="24"/>
        </w:rPr>
        <w:t>Chinhengo J</w:t>
      </w:r>
      <w:r>
        <w:rPr>
          <w:rFonts w:ascii="Times New Roman" w:hAnsi="Times New Roman" w:cs="Times New Roman"/>
          <w:sz w:val="24"/>
          <w:szCs w:val="24"/>
        </w:rPr>
        <w:t xml:space="preserve"> held that;</w:t>
      </w:r>
    </w:p>
    <w:p w:rsidR="001B71B5" w:rsidRPr="001B71B5" w:rsidRDefault="001B71B5" w:rsidP="001B71B5">
      <w:pPr>
        <w:pStyle w:val="NoSpacing"/>
        <w:spacing w:after="240"/>
        <w:ind w:left="720"/>
        <w:jc w:val="both"/>
        <w:rPr>
          <w:rFonts w:ascii="Times New Roman" w:hAnsi="Times New Roman" w:cs="Times New Roman"/>
          <w:szCs w:val="24"/>
        </w:rPr>
      </w:pPr>
      <w:r w:rsidRPr="001B71B5">
        <w:rPr>
          <w:rFonts w:ascii="Times New Roman" w:hAnsi="Times New Roman" w:cs="Times New Roman"/>
          <w:szCs w:val="24"/>
        </w:rPr>
        <w:t>“_ _ _ before a final interdict could be granted, the applicant had to establish a clear right. While it was possible to grant an interdict to prevent the publication of defamatory matter, the court had to be satisfied that the matter was defamatory, that no defence could be successfully set up.”</w:t>
      </w:r>
    </w:p>
    <w:p w:rsidR="001B71B5" w:rsidRDefault="001B71B5" w:rsidP="00096D0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respondent maintains that what it published was the truth for the benefit of the public. In my view, if the applicant wants</w:t>
      </w:r>
      <w:r w:rsidR="00EE1DC4">
        <w:rPr>
          <w:rFonts w:ascii="Times New Roman" w:hAnsi="Times New Roman" w:cs="Times New Roman"/>
          <w:sz w:val="24"/>
          <w:szCs w:val="24"/>
        </w:rPr>
        <w:t xml:space="preserve"> this corrected, it must issue </w:t>
      </w:r>
      <w:r>
        <w:rPr>
          <w:rFonts w:ascii="Times New Roman" w:hAnsi="Times New Roman" w:cs="Times New Roman"/>
          <w:sz w:val="24"/>
          <w:szCs w:val="24"/>
        </w:rPr>
        <w:t xml:space="preserve">Summons. As I indicated before, there are material disputes of fact in this matter. The point </w:t>
      </w:r>
      <w:r w:rsidRPr="00E04DA0">
        <w:rPr>
          <w:rFonts w:ascii="Times New Roman" w:hAnsi="Times New Roman" w:cs="Times New Roman"/>
          <w:i/>
          <w:sz w:val="24"/>
          <w:szCs w:val="24"/>
        </w:rPr>
        <w:t>in limine</w:t>
      </w:r>
      <w:r w:rsidR="00EE1DC4">
        <w:rPr>
          <w:rFonts w:ascii="Times New Roman" w:hAnsi="Times New Roman" w:cs="Times New Roman"/>
          <w:sz w:val="24"/>
          <w:szCs w:val="24"/>
        </w:rPr>
        <w:t xml:space="preserve"> has</w:t>
      </w:r>
      <w:r>
        <w:rPr>
          <w:rFonts w:ascii="Times New Roman" w:hAnsi="Times New Roman" w:cs="Times New Roman"/>
          <w:sz w:val="24"/>
          <w:szCs w:val="24"/>
        </w:rPr>
        <w:t xml:space="preserve"> merit. It is accordingly upheld. This finding makes it unnecessary to consider the rest of the points </w:t>
      </w:r>
      <w:r w:rsidRPr="00E04DA0">
        <w:rPr>
          <w:rFonts w:ascii="Times New Roman" w:hAnsi="Times New Roman" w:cs="Times New Roman"/>
          <w:i/>
          <w:sz w:val="24"/>
          <w:szCs w:val="24"/>
        </w:rPr>
        <w:t>in limine</w:t>
      </w:r>
      <w:r>
        <w:rPr>
          <w:rFonts w:ascii="Times New Roman" w:hAnsi="Times New Roman" w:cs="Times New Roman"/>
          <w:sz w:val="24"/>
          <w:szCs w:val="24"/>
        </w:rPr>
        <w:t>. However, there is one other issue that must be resolved, namely whether or not applicant knew or ought to have known that there are such disputes of fact.</w:t>
      </w:r>
    </w:p>
    <w:p w:rsidR="001B71B5" w:rsidRDefault="001B71B5" w:rsidP="00096D0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 take the view that from the totality of the facts including the manner in which the applicant’s cause of action has been portrayed, it cannot be said the applicant knew or ought to have known that there exists disputes of fact.</w:t>
      </w:r>
    </w:p>
    <w:p w:rsidR="001B71B5" w:rsidRDefault="001B71B5" w:rsidP="00096D0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the circumstances it is ordered that;</w:t>
      </w:r>
    </w:p>
    <w:p w:rsidR="001B71B5" w:rsidRDefault="001B71B5" w:rsidP="001B71B5">
      <w:pPr>
        <w:pStyle w:val="NoSpacing"/>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matter be and is hereby referred to action procedure.</w:t>
      </w:r>
    </w:p>
    <w:p w:rsidR="001B71B5" w:rsidRDefault="001B71B5" w:rsidP="001B71B5">
      <w:pPr>
        <w:pStyle w:val="NoSpacing"/>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shall stand as the summons.</w:t>
      </w:r>
    </w:p>
    <w:p w:rsidR="001B71B5" w:rsidRDefault="001B71B5" w:rsidP="001B71B5">
      <w:pPr>
        <w:pStyle w:val="NoSpacing"/>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notice of opposition shall stand as a plea.</w:t>
      </w:r>
    </w:p>
    <w:p w:rsidR="001B71B5" w:rsidRDefault="001B71B5" w:rsidP="001B71B5">
      <w:pPr>
        <w:pStyle w:val="NoSpacing"/>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Thereafter the trial shall follow the procedure for a civil trial in terms of this court’s rules.</w:t>
      </w:r>
    </w:p>
    <w:p w:rsidR="001B71B5" w:rsidRDefault="001B71B5" w:rsidP="001B71B5">
      <w:pPr>
        <w:pStyle w:val="NoSpacing"/>
        <w:spacing w:line="360" w:lineRule="auto"/>
        <w:jc w:val="both"/>
        <w:rPr>
          <w:rFonts w:ascii="Times New Roman" w:hAnsi="Times New Roman" w:cs="Times New Roman"/>
          <w:sz w:val="24"/>
          <w:szCs w:val="24"/>
        </w:rPr>
      </w:pPr>
    </w:p>
    <w:p w:rsidR="001B71B5" w:rsidRDefault="001B71B5" w:rsidP="001B71B5">
      <w:pPr>
        <w:pStyle w:val="NoSpacing"/>
        <w:spacing w:line="360" w:lineRule="auto"/>
        <w:jc w:val="both"/>
        <w:rPr>
          <w:rFonts w:ascii="Times New Roman" w:hAnsi="Times New Roman" w:cs="Times New Roman"/>
          <w:sz w:val="24"/>
          <w:szCs w:val="24"/>
        </w:rPr>
      </w:pPr>
    </w:p>
    <w:p w:rsidR="001B71B5" w:rsidRDefault="001B71B5" w:rsidP="00EE1DC4">
      <w:pPr>
        <w:pStyle w:val="NoSpacing"/>
        <w:spacing w:after="240" w:line="360" w:lineRule="auto"/>
        <w:jc w:val="both"/>
        <w:rPr>
          <w:rFonts w:ascii="Times New Roman" w:hAnsi="Times New Roman" w:cs="Times New Roman"/>
          <w:sz w:val="24"/>
          <w:szCs w:val="24"/>
        </w:rPr>
      </w:pPr>
      <w:r w:rsidRPr="001B71B5">
        <w:rPr>
          <w:rFonts w:ascii="Times New Roman" w:hAnsi="Times New Roman" w:cs="Times New Roman"/>
          <w:b/>
          <w:smallCaps/>
          <w:sz w:val="24"/>
          <w:szCs w:val="24"/>
        </w:rPr>
        <w:t>Takuva J</w:t>
      </w:r>
      <w:r>
        <w:rPr>
          <w:rFonts w:ascii="Times New Roman" w:hAnsi="Times New Roman" w:cs="Times New Roman"/>
          <w:sz w:val="24"/>
          <w:szCs w:val="24"/>
        </w:rPr>
        <w:t>: ………………………………………………….</w:t>
      </w:r>
    </w:p>
    <w:p w:rsidR="00EE1DC4" w:rsidRDefault="00EE1DC4" w:rsidP="00EE1DC4">
      <w:pPr>
        <w:pStyle w:val="NoSpacing"/>
        <w:jc w:val="both"/>
        <w:rPr>
          <w:rFonts w:ascii="Times New Roman" w:hAnsi="Times New Roman" w:cs="Times New Roman"/>
          <w:sz w:val="24"/>
          <w:szCs w:val="24"/>
        </w:rPr>
      </w:pPr>
      <w:r w:rsidRPr="00EE1DC4">
        <w:rPr>
          <w:rFonts w:ascii="Times New Roman" w:hAnsi="Times New Roman" w:cs="Times New Roman"/>
          <w:i/>
          <w:sz w:val="24"/>
          <w:szCs w:val="24"/>
        </w:rPr>
        <w:t>T.K Hove &amp; Partners</w:t>
      </w:r>
      <w:r w:rsidR="001B71B5">
        <w:rPr>
          <w:rFonts w:ascii="Times New Roman" w:hAnsi="Times New Roman" w:cs="Times New Roman"/>
          <w:sz w:val="24"/>
          <w:szCs w:val="24"/>
        </w:rPr>
        <w:t>, applicant’s legal practitioners</w:t>
      </w:r>
    </w:p>
    <w:p w:rsidR="001B71B5" w:rsidRPr="00C45321" w:rsidRDefault="00EE1DC4" w:rsidP="00EE1DC4">
      <w:pPr>
        <w:pStyle w:val="NoSpacing"/>
        <w:jc w:val="both"/>
        <w:rPr>
          <w:rFonts w:ascii="Times New Roman" w:hAnsi="Times New Roman" w:cs="Times New Roman"/>
          <w:sz w:val="24"/>
          <w:szCs w:val="24"/>
        </w:rPr>
      </w:pPr>
      <w:r w:rsidRPr="00EE1DC4">
        <w:rPr>
          <w:rFonts w:ascii="Times New Roman" w:hAnsi="Times New Roman" w:cs="Times New Roman"/>
          <w:i/>
          <w:sz w:val="24"/>
          <w:szCs w:val="24"/>
        </w:rPr>
        <w:t>Chihambakwe, Mutizwa &amp; Partners</w:t>
      </w:r>
      <w:r w:rsidR="001B71B5">
        <w:rPr>
          <w:rFonts w:ascii="Times New Roman" w:hAnsi="Times New Roman" w:cs="Times New Roman"/>
          <w:sz w:val="24"/>
          <w:szCs w:val="24"/>
        </w:rPr>
        <w:t>, respondent’s legal practitioners</w:t>
      </w:r>
    </w:p>
    <w:p w:rsidR="001B71B5" w:rsidRPr="00C45321" w:rsidRDefault="001B71B5">
      <w:pPr>
        <w:pStyle w:val="NoSpacing"/>
        <w:spacing w:line="360" w:lineRule="auto"/>
        <w:jc w:val="both"/>
        <w:rPr>
          <w:rFonts w:ascii="Times New Roman" w:hAnsi="Times New Roman" w:cs="Times New Roman"/>
          <w:sz w:val="24"/>
          <w:szCs w:val="24"/>
        </w:rPr>
      </w:pPr>
    </w:p>
    <w:sectPr w:rsidR="001B71B5" w:rsidRPr="00C4532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C90" w:rsidRDefault="00F62C90" w:rsidP="00251769">
      <w:pPr>
        <w:spacing w:after="0" w:line="240" w:lineRule="auto"/>
      </w:pPr>
      <w:r>
        <w:separator/>
      </w:r>
    </w:p>
  </w:endnote>
  <w:endnote w:type="continuationSeparator" w:id="0">
    <w:p w:rsidR="00F62C90" w:rsidRDefault="00F62C90" w:rsidP="00251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C90" w:rsidRDefault="00F62C90" w:rsidP="00251769">
      <w:pPr>
        <w:spacing w:after="0" w:line="240" w:lineRule="auto"/>
      </w:pPr>
      <w:r>
        <w:separator/>
      </w:r>
    </w:p>
  </w:footnote>
  <w:footnote w:type="continuationSeparator" w:id="0">
    <w:p w:rsidR="00F62C90" w:rsidRDefault="00F62C90" w:rsidP="00251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9715831"/>
      <w:docPartObj>
        <w:docPartGallery w:val="Page Numbers (Top of Page)"/>
        <w:docPartUnique/>
      </w:docPartObj>
    </w:sdtPr>
    <w:sdtEndPr>
      <w:rPr>
        <w:noProof/>
      </w:rPr>
    </w:sdtEndPr>
    <w:sdtContent>
      <w:p w:rsidR="00251769" w:rsidRDefault="00251769">
        <w:pPr>
          <w:pStyle w:val="Header"/>
          <w:jc w:val="right"/>
          <w:rPr>
            <w:noProof/>
          </w:rPr>
        </w:pPr>
        <w:r>
          <w:fldChar w:fldCharType="begin"/>
        </w:r>
        <w:r>
          <w:instrText xml:space="preserve"> PAGE   \* MERGEFORMAT </w:instrText>
        </w:r>
        <w:r>
          <w:fldChar w:fldCharType="separate"/>
        </w:r>
        <w:r w:rsidR="0062240F">
          <w:rPr>
            <w:noProof/>
          </w:rPr>
          <w:t>1</w:t>
        </w:r>
        <w:r>
          <w:rPr>
            <w:noProof/>
          </w:rPr>
          <w:fldChar w:fldCharType="end"/>
        </w:r>
      </w:p>
      <w:p w:rsidR="004C3622" w:rsidRDefault="004C3622">
        <w:pPr>
          <w:pStyle w:val="Header"/>
          <w:jc w:val="right"/>
          <w:rPr>
            <w:noProof/>
          </w:rPr>
        </w:pPr>
        <w:r>
          <w:rPr>
            <w:noProof/>
          </w:rPr>
          <w:t>HH 113 - 25</w:t>
        </w:r>
      </w:p>
      <w:p w:rsidR="00251769" w:rsidRDefault="00BA2F75">
        <w:pPr>
          <w:pStyle w:val="Header"/>
          <w:jc w:val="right"/>
        </w:pPr>
        <w:r>
          <w:rPr>
            <w:noProof/>
          </w:rPr>
          <w:t>HCH 5273/23</w:t>
        </w:r>
      </w:p>
    </w:sdtContent>
  </w:sdt>
  <w:p w:rsidR="00251769" w:rsidRDefault="0025176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50440"/>
    <w:multiLevelType w:val="hybridMultilevel"/>
    <w:tmpl w:val="5494221C"/>
    <w:lvl w:ilvl="0" w:tplc="5EC04DA4">
      <w:start w:val="1"/>
      <w:numFmt w:val="decimal"/>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F1982"/>
    <w:multiLevelType w:val="hybridMultilevel"/>
    <w:tmpl w:val="91E20450"/>
    <w:lvl w:ilvl="0" w:tplc="93F24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C67E5"/>
    <w:multiLevelType w:val="hybridMultilevel"/>
    <w:tmpl w:val="0542272E"/>
    <w:lvl w:ilvl="0" w:tplc="DF926354">
      <w:start w:val="1"/>
      <w:numFmt w:val="decimal"/>
      <w:lvlText w:val="%1."/>
      <w:lvlJc w:val="left"/>
      <w:pPr>
        <w:ind w:left="108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2A9006B8"/>
    <w:multiLevelType w:val="hybridMultilevel"/>
    <w:tmpl w:val="822C300A"/>
    <w:lvl w:ilvl="0" w:tplc="53B6FA14">
      <w:start w:val="2"/>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55276FA4"/>
    <w:multiLevelType w:val="hybridMultilevel"/>
    <w:tmpl w:val="58145AD4"/>
    <w:lvl w:ilvl="0" w:tplc="827E83B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F35DFC"/>
    <w:multiLevelType w:val="hybridMultilevel"/>
    <w:tmpl w:val="822C300A"/>
    <w:lvl w:ilvl="0" w:tplc="53B6FA14">
      <w:start w:val="2"/>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726B44E9"/>
    <w:multiLevelType w:val="hybridMultilevel"/>
    <w:tmpl w:val="AD66C916"/>
    <w:lvl w:ilvl="0" w:tplc="5EC04DA4">
      <w:start w:val="1"/>
      <w:numFmt w:val="decimal"/>
      <w:lvlText w:val="%1."/>
      <w:lvlJc w:val="left"/>
      <w:pPr>
        <w:ind w:left="108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72FC6B5C"/>
    <w:multiLevelType w:val="hybridMultilevel"/>
    <w:tmpl w:val="37180F78"/>
    <w:lvl w:ilvl="0" w:tplc="F356C662">
      <w:start w:val="2"/>
      <w:numFmt w:val="decimal"/>
      <w:lvlText w:val="%1."/>
      <w:lvlJc w:val="left"/>
      <w:pPr>
        <w:ind w:left="108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15:restartNumberingAfterBreak="0">
    <w:nsid w:val="74A060F2"/>
    <w:multiLevelType w:val="hybridMultilevel"/>
    <w:tmpl w:val="DB1A33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6AB51B5"/>
    <w:multiLevelType w:val="hybridMultilevel"/>
    <w:tmpl w:val="CCE296F6"/>
    <w:lvl w:ilvl="0" w:tplc="5EC04DA4">
      <w:start w:val="1"/>
      <w:numFmt w:val="decimal"/>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8C52EE"/>
    <w:multiLevelType w:val="hybridMultilevel"/>
    <w:tmpl w:val="7C1A8854"/>
    <w:lvl w:ilvl="0" w:tplc="684CB07A">
      <w:start w:val="2"/>
      <w:numFmt w:val="decimal"/>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B441A3"/>
    <w:multiLevelType w:val="hybridMultilevel"/>
    <w:tmpl w:val="CDD4EF60"/>
    <w:lvl w:ilvl="0" w:tplc="684CB07A">
      <w:start w:val="2"/>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5"/>
  </w:num>
  <w:num w:numId="2">
    <w:abstractNumId w:val="3"/>
  </w:num>
  <w:num w:numId="3">
    <w:abstractNumId w:val="2"/>
  </w:num>
  <w:num w:numId="4">
    <w:abstractNumId w:val="8"/>
  </w:num>
  <w:num w:numId="5">
    <w:abstractNumId w:val="7"/>
  </w:num>
  <w:num w:numId="6">
    <w:abstractNumId w:val="4"/>
  </w:num>
  <w:num w:numId="7">
    <w:abstractNumId w:val="1"/>
  </w:num>
  <w:num w:numId="8">
    <w:abstractNumId w:val="11"/>
  </w:num>
  <w:num w:numId="9">
    <w:abstractNumId w:val="10"/>
  </w:num>
  <w:num w:numId="10">
    <w:abstractNumId w:val="0"/>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769"/>
    <w:rsid w:val="00051CD3"/>
    <w:rsid w:val="0007240F"/>
    <w:rsid w:val="000814D9"/>
    <w:rsid w:val="00096D0B"/>
    <w:rsid w:val="001B71B5"/>
    <w:rsid w:val="00240BE2"/>
    <w:rsid w:val="00251769"/>
    <w:rsid w:val="002912D2"/>
    <w:rsid w:val="00386B17"/>
    <w:rsid w:val="004C3622"/>
    <w:rsid w:val="0062240F"/>
    <w:rsid w:val="00662DA2"/>
    <w:rsid w:val="00687FD3"/>
    <w:rsid w:val="00692289"/>
    <w:rsid w:val="006C1C9E"/>
    <w:rsid w:val="00704F20"/>
    <w:rsid w:val="00752E0C"/>
    <w:rsid w:val="00816A03"/>
    <w:rsid w:val="008D3ED0"/>
    <w:rsid w:val="008D6698"/>
    <w:rsid w:val="009C1D0A"/>
    <w:rsid w:val="00AA2B4B"/>
    <w:rsid w:val="00AA3D18"/>
    <w:rsid w:val="00B522CA"/>
    <w:rsid w:val="00BA2F75"/>
    <w:rsid w:val="00BE39D7"/>
    <w:rsid w:val="00C45321"/>
    <w:rsid w:val="00C5117A"/>
    <w:rsid w:val="00CB3389"/>
    <w:rsid w:val="00D9438E"/>
    <w:rsid w:val="00DC36E0"/>
    <w:rsid w:val="00E04DA0"/>
    <w:rsid w:val="00EE1DC4"/>
    <w:rsid w:val="00F11E93"/>
    <w:rsid w:val="00F25FD1"/>
    <w:rsid w:val="00F62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A114C35-C028-409B-8704-BBEC3D95C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1769"/>
    <w:pPr>
      <w:spacing w:after="0" w:line="240" w:lineRule="auto"/>
    </w:pPr>
  </w:style>
  <w:style w:type="paragraph" w:styleId="Header">
    <w:name w:val="header"/>
    <w:basedOn w:val="Normal"/>
    <w:link w:val="HeaderChar"/>
    <w:uiPriority w:val="99"/>
    <w:unhideWhenUsed/>
    <w:rsid w:val="00251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769"/>
  </w:style>
  <w:style w:type="paragraph" w:styleId="Footer">
    <w:name w:val="footer"/>
    <w:basedOn w:val="Normal"/>
    <w:link w:val="FooterChar"/>
    <w:uiPriority w:val="99"/>
    <w:unhideWhenUsed/>
    <w:rsid w:val="00251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2025-02-25T08:28:00Z</cp:lastPrinted>
  <dcterms:created xsi:type="dcterms:W3CDTF">2025-03-21T10:08:00Z</dcterms:created>
  <dcterms:modified xsi:type="dcterms:W3CDTF">2025-03-21T10:08:00Z</dcterms:modified>
</cp:coreProperties>
</file>