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1769" w:rsidRDefault="00687FD3" w:rsidP="00251769">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TWOTAP LOGISTICS (PVT) LTD</w:t>
      </w:r>
    </w:p>
    <w:p w:rsidR="0007240F" w:rsidRDefault="0007240F" w:rsidP="00251769">
      <w:pPr>
        <w:pStyle w:val="NoSpacing"/>
        <w:jc w:val="both"/>
        <w:rPr>
          <w:rFonts w:ascii="Times New Roman" w:hAnsi="Times New Roman" w:cs="Times New Roman"/>
          <w:sz w:val="24"/>
          <w:szCs w:val="24"/>
        </w:rPr>
      </w:pPr>
      <w:r>
        <w:rPr>
          <w:rFonts w:ascii="Times New Roman" w:hAnsi="Times New Roman" w:cs="Times New Roman"/>
          <w:sz w:val="24"/>
          <w:szCs w:val="24"/>
        </w:rPr>
        <w:t>versus</w:t>
      </w:r>
    </w:p>
    <w:p w:rsidR="00251769" w:rsidRDefault="00687FD3" w:rsidP="00251769">
      <w:pPr>
        <w:pStyle w:val="NoSpacing"/>
        <w:jc w:val="both"/>
        <w:rPr>
          <w:rFonts w:ascii="Times New Roman" w:hAnsi="Times New Roman" w:cs="Times New Roman"/>
          <w:sz w:val="24"/>
          <w:szCs w:val="24"/>
        </w:rPr>
      </w:pPr>
      <w:r>
        <w:rPr>
          <w:rFonts w:ascii="Times New Roman" w:hAnsi="Times New Roman" w:cs="Times New Roman"/>
          <w:sz w:val="24"/>
          <w:szCs w:val="24"/>
        </w:rPr>
        <w:t>ZIMBABWE REVENUE AUTHORITY</w:t>
      </w:r>
    </w:p>
    <w:p w:rsidR="00687FD3" w:rsidRDefault="00687FD3" w:rsidP="00251769">
      <w:pPr>
        <w:pStyle w:val="NoSpacing"/>
        <w:jc w:val="both"/>
        <w:rPr>
          <w:rFonts w:ascii="Times New Roman" w:hAnsi="Times New Roman" w:cs="Times New Roman"/>
          <w:sz w:val="24"/>
          <w:szCs w:val="24"/>
        </w:rPr>
      </w:pPr>
      <w:r>
        <w:rPr>
          <w:rFonts w:ascii="Times New Roman" w:hAnsi="Times New Roman" w:cs="Times New Roman"/>
          <w:sz w:val="24"/>
          <w:szCs w:val="24"/>
        </w:rPr>
        <w:t>and</w:t>
      </w:r>
    </w:p>
    <w:p w:rsidR="00687FD3" w:rsidRDefault="00687FD3" w:rsidP="00251769">
      <w:pPr>
        <w:pStyle w:val="NoSpacing"/>
        <w:jc w:val="both"/>
        <w:rPr>
          <w:rFonts w:ascii="Times New Roman" w:hAnsi="Times New Roman" w:cs="Times New Roman"/>
          <w:sz w:val="24"/>
          <w:szCs w:val="24"/>
        </w:rPr>
      </w:pPr>
      <w:r>
        <w:rPr>
          <w:rFonts w:ascii="Times New Roman" w:hAnsi="Times New Roman" w:cs="Times New Roman"/>
          <w:sz w:val="24"/>
          <w:szCs w:val="24"/>
        </w:rPr>
        <w:t>MINISTER OF FIN</w:t>
      </w:r>
      <w:r w:rsidR="00CB3389">
        <w:rPr>
          <w:rFonts w:ascii="Times New Roman" w:hAnsi="Times New Roman" w:cs="Times New Roman"/>
          <w:sz w:val="24"/>
          <w:szCs w:val="24"/>
        </w:rPr>
        <w:t>AN</w:t>
      </w:r>
      <w:r>
        <w:rPr>
          <w:rFonts w:ascii="Times New Roman" w:hAnsi="Times New Roman" w:cs="Times New Roman"/>
          <w:sz w:val="24"/>
          <w:szCs w:val="24"/>
        </w:rPr>
        <w:t>CE AND ECONOMIC DEVELOPMENT</w:t>
      </w:r>
    </w:p>
    <w:p w:rsidR="0007240F" w:rsidRDefault="0007240F" w:rsidP="00251769">
      <w:pPr>
        <w:pStyle w:val="NoSpacing"/>
        <w:jc w:val="both"/>
        <w:rPr>
          <w:rFonts w:ascii="Times New Roman" w:hAnsi="Times New Roman" w:cs="Times New Roman"/>
          <w:sz w:val="24"/>
          <w:szCs w:val="24"/>
        </w:rPr>
      </w:pPr>
    </w:p>
    <w:p w:rsidR="00687FD3" w:rsidRDefault="00687FD3" w:rsidP="00251769">
      <w:pPr>
        <w:pStyle w:val="NoSpacing"/>
        <w:jc w:val="both"/>
        <w:rPr>
          <w:rFonts w:ascii="Times New Roman" w:hAnsi="Times New Roman" w:cs="Times New Roman"/>
          <w:sz w:val="24"/>
          <w:szCs w:val="24"/>
        </w:rPr>
      </w:pPr>
    </w:p>
    <w:p w:rsidR="00251769" w:rsidRDefault="00251769" w:rsidP="00251769">
      <w:pPr>
        <w:pStyle w:val="NoSpacing"/>
        <w:jc w:val="both"/>
        <w:rPr>
          <w:rFonts w:ascii="Times New Roman" w:hAnsi="Times New Roman" w:cs="Times New Roman"/>
          <w:sz w:val="24"/>
          <w:szCs w:val="24"/>
        </w:rPr>
      </w:pPr>
      <w:r>
        <w:rPr>
          <w:rFonts w:ascii="Times New Roman" w:hAnsi="Times New Roman" w:cs="Times New Roman"/>
          <w:sz w:val="24"/>
          <w:szCs w:val="24"/>
        </w:rPr>
        <w:t>HIGH COURT OF ZIMBABWE</w:t>
      </w:r>
    </w:p>
    <w:p w:rsidR="00251769" w:rsidRPr="00251769" w:rsidRDefault="00251769" w:rsidP="00251769">
      <w:pPr>
        <w:pStyle w:val="NoSpacing"/>
        <w:jc w:val="both"/>
        <w:rPr>
          <w:rFonts w:ascii="Times New Roman" w:hAnsi="Times New Roman" w:cs="Times New Roman"/>
          <w:b/>
          <w:sz w:val="24"/>
          <w:szCs w:val="24"/>
        </w:rPr>
      </w:pPr>
      <w:r w:rsidRPr="00251769">
        <w:rPr>
          <w:rFonts w:ascii="Times New Roman" w:hAnsi="Times New Roman" w:cs="Times New Roman"/>
          <w:b/>
          <w:sz w:val="24"/>
          <w:szCs w:val="24"/>
        </w:rPr>
        <w:t>TAKUVA J</w:t>
      </w:r>
    </w:p>
    <w:p w:rsidR="00251769" w:rsidRDefault="00DD1E5D" w:rsidP="00251769">
      <w:pPr>
        <w:pStyle w:val="NoSpacing"/>
        <w:jc w:val="both"/>
        <w:rPr>
          <w:rFonts w:ascii="Times New Roman" w:hAnsi="Times New Roman" w:cs="Times New Roman"/>
          <w:sz w:val="24"/>
          <w:szCs w:val="24"/>
        </w:rPr>
      </w:pPr>
      <w:r>
        <w:rPr>
          <w:rFonts w:ascii="Times New Roman" w:hAnsi="Times New Roman" w:cs="Times New Roman"/>
          <w:sz w:val="24"/>
          <w:szCs w:val="24"/>
        </w:rPr>
        <w:t>HARARE; 28 June 2024 &amp; 26</w:t>
      </w:r>
      <w:r w:rsidR="0007240F">
        <w:rPr>
          <w:rFonts w:ascii="Times New Roman" w:hAnsi="Times New Roman" w:cs="Times New Roman"/>
          <w:sz w:val="24"/>
          <w:szCs w:val="24"/>
        </w:rPr>
        <w:t xml:space="preserve"> </w:t>
      </w:r>
      <w:r w:rsidR="00251769">
        <w:rPr>
          <w:rFonts w:ascii="Times New Roman" w:hAnsi="Times New Roman" w:cs="Times New Roman"/>
          <w:sz w:val="24"/>
          <w:szCs w:val="24"/>
        </w:rPr>
        <w:t>February 2025</w:t>
      </w:r>
    </w:p>
    <w:p w:rsidR="00251769" w:rsidRDefault="00251769" w:rsidP="00251769">
      <w:pPr>
        <w:pStyle w:val="NoSpacing"/>
        <w:jc w:val="both"/>
        <w:rPr>
          <w:rFonts w:ascii="Times New Roman" w:hAnsi="Times New Roman" w:cs="Times New Roman"/>
          <w:sz w:val="24"/>
          <w:szCs w:val="24"/>
        </w:rPr>
      </w:pPr>
    </w:p>
    <w:p w:rsidR="00251769" w:rsidRDefault="00251769" w:rsidP="00816A03">
      <w:pPr>
        <w:pStyle w:val="NoSpacing"/>
        <w:jc w:val="both"/>
        <w:rPr>
          <w:rFonts w:ascii="Times New Roman" w:hAnsi="Times New Roman" w:cs="Times New Roman"/>
          <w:sz w:val="24"/>
          <w:szCs w:val="24"/>
        </w:rPr>
      </w:pPr>
    </w:p>
    <w:p w:rsidR="00251769" w:rsidRPr="00251769" w:rsidRDefault="00251769" w:rsidP="00251769">
      <w:pPr>
        <w:pStyle w:val="NoSpacing"/>
        <w:jc w:val="both"/>
        <w:rPr>
          <w:rFonts w:ascii="Times New Roman" w:hAnsi="Times New Roman" w:cs="Times New Roman"/>
          <w:b/>
          <w:i/>
          <w:sz w:val="24"/>
          <w:szCs w:val="24"/>
        </w:rPr>
      </w:pPr>
      <w:r w:rsidRPr="00251769">
        <w:rPr>
          <w:rFonts w:ascii="Times New Roman" w:hAnsi="Times New Roman" w:cs="Times New Roman"/>
          <w:b/>
          <w:i/>
          <w:sz w:val="24"/>
          <w:szCs w:val="24"/>
        </w:rPr>
        <w:t>Court Application</w:t>
      </w:r>
      <w:r w:rsidR="0007240F">
        <w:rPr>
          <w:rFonts w:ascii="Times New Roman" w:hAnsi="Times New Roman" w:cs="Times New Roman"/>
          <w:b/>
          <w:i/>
          <w:sz w:val="24"/>
          <w:szCs w:val="24"/>
        </w:rPr>
        <w:t xml:space="preserve"> For </w:t>
      </w:r>
      <w:r w:rsidR="00687FD3">
        <w:rPr>
          <w:rFonts w:ascii="Times New Roman" w:hAnsi="Times New Roman" w:cs="Times New Roman"/>
          <w:b/>
          <w:i/>
          <w:sz w:val="24"/>
          <w:szCs w:val="24"/>
        </w:rPr>
        <w:t>A Declaratory Order</w:t>
      </w:r>
    </w:p>
    <w:p w:rsidR="00251769" w:rsidRDefault="00251769" w:rsidP="00251769">
      <w:pPr>
        <w:pStyle w:val="NoSpacing"/>
        <w:jc w:val="both"/>
        <w:rPr>
          <w:rFonts w:ascii="Times New Roman" w:hAnsi="Times New Roman" w:cs="Times New Roman"/>
          <w:sz w:val="24"/>
          <w:szCs w:val="24"/>
        </w:rPr>
      </w:pPr>
    </w:p>
    <w:p w:rsidR="00251769" w:rsidRDefault="00251769" w:rsidP="00816A03">
      <w:pPr>
        <w:pStyle w:val="NoSpacing"/>
        <w:jc w:val="both"/>
        <w:rPr>
          <w:rFonts w:ascii="Times New Roman" w:hAnsi="Times New Roman" w:cs="Times New Roman"/>
          <w:sz w:val="24"/>
          <w:szCs w:val="24"/>
        </w:rPr>
      </w:pPr>
    </w:p>
    <w:p w:rsidR="00251769" w:rsidRDefault="00B51669" w:rsidP="00251769">
      <w:pPr>
        <w:pStyle w:val="NoSpacing"/>
        <w:jc w:val="both"/>
        <w:rPr>
          <w:rFonts w:ascii="Times New Roman" w:hAnsi="Times New Roman" w:cs="Times New Roman"/>
          <w:sz w:val="24"/>
          <w:szCs w:val="24"/>
        </w:rPr>
      </w:pPr>
      <w:r w:rsidRPr="00B51669">
        <w:rPr>
          <w:rFonts w:ascii="Times New Roman" w:hAnsi="Times New Roman" w:cs="Times New Roman"/>
          <w:i/>
          <w:sz w:val="24"/>
          <w:szCs w:val="24"/>
        </w:rPr>
        <w:t>L. Machauku</w:t>
      </w:r>
      <w:r w:rsidR="00251769">
        <w:rPr>
          <w:rFonts w:ascii="Times New Roman" w:hAnsi="Times New Roman" w:cs="Times New Roman"/>
          <w:sz w:val="24"/>
          <w:szCs w:val="24"/>
        </w:rPr>
        <w:t>, for the applicant</w:t>
      </w:r>
    </w:p>
    <w:p w:rsidR="00251769" w:rsidRDefault="00B51669" w:rsidP="00687FD3">
      <w:pPr>
        <w:pStyle w:val="NoSpacing"/>
        <w:jc w:val="both"/>
        <w:rPr>
          <w:rFonts w:ascii="Times New Roman" w:hAnsi="Times New Roman" w:cs="Times New Roman"/>
          <w:sz w:val="24"/>
          <w:szCs w:val="24"/>
        </w:rPr>
      </w:pPr>
      <w:r w:rsidRPr="00B51669">
        <w:rPr>
          <w:rFonts w:ascii="Times New Roman" w:hAnsi="Times New Roman" w:cs="Times New Roman"/>
          <w:i/>
          <w:sz w:val="24"/>
          <w:szCs w:val="24"/>
        </w:rPr>
        <w:t>H. Muromba</w:t>
      </w:r>
      <w:r w:rsidR="00251769">
        <w:rPr>
          <w:rFonts w:ascii="Times New Roman" w:hAnsi="Times New Roman" w:cs="Times New Roman"/>
          <w:sz w:val="24"/>
          <w:szCs w:val="24"/>
        </w:rPr>
        <w:t>, for the</w:t>
      </w:r>
      <w:r>
        <w:rPr>
          <w:rFonts w:ascii="Times New Roman" w:hAnsi="Times New Roman" w:cs="Times New Roman"/>
          <w:sz w:val="24"/>
          <w:szCs w:val="24"/>
        </w:rPr>
        <w:t xml:space="preserve"> first</w:t>
      </w:r>
      <w:r w:rsidR="00251769">
        <w:rPr>
          <w:rFonts w:ascii="Times New Roman" w:hAnsi="Times New Roman" w:cs="Times New Roman"/>
          <w:sz w:val="24"/>
          <w:szCs w:val="24"/>
        </w:rPr>
        <w:t xml:space="preserve"> respondents</w:t>
      </w:r>
    </w:p>
    <w:p w:rsidR="00B51669" w:rsidRDefault="00B51669" w:rsidP="00687FD3">
      <w:pPr>
        <w:pStyle w:val="NoSpacing"/>
        <w:jc w:val="both"/>
        <w:rPr>
          <w:rFonts w:ascii="Times New Roman" w:hAnsi="Times New Roman" w:cs="Times New Roman"/>
          <w:sz w:val="24"/>
          <w:szCs w:val="24"/>
        </w:rPr>
      </w:pPr>
      <w:r w:rsidRPr="00B51669">
        <w:rPr>
          <w:rFonts w:ascii="Times New Roman" w:hAnsi="Times New Roman" w:cs="Times New Roman"/>
          <w:i/>
          <w:sz w:val="24"/>
          <w:szCs w:val="24"/>
        </w:rPr>
        <w:t>A. Magunde</w:t>
      </w:r>
      <w:r>
        <w:rPr>
          <w:rFonts w:ascii="Times New Roman" w:hAnsi="Times New Roman" w:cs="Times New Roman"/>
          <w:sz w:val="24"/>
          <w:szCs w:val="24"/>
        </w:rPr>
        <w:t>, for the second respondent</w:t>
      </w:r>
    </w:p>
    <w:p w:rsidR="00251769" w:rsidRDefault="00251769" w:rsidP="00687FD3">
      <w:pPr>
        <w:pStyle w:val="NoSpacing"/>
        <w:jc w:val="both"/>
        <w:rPr>
          <w:rFonts w:ascii="Times New Roman" w:hAnsi="Times New Roman" w:cs="Times New Roman"/>
          <w:sz w:val="24"/>
          <w:szCs w:val="24"/>
        </w:rPr>
      </w:pPr>
    </w:p>
    <w:p w:rsidR="00687FD3" w:rsidRDefault="00687FD3" w:rsidP="00687FD3">
      <w:pPr>
        <w:pStyle w:val="NoSpacing"/>
        <w:jc w:val="both"/>
        <w:rPr>
          <w:rFonts w:ascii="Times New Roman" w:hAnsi="Times New Roman" w:cs="Times New Roman"/>
          <w:sz w:val="24"/>
          <w:szCs w:val="24"/>
        </w:rPr>
      </w:pPr>
    </w:p>
    <w:p w:rsidR="00251769" w:rsidRDefault="00251769" w:rsidP="00251769">
      <w:pPr>
        <w:pStyle w:val="NoSpacing"/>
        <w:jc w:val="both"/>
        <w:rPr>
          <w:rFonts w:ascii="Times New Roman" w:hAnsi="Times New Roman" w:cs="Times New Roman"/>
          <w:sz w:val="24"/>
          <w:szCs w:val="24"/>
        </w:rPr>
      </w:pPr>
      <w:r>
        <w:rPr>
          <w:rFonts w:ascii="Times New Roman" w:hAnsi="Times New Roman" w:cs="Times New Roman"/>
          <w:sz w:val="24"/>
          <w:szCs w:val="24"/>
        </w:rPr>
        <w:tab/>
        <w:t>TAKUVA J:</w:t>
      </w:r>
    </w:p>
    <w:p w:rsidR="00251769" w:rsidRDefault="00251769" w:rsidP="00251769">
      <w:pPr>
        <w:pStyle w:val="NoSpacing"/>
        <w:jc w:val="both"/>
        <w:rPr>
          <w:rFonts w:ascii="Times New Roman" w:hAnsi="Times New Roman" w:cs="Times New Roman"/>
          <w:sz w:val="24"/>
          <w:szCs w:val="24"/>
        </w:rPr>
      </w:pPr>
    </w:p>
    <w:p w:rsidR="00251769" w:rsidRDefault="00251769" w:rsidP="00816A03">
      <w:pPr>
        <w:pStyle w:val="NoSpacing"/>
        <w:rPr>
          <w:rFonts w:ascii="Times New Roman" w:hAnsi="Times New Roman" w:cs="Times New Roman"/>
          <w:sz w:val="24"/>
          <w:szCs w:val="24"/>
        </w:rPr>
      </w:pPr>
    </w:p>
    <w:p w:rsidR="00687FD3" w:rsidRDefault="00251769" w:rsidP="00687FD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25FD1">
        <w:rPr>
          <w:rFonts w:ascii="Times New Roman" w:hAnsi="Times New Roman" w:cs="Times New Roman"/>
          <w:sz w:val="24"/>
          <w:szCs w:val="24"/>
        </w:rPr>
        <w:t>This is a court application for a declaratory order made in terms of s 14 of the High Court Act [</w:t>
      </w:r>
      <w:r w:rsidR="00F25FD1" w:rsidRPr="00CB3389">
        <w:rPr>
          <w:rFonts w:ascii="Times New Roman" w:hAnsi="Times New Roman" w:cs="Times New Roman"/>
          <w:i/>
          <w:sz w:val="24"/>
          <w:szCs w:val="24"/>
        </w:rPr>
        <w:t>Chapter 7:06</w:t>
      </w:r>
      <w:r w:rsidR="00F25FD1">
        <w:rPr>
          <w:rFonts w:ascii="Times New Roman" w:hAnsi="Times New Roman" w:cs="Times New Roman"/>
          <w:sz w:val="24"/>
          <w:szCs w:val="24"/>
        </w:rPr>
        <w:t>]. The application seeks to ensure that anything done contrary to the peremptory provisions of legislation is declared null and void and is of no force or effect.</w:t>
      </w:r>
    </w:p>
    <w:p w:rsidR="00F25FD1" w:rsidRPr="00CB3389" w:rsidRDefault="00F25FD1" w:rsidP="00687FD3">
      <w:pPr>
        <w:pStyle w:val="NoSpacing"/>
        <w:spacing w:line="360" w:lineRule="auto"/>
        <w:jc w:val="both"/>
        <w:rPr>
          <w:rFonts w:ascii="Times New Roman" w:hAnsi="Times New Roman" w:cs="Times New Roman"/>
          <w:b/>
          <w:sz w:val="24"/>
          <w:szCs w:val="24"/>
          <w:u w:val="single"/>
        </w:rPr>
      </w:pPr>
      <w:r w:rsidRPr="00CB3389">
        <w:rPr>
          <w:rFonts w:ascii="Times New Roman" w:hAnsi="Times New Roman" w:cs="Times New Roman"/>
          <w:b/>
          <w:sz w:val="24"/>
          <w:szCs w:val="24"/>
          <w:u w:val="single"/>
        </w:rPr>
        <w:t>BACKGROUND FACTS</w:t>
      </w:r>
    </w:p>
    <w:p w:rsidR="00F25FD1" w:rsidRDefault="00F25FD1" w:rsidP="00687FD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On 1</w:t>
      </w:r>
      <w:r w:rsidR="00CB3389">
        <w:rPr>
          <w:rFonts w:ascii="Times New Roman" w:hAnsi="Times New Roman" w:cs="Times New Roman"/>
          <w:sz w:val="24"/>
          <w:szCs w:val="24"/>
        </w:rPr>
        <w:t>8</w:t>
      </w:r>
      <w:r w:rsidR="00CB3389" w:rsidRPr="00CB3389">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2020, first respondent’s Regional manager, Forbes &amp; Environs Region declared forfeited applicant’s property being a vehicle and its trailer REGAEZ 740.</w:t>
      </w:r>
    </w:p>
    <w:p w:rsidR="009C1D0A" w:rsidRPr="00CB3389" w:rsidRDefault="00F25FD1" w:rsidP="00F25FD1">
      <w:pPr>
        <w:pStyle w:val="NoSpacing"/>
        <w:spacing w:line="360" w:lineRule="auto"/>
        <w:jc w:val="both"/>
        <w:rPr>
          <w:rFonts w:ascii="Times New Roman" w:hAnsi="Times New Roman" w:cs="Times New Roman"/>
          <w:b/>
          <w:sz w:val="24"/>
          <w:szCs w:val="24"/>
          <w:u w:val="single"/>
        </w:rPr>
      </w:pPr>
      <w:r w:rsidRPr="00CB3389">
        <w:rPr>
          <w:rFonts w:ascii="Times New Roman" w:hAnsi="Times New Roman" w:cs="Times New Roman"/>
          <w:b/>
          <w:sz w:val="24"/>
          <w:szCs w:val="24"/>
          <w:u w:val="single"/>
        </w:rPr>
        <w:t>APPLICANT’S CASE</w:t>
      </w:r>
    </w:p>
    <w:p w:rsidR="00F25FD1" w:rsidRDefault="00F25FD1" w:rsidP="00F25FD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contended by applicant that the purported forfeiture was done contrary to the provisions of the Customs and Excise Act (the Act). Further applicant submitted it has an interest in an existing legal right and that it is in the interests of justice for the court to exercise its discretion in favour of the declaratory order sought.</w:t>
      </w:r>
    </w:p>
    <w:p w:rsidR="00F25FD1" w:rsidRPr="00CB3389" w:rsidRDefault="00F25FD1" w:rsidP="00F25FD1">
      <w:pPr>
        <w:pStyle w:val="NoSpacing"/>
        <w:spacing w:line="360" w:lineRule="auto"/>
        <w:jc w:val="both"/>
        <w:rPr>
          <w:rFonts w:ascii="Times New Roman" w:hAnsi="Times New Roman" w:cs="Times New Roman"/>
          <w:b/>
          <w:sz w:val="24"/>
          <w:szCs w:val="24"/>
          <w:u w:val="single"/>
        </w:rPr>
      </w:pPr>
      <w:r w:rsidRPr="00CB3389">
        <w:rPr>
          <w:rFonts w:ascii="Times New Roman" w:hAnsi="Times New Roman" w:cs="Times New Roman"/>
          <w:b/>
          <w:sz w:val="24"/>
          <w:szCs w:val="24"/>
          <w:u w:val="single"/>
        </w:rPr>
        <w:t>RESPONDENT’S CASE</w:t>
      </w:r>
    </w:p>
    <w:p w:rsidR="00F25FD1" w:rsidRDefault="00F25FD1" w:rsidP="00CB3389">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Respondent raised prescription as a point </w:t>
      </w:r>
      <w:r w:rsidRPr="00CB3389">
        <w:rPr>
          <w:rFonts w:ascii="Times New Roman" w:hAnsi="Times New Roman" w:cs="Times New Roman"/>
          <w:i/>
          <w:sz w:val="24"/>
          <w:szCs w:val="24"/>
        </w:rPr>
        <w:t>in limine</w:t>
      </w:r>
      <w:r>
        <w:rPr>
          <w:rFonts w:ascii="Times New Roman" w:hAnsi="Times New Roman" w:cs="Times New Roman"/>
          <w:sz w:val="24"/>
          <w:szCs w:val="24"/>
        </w:rPr>
        <w:t>. This argument is premised on the provisions of s 196(1) of the Act. The section provides;</w:t>
      </w:r>
    </w:p>
    <w:p w:rsidR="00F25FD1" w:rsidRPr="00CB3389" w:rsidRDefault="00F25FD1" w:rsidP="00CB3389">
      <w:pPr>
        <w:pStyle w:val="NoSpacing"/>
        <w:jc w:val="both"/>
        <w:rPr>
          <w:rFonts w:ascii="Times New Roman" w:hAnsi="Times New Roman" w:cs="Times New Roman"/>
          <w:szCs w:val="24"/>
        </w:rPr>
      </w:pPr>
      <w:r>
        <w:rPr>
          <w:rFonts w:ascii="Times New Roman" w:hAnsi="Times New Roman" w:cs="Times New Roman"/>
          <w:sz w:val="24"/>
          <w:szCs w:val="24"/>
        </w:rPr>
        <w:lastRenderedPageBreak/>
        <w:tab/>
      </w:r>
      <w:r w:rsidRPr="00CB3389">
        <w:rPr>
          <w:rFonts w:ascii="Times New Roman" w:hAnsi="Times New Roman" w:cs="Times New Roman"/>
          <w:szCs w:val="24"/>
        </w:rPr>
        <w:t xml:space="preserve">“1. No civil proceedings shall be instituted against the State, the Commissioner General or an </w:t>
      </w:r>
      <w:r w:rsidR="00CB3389">
        <w:rPr>
          <w:rFonts w:ascii="Times New Roman" w:hAnsi="Times New Roman" w:cs="Times New Roman"/>
          <w:szCs w:val="24"/>
        </w:rPr>
        <w:tab/>
        <w:t xml:space="preserve"> </w:t>
      </w:r>
      <w:r w:rsidR="00CB3389">
        <w:rPr>
          <w:rFonts w:ascii="Times New Roman" w:hAnsi="Times New Roman" w:cs="Times New Roman"/>
          <w:szCs w:val="24"/>
        </w:rPr>
        <w:tab/>
        <w:t xml:space="preserve">      </w:t>
      </w:r>
      <w:r w:rsidRPr="00CB3389">
        <w:rPr>
          <w:rFonts w:ascii="Times New Roman" w:hAnsi="Times New Roman" w:cs="Times New Roman"/>
          <w:szCs w:val="24"/>
        </w:rPr>
        <w:t xml:space="preserve">officer for anything done or omitted to be done by the Commissioner General or an officer </w:t>
      </w:r>
      <w:r w:rsidR="00CB3389">
        <w:rPr>
          <w:rFonts w:ascii="Times New Roman" w:hAnsi="Times New Roman" w:cs="Times New Roman"/>
          <w:szCs w:val="24"/>
        </w:rPr>
        <w:tab/>
        <w:t xml:space="preserve">  </w:t>
      </w:r>
      <w:r w:rsidR="00CB3389">
        <w:rPr>
          <w:rFonts w:ascii="Times New Roman" w:hAnsi="Times New Roman" w:cs="Times New Roman"/>
          <w:szCs w:val="24"/>
        </w:rPr>
        <w:tab/>
        <w:t xml:space="preserve">      </w:t>
      </w:r>
      <w:r w:rsidRPr="00CB3389">
        <w:rPr>
          <w:rFonts w:ascii="Times New Roman" w:hAnsi="Times New Roman" w:cs="Times New Roman"/>
          <w:szCs w:val="24"/>
        </w:rPr>
        <w:t xml:space="preserve">under this Act or any other law relating to customs and exercise until 60 days after notice has </w:t>
      </w:r>
      <w:r w:rsidR="00CB3389">
        <w:rPr>
          <w:rFonts w:ascii="Times New Roman" w:hAnsi="Times New Roman" w:cs="Times New Roman"/>
          <w:szCs w:val="24"/>
        </w:rPr>
        <w:tab/>
        <w:t xml:space="preserve">  </w:t>
      </w:r>
      <w:r w:rsidR="00CB3389">
        <w:rPr>
          <w:rFonts w:ascii="Times New Roman" w:hAnsi="Times New Roman" w:cs="Times New Roman"/>
          <w:szCs w:val="24"/>
        </w:rPr>
        <w:tab/>
        <w:t xml:space="preserve">      </w:t>
      </w:r>
      <w:r w:rsidRPr="00CB3389">
        <w:rPr>
          <w:rFonts w:ascii="Times New Roman" w:hAnsi="Times New Roman" w:cs="Times New Roman"/>
          <w:szCs w:val="24"/>
        </w:rPr>
        <w:t>been given in terms of the State Liabilities Act [</w:t>
      </w:r>
      <w:r w:rsidRPr="00CB3389">
        <w:rPr>
          <w:rFonts w:ascii="Times New Roman" w:hAnsi="Times New Roman" w:cs="Times New Roman"/>
          <w:i/>
          <w:szCs w:val="24"/>
        </w:rPr>
        <w:t>Chapter 8:14</w:t>
      </w:r>
      <w:r w:rsidRPr="00CB3389">
        <w:rPr>
          <w:rFonts w:ascii="Times New Roman" w:hAnsi="Times New Roman" w:cs="Times New Roman"/>
          <w:szCs w:val="24"/>
        </w:rPr>
        <w:t>]</w:t>
      </w:r>
      <w:r w:rsidR="00051CD3" w:rsidRPr="00CB3389">
        <w:rPr>
          <w:rFonts w:ascii="Times New Roman" w:hAnsi="Times New Roman" w:cs="Times New Roman"/>
          <w:szCs w:val="24"/>
        </w:rPr>
        <w:t>.</w:t>
      </w:r>
    </w:p>
    <w:p w:rsidR="00051CD3" w:rsidRPr="00CB3389" w:rsidRDefault="00051CD3" w:rsidP="00CB3389">
      <w:pPr>
        <w:pStyle w:val="NoSpacing"/>
        <w:numPr>
          <w:ilvl w:val="0"/>
          <w:numId w:val="5"/>
        </w:numPr>
        <w:spacing w:after="240"/>
        <w:jc w:val="both"/>
        <w:rPr>
          <w:rFonts w:ascii="Times New Roman" w:hAnsi="Times New Roman" w:cs="Times New Roman"/>
          <w:szCs w:val="24"/>
        </w:rPr>
      </w:pPr>
      <w:r w:rsidRPr="00CB3389">
        <w:rPr>
          <w:rFonts w:ascii="Times New Roman" w:hAnsi="Times New Roman" w:cs="Times New Roman"/>
          <w:szCs w:val="24"/>
        </w:rPr>
        <w:t>Subject to subsection (12) of s 193, any proceedings referred to in subsection 1 shall be brought within 8 months aft</w:t>
      </w:r>
      <w:r w:rsidR="00B51669">
        <w:rPr>
          <w:rFonts w:ascii="Times New Roman" w:hAnsi="Times New Roman" w:cs="Times New Roman"/>
          <w:szCs w:val="24"/>
        </w:rPr>
        <w:t>er the cause thereof arose, and</w:t>
      </w:r>
      <w:r w:rsidRPr="00CB3389">
        <w:rPr>
          <w:rFonts w:ascii="Times New Roman" w:hAnsi="Times New Roman" w:cs="Times New Roman"/>
          <w:szCs w:val="24"/>
        </w:rPr>
        <w:t>_ _ _ _”</w:t>
      </w:r>
    </w:p>
    <w:p w:rsidR="00051CD3" w:rsidRDefault="00051CD3" w:rsidP="00CB3389">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prescriptive provisions set out under the Act were interpreted by the Supreme Court in </w:t>
      </w:r>
      <w:r w:rsidRPr="00CB3389">
        <w:rPr>
          <w:rFonts w:ascii="Times New Roman" w:hAnsi="Times New Roman" w:cs="Times New Roman"/>
          <w:i/>
          <w:sz w:val="24"/>
          <w:szCs w:val="24"/>
        </w:rPr>
        <w:t>TwoTap Logistics (Pvt) Ltd</w:t>
      </w:r>
      <w:r>
        <w:rPr>
          <w:rFonts w:ascii="Times New Roman" w:hAnsi="Times New Roman" w:cs="Times New Roman"/>
          <w:sz w:val="24"/>
          <w:szCs w:val="24"/>
        </w:rPr>
        <w:t xml:space="preserve"> v </w:t>
      </w:r>
      <w:r w:rsidRPr="00CB3389">
        <w:rPr>
          <w:rFonts w:ascii="Times New Roman" w:hAnsi="Times New Roman" w:cs="Times New Roman"/>
          <w:i/>
          <w:sz w:val="24"/>
          <w:szCs w:val="24"/>
        </w:rPr>
        <w:t>Zimbabwe Revenue Authority</w:t>
      </w:r>
      <w:r>
        <w:rPr>
          <w:rFonts w:ascii="Times New Roman" w:hAnsi="Times New Roman" w:cs="Times New Roman"/>
          <w:sz w:val="24"/>
          <w:szCs w:val="24"/>
        </w:rPr>
        <w:t xml:space="preserve"> SC 3/23 wherein the court held that;</w:t>
      </w:r>
    </w:p>
    <w:p w:rsidR="00051CD3" w:rsidRPr="00CB3389" w:rsidRDefault="00051CD3" w:rsidP="00CB3389">
      <w:pPr>
        <w:pStyle w:val="NoSpacing"/>
        <w:spacing w:after="240"/>
        <w:ind w:left="720"/>
        <w:jc w:val="both"/>
        <w:rPr>
          <w:rFonts w:ascii="Times New Roman" w:hAnsi="Times New Roman" w:cs="Times New Roman"/>
          <w:szCs w:val="24"/>
        </w:rPr>
      </w:pPr>
      <w:r w:rsidRPr="00CB3389">
        <w:rPr>
          <w:rFonts w:ascii="Times New Roman" w:hAnsi="Times New Roman" w:cs="Times New Roman"/>
          <w:szCs w:val="24"/>
        </w:rPr>
        <w:t>“Connected to the above is the fact that the cause of action contemplated under s. 193(12) is the</w:t>
      </w:r>
      <w:r w:rsidR="00B51669">
        <w:rPr>
          <w:rFonts w:ascii="Times New Roman" w:hAnsi="Times New Roman" w:cs="Times New Roman"/>
          <w:szCs w:val="24"/>
        </w:rPr>
        <w:t xml:space="preserve"> seizure of the appellant’s truc</w:t>
      </w:r>
      <w:r w:rsidRPr="00CB3389">
        <w:rPr>
          <w:rFonts w:ascii="Times New Roman" w:hAnsi="Times New Roman" w:cs="Times New Roman"/>
          <w:szCs w:val="24"/>
        </w:rPr>
        <w:t>k trailer and its contents. Under s 196(2) the cause of action is different and wider than just seizure of property.</w:t>
      </w:r>
    </w:p>
    <w:p w:rsidR="00051CD3" w:rsidRPr="00CB3389" w:rsidRDefault="00051CD3" w:rsidP="00CB3389">
      <w:pPr>
        <w:pStyle w:val="NoSpacing"/>
        <w:spacing w:after="240"/>
        <w:ind w:left="720"/>
        <w:jc w:val="both"/>
        <w:rPr>
          <w:rFonts w:ascii="Times New Roman" w:hAnsi="Times New Roman" w:cs="Times New Roman"/>
          <w:szCs w:val="24"/>
        </w:rPr>
      </w:pPr>
      <w:r w:rsidRPr="00CB3389">
        <w:rPr>
          <w:rFonts w:ascii="Times New Roman" w:hAnsi="Times New Roman" w:cs="Times New Roman"/>
          <w:szCs w:val="24"/>
        </w:rPr>
        <w:t xml:space="preserve">S 196(1) provides for the 60 day notice required to be given to the respondent and the officer before any civil proceedings arising from their actions or omissions under the Act are instituted. S 196(2) provides that for such civil proceedings (other than against seizure) the period of prescription shall run for 8 </w:t>
      </w:r>
      <w:r w:rsidR="00CB3389" w:rsidRPr="00CB3389">
        <w:rPr>
          <w:rFonts w:ascii="Times New Roman" w:hAnsi="Times New Roman" w:cs="Times New Roman"/>
          <w:szCs w:val="24"/>
        </w:rPr>
        <w:t xml:space="preserve">months </w:t>
      </w:r>
      <w:r w:rsidRPr="00CB3389">
        <w:rPr>
          <w:rFonts w:ascii="Times New Roman" w:hAnsi="Times New Roman" w:cs="Times New Roman"/>
          <w:szCs w:val="24"/>
        </w:rPr>
        <w:t>reckoned from the date that the cause of action arose. (own brackets)</w:t>
      </w:r>
    </w:p>
    <w:p w:rsidR="00051CD3" w:rsidRPr="00CB3389" w:rsidRDefault="00051CD3" w:rsidP="00CB3389">
      <w:pPr>
        <w:pStyle w:val="NoSpacing"/>
        <w:spacing w:after="240"/>
        <w:ind w:left="720"/>
        <w:jc w:val="both"/>
        <w:rPr>
          <w:rFonts w:ascii="Times New Roman" w:hAnsi="Times New Roman" w:cs="Times New Roman"/>
          <w:szCs w:val="24"/>
        </w:rPr>
      </w:pPr>
      <w:r w:rsidRPr="00CB3389">
        <w:rPr>
          <w:rFonts w:ascii="Times New Roman" w:hAnsi="Times New Roman" w:cs="Times New Roman"/>
          <w:szCs w:val="24"/>
        </w:rPr>
        <w:t xml:space="preserve">As the term “civil proceedings” is all </w:t>
      </w:r>
      <w:r w:rsidR="00B51669">
        <w:rPr>
          <w:rFonts w:ascii="Times New Roman" w:hAnsi="Times New Roman" w:cs="Times New Roman"/>
          <w:szCs w:val="24"/>
        </w:rPr>
        <w:t>embras</w:t>
      </w:r>
      <w:r w:rsidR="006C1C9E" w:rsidRPr="00CB3389">
        <w:rPr>
          <w:rFonts w:ascii="Times New Roman" w:hAnsi="Times New Roman" w:cs="Times New Roman"/>
          <w:szCs w:val="24"/>
        </w:rPr>
        <w:t>ive</w:t>
      </w:r>
      <w:r w:rsidRPr="00CB3389">
        <w:rPr>
          <w:rFonts w:ascii="Times New Roman" w:hAnsi="Times New Roman" w:cs="Times New Roman"/>
          <w:szCs w:val="24"/>
        </w:rPr>
        <w:t xml:space="preserve"> it must include proceedings against forfeiture of property as opposed to seizure of the same. In </w:t>
      </w:r>
      <w:r w:rsidRPr="00DC36E0">
        <w:rPr>
          <w:rFonts w:ascii="Times New Roman" w:hAnsi="Times New Roman" w:cs="Times New Roman"/>
          <w:i/>
          <w:szCs w:val="24"/>
        </w:rPr>
        <w:t>casu</w:t>
      </w:r>
      <w:r w:rsidRPr="00CB3389">
        <w:rPr>
          <w:rFonts w:ascii="Times New Roman" w:hAnsi="Times New Roman" w:cs="Times New Roman"/>
          <w:szCs w:val="24"/>
        </w:rPr>
        <w:t xml:space="preserve"> the ca</w:t>
      </w:r>
      <w:r w:rsidR="006C1C9E" w:rsidRPr="00CB3389">
        <w:rPr>
          <w:rFonts w:ascii="Times New Roman" w:hAnsi="Times New Roman" w:cs="Times New Roman"/>
          <w:szCs w:val="24"/>
        </w:rPr>
        <w:t>use of action is not seizure but forfeiture of property. The period of prescription is thus the eight months provided for under s 196(2).”</w:t>
      </w:r>
    </w:p>
    <w:p w:rsidR="006C1C9E" w:rsidRDefault="006C1C9E" w:rsidP="00051CD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w:t>
      </w:r>
      <w:r w:rsidRPr="00CB3389">
        <w:rPr>
          <w:rFonts w:ascii="Times New Roman" w:hAnsi="Times New Roman" w:cs="Times New Roman"/>
          <w:i/>
          <w:sz w:val="24"/>
          <w:szCs w:val="24"/>
        </w:rPr>
        <w:t>casu</w:t>
      </w:r>
      <w:r>
        <w:rPr>
          <w:rFonts w:ascii="Times New Roman" w:hAnsi="Times New Roman" w:cs="Times New Roman"/>
          <w:sz w:val="24"/>
          <w:szCs w:val="24"/>
        </w:rPr>
        <w:t>, the applicant is challenging the propriety of the first respondent’s Regional Manager’s conduct. It argues he had no authority to declare forfeiture of the property. This challenge is done via civil proceedings, making the application fall squ</w:t>
      </w:r>
      <w:r w:rsidR="00B51669">
        <w:rPr>
          <w:rFonts w:ascii="Times New Roman" w:hAnsi="Times New Roman" w:cs="Times New Roman"/>
          <w:sz w:val="24"/>
          <w:szCs w:val="24"/>
        </w:rPr>
        <w:t xml:space="preserve">arely within the ambit of s 196(2) </w:t>
      </w:r>
      <w:r>
        <w:rPr>
          <w:rFonts w:ascii="Times New Roman" w:hAnsi="Times New Roman" w:cs="Times New Roman"/>
          <w:sz w:val="24"/>
          <w:szCs w:val="24"/>
        </w:rPr>
        <w:t xml:space="preserve">of the Act. It matters not in my view that the application has been couched as an application for a declaratory order. The term “civil proceedings” is wide and all embracing – Two Tap </w:t>
      </w:r>
      <w:r w:rsidRPr="00DC36E0">
        <w:rPr>
          <w:rFonts w:ascii="Times New Roman" w:hAnsi="Times New Roman" w:cs="Times New Roman"/>
          <w:i/>
          <w:sz w:val="24"/>
          <w:szCs w:val="24"/>
        </w:rPr>
        <w:t>supra</w:t>
      </w:r>
      <w:r>
        <w:rPr>
          <w:rFonts w:ascii="Times New Roman" w:hAnsi="Times New Roman" w:cs="Times New Roman"/>
          <w:sz w:val="24"/>
          <w:szCs w:val="24"/>
        </w:rPr>
        <w:t>. The prescriptive periods set out in s 196 of the Act apply to the applicant’s application.</w:t>
      </w:r>
    </w:p>
    <w:p w:rsidR="006C1C9E" w:rsidRDefault="006C1C9E" w:rsidP="00051CD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common cause in</w:t>
      </w:r>
      <w:r w:rsidRPr="00CB3389">
        <w:rPr>
          <w:rFonts w:ascii="Times New Roman" w:hAnsi="Times New Roman" w:cs="Times New Roman"/>
          <w:i/>
          <w:sz w:val="24"/>
          <w:szCs w:val="24"/>
        </w:rPr>
        <w:t xml:space="preserve"> casu</w:t>
      </w:r>
      <w:r>
        <w:rPr>
          <w:rFonts w:ascii="Times New Roman" w:hAnsi="Times New Roman" w:cs="Times New Roman"/>
          <w:sz w:val="24"/>
          <w:szCs w:val="24"/>
        </w:rPr>
        <w:t xml:space="preserve"> that forfeiture was communicated to the applicant on 18 August 202</w:t>
      </w:r>
      <w:r w:rsidR="00CB3389">
        <w:rPr>
          <w:rFonts w:ascii="Times New Roman" w:hAnsi="Times New Roman" w:cs="Times New Roman"/>
          <w:sz w:val="24"/>
          <w:szCs w:val="24"/>
        </w:rPr>
        <w:t>0</w:t>
      </w:r>
      <w:r>
        <w:rPr>
          <w:rFonts w:ascii="Times New Roman" w:hAnsi="Times New Roman" w:cs="Times New Roman"/>
          <w:sz w:val="24"/>
          <w:szCs w:val="24"/>
        </w:rPr>
        <w:t>. Any civil proceedings challenging it (including by way of an application for a declaratory order such as the present) ought therefore to have been launched within eight (8) months, that is on or before 18 April 2020. By failing to do so, applicant’s cause prescribed and became unrecoverable at law.</w:t>
      </w:r>
    </w:p>
    <w:p w:rsidR="006C1C9E" w:rsidRDefault="006C1C9E" w:rsidP="00051CD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Extensive reliance was placed on the authority of </w:t>
      </w:r>
      <w:r w:rsidRPr="00CB3389">
        <w:rPr>
          <w:rFonts w:ascii="Times New Roman" w:hAnsi="Times New Roman" w:cs="Times New Roman"/>
          <w:i/>
          <w:sz w:val="24"/>
          <w:szCs w:val="24"/>
        </w:rPr>
        <w:t xml:space="preserve">Ndlovu </w:t>
      </w:r>
      <w:r>
        <w:rPr>
          <w:rFonts w:ascii="Times New Roman" w:hAnsi="Times New Roman" w:cs="Times New Roman"/>
          <w:sz w:val="24"/>
          <w:szCs w:val="24"/>
        </w:rPr>
        <w:t xml:space="preserve">v </w:t>
      </w:r>
      <w:r w:rsidRPr="00CB3389">
        <w:rPr>
          <w:rFonts w:ascii="Times New Roman" w:hAnsi="Times New Roman" w:cs="Times New Roman"/>
          <w:i/>
          <w:sz w:val="24"/>
          <w:szCs w:val="24"/>
        </w:rPr>
        <w:t>Ndlovu</w:t>
      </w:r>
      <w:r>
        <w:rPr>
          <w:rFonts w:ascii="Times New Roman" w:hAnsi="Times New Roman" w:cs="Times New Roman"/>
          <w:sz w:val="24"/>
          <w:szCs w:val="24"/>
        </w:rPr>
        <w:t xml:space="preserve"> 2013 (1) ZLR 110 (H) in support of the proposition that the remedy of a declaratory order cannot prescribe. In my view such reliance is misplaced and misleading. In the present matter, the court is concerned with the Customs</w:t>
      </w:r>
      <w:r w:rsidR="00B51669">
        <w:rPr>
          <w:rFonts w:ascii="Times New Roman" w:hAnsi="Times New Roman" w:cs="Times New Roman"/>
          <w:sz w:val="24"/>
          <w:szCs w:val="24"/>
        </w:rPr>
        <w:t xml:space="preserve"> &amp; Excise Act where as in Ndlovu </w:t>
      </w:r>
      <w:r>
        <w:rPr>
          <w:rFonts w:ascii="Times New Roman" w:hAnsi="Times New Roman" w:cs="Times New Roman"/>
          <w:sz w:val="24"/>
          <w:szCs w:val="24"/>
        </w:rPr>
        <w:t xml:space="preserve">the court was interpreting provisions of the </w:t>
      </w:r>
      <w:r>
        <w:rPr>
          <w:rFonts w:ascii="Times New Roman" w:hAnsi="Times New Roman" w:cs="Times New Roman"/>
          <w:sz w:val="24"/>
          <w:szCs w:val="24"/>
        </w:rPr>
        <w:lastRenderedPageBreak/>
        <w:t>PRESCRIPTION ACT [</w:t>
      </w:r>
      <w:r w:rsidRPr="00CB3389">
        <w:rPr>
          <w:rFonts w:ascii="Times New Roman" w:hAnsi="Times New Roman" w:cs="Times New Roman"/>
          <w:i/>
          <w:sz w:val="24"/>
          <w:szCs w:val="24"/>
        </w:rPr>
        <w:t>Chapter 8:11</w:t>
      </w:r>
      <w:r>
        <w:rPr>
          <w:rFonts w:ascii="Times New Roman" w:hAnsi="Times New Roman" w:cs="Times New Roman"/>
          <w:sz w:val="24"/>
          <w:szCs w:val="24"/>
        </w:rPr>
        <w:t>] and whether the remedy sought there under fell within the narrow scope of a “debt”.</w:t>
      </w:r>
    </w:p>
    <w:p w:rsidR="006C1C9E" w:rsidRDefault="006C1C9E" w:rsidP="00051CD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all the circumstances, I take the view that applicant’s cause has prescribed in terms of s 196(2) of the Customs and Excise Act.</w:t>
      </w:r>
    </w:p>
    <w:p w:rsidR="006C1C9E" w:rsidRPr="00CB3389" w:rsidRDefault="006C1C9E" w:rsidP="00051CD3">
      <w:pPr>
        <w:pStyle w:val="NoSpacing"/>
        <w:spacing w:line="360" w:lineRule="auto"/>
        <w:jc w:val="both"/>
        <w:rPr>
          <w:rFonts w:ascii="Times New Roman" w:hAnsi="Times New Roman" w:cs="Times New Roman"/>
          <w:b/>
          <w:sz w:val="24"/>
          <w:szCs w:val="24"/>
          <w:u w:val="single"/>
        </w:rPr>
      </w:pPr>
      <w:r w:rsidRPr="00CB3389">
        <w:rPr>
          <w:rFonts w:ascii="Times New Roman" w:hAnsi="Times New Roman" w:cs="Times New Roman"/>
          <w:b/>
          <w:sz w:val="24"/>
          <w:szCs w:val="24"/>
          <w:u w:val="single"/>
        </w:rPr>
        <w:t>DISPOSITION</w:t>
      </w:r>
    </w:p>
    <w:p w:rsidR="006C1C9E" w:rsidRDefault="006C1C9E" w:rsidP="00051CD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therefore ordered that;</w:t>
      </w:r>
    </w:p>
    <w:p w:rsidR="006C1C9E" w:rsidRDefault="006C1C9E" w:rsidP="006C1C9E">
      <w:pPr>
        <w:pStyle w:val="NoSpacing"/>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be and is hereby dismissed.</w:t>
      </w:r>
    </w:p>
    <w:p w:rsidR="006C1C9E" w:rsidRDefault="006C1C9E" w:rsidP="006C1C9E">
      <w:pPr>
        <w:pStyle w:val="NoSpacing"/>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applicant be and is hereby ordered to pay first respondent’s cost</w:t>
      </w:r>
      <w:r w:rsidR="00B51669">
        <w:rPr>
          <w:rFonts w:ascii="Times New Roman" w:hAnsi="Times New Roman" w:cs="Times New Roman"/>
          <w:sz w:val="24"/>
          <w:szCs w:val="24"/>
        </w:rPr>
        <w:t>s.</w:t>
      </w:r>
    </w:p>
    <w:p w:rsidR="006C1C9E" w:rsidRDefault="006C1C9E" w:rsidP="006C1C9E">
      <w:pPr>
        <w:pStyle w:val="NoSpacing"/>
        <w:spacing w:line="360" w:lineRule="auto"/>
        <w:jc w:val="both"/>
        <w:rPr>
          <w:rFonts w:ascii="Times New Roman" w:hAnsi="Times New Roman" w:cs="Times New Roman"/>
          <w:sz w:val="24"/>
          <w:szCs w:val="24"/>
        </w:rPr>
      </w:pPr>
    </w:p>
    <w:p w:rsidR="006C1C9E" w:rsidRDefault="006C1C9E" w:rsidP="006C1C9E">
      <w:pPr>
        <w:pStyle w:val="NoSpacing"/>
        <w:spacing w:line="360" w:lineRule="auto"/>
        <w:jc w:val="both"/>
        <w:rPr>
          <w:rFonts w:ascii="Times New Roman" w:hAnsi="Times New Roman" w:cs="Times New Roman"/>
          <w:sz w:val="24"/>
          <w:szCs w:val="24"/>
        </w:rPr>
      </w:pPr>
    </w:p>
    <w:p w:rsidR="006C1C9E" w:rsidRDefault="006C1C9E" w:rsidP="00CB3389">
      <w:pPr>
        <w:pStyle w:val="NoSpacing"/>
        <w:spacing w:after="240" w:line="360" w:lineRule="auto"/>
        <w:jc w:val="both"/>
        <w:rPr>
          <w:rFonts w:ascii="Times New Roman" w:hAnsi="Times New Roman" w:cs="Times New Roman"/>
          <w:sz w:val="24"/>
          <w:szCs w:val="24"/>
        </w:rPr>
      </w:pPr>
      <w:r w:rsidRPr="00CB3389">
        <w:rPr>
          <w:rFonts w:ascii="Times New Roman" w:hAnsi="Times New Roman" w:cs="Times New Roman"/>
          <w:b/>
          <w:smallCaps/>
          <w:sz w:val="24"/>
          <w:szCs w:val="24"/>
        </w:rPr>
        <w:t>Takuva J</w:t>
      </w:r>
      <w:r>
        <w:rPr>
          <w:rFonts w:ascii="Times New Roman" w:hAnsi="Times New Roman" w:cs="Times New Roman"/>
          <w:sz w:val="24"/>
          <w:szCs w:val="24"/>
        </w:rPr>
        <w:t>: ……………………………………</w:t>
      </w:r>
      <w:r w:rsidR="00CB3389">
        <w:rPr>
          <w:rFonts w:ascii="Times New Roman" w:hAnsi="Times New Roman" w:cs="Times New Roman"/>
          <w:sz w:val="24"/>
          <w:szCs w:val="24"/>
        </w:rPr>
        <w:t>……………</w:t>
      </w:r>
    </w:p>
    <w:p w:rsidR="00B51669" w:rsidRDefault="00B51669" w:rsidP="00B51669">
      <w:pPr>
        <w:pStyle w:val="NoSpacing"/>
        <w:jc w:val="both"/>
        <w:rPr>
          <w:rFonts w:ascii="Times New Roman" w:hAnsi="Times New Roman" w:cs="Times New Roman"/>
          <w:sz w:val="24"/>
          <w:szCs w:val="24"/>
        </w:rPr>
      </w:pPr>
      <w:r w:rsidRPr="00B51669">
        <w:rPr>
          <w:rFonts w:ascii="Times New Roman" w:hAnsi="Times New Roman" w:cs="Times New Roman"/>
          <w:i/>
          <w:sz w:val="24"/>
          <w:szCs w:val="24"/>
        </w:rPr>
        <w:t>Tembani Gomo Law Practice</w:t>
      </w:r>
      <w:r w:rsidR="00CB3389">
        <w:rPr>
          <w:rFonts w:ascii="Times New Roman" w:hAnsi="Times New Roman" w:cs="Times New Roman"/>
          <w:sz w:val="24"/>
          <w:szCs w:val="24"/>
        </w:rPr>
        <w:t>, applicant’s legal practitioners</w:t>
      </w:r>
    </w:p>
    <w:p w:rsidR="00CB3389" w:rsidRDefault="00B51669" w:rsidP="00B51669">
      <w:pPr>
        <w:pStyle w:val="NoSpacing"/>
        <w:jc w:val="both"/>
        <w:rPr>
          <w:rFonts w:ascii="Times New Roman" w:hAnsi="Times New Roman" w:cs="Times New Roman"/>
          <w:sz w:val="24"/>
          <w:szCs w:val="24"/>
        </w:rPr>
      </w:pPr>
      <w:r w:rsidRPr="00B51669">
        <w:rPr>
          <w:rFonts w:ascii="Times New Roman" w:hAnsi="Times New Roman" w:cs="Times New Roman"/>
          <w:i/>
          <w:sz w:val="24"/>
          <w:szCs w:val="24"/>
        </w:rPr>
        <w:t>Kantor and Immerman Legal Practitioners</w:t>
      </w:r>
      <w:r w:rsidR="00CB3389">
        <w:rPr>
          <w:rFonts w:ascii="Times New Roman" w:hAnsi="Times New Roman" w:cs="Times New Roman"/>
          <w:sz w:val="24"/>
          <w:szCs w:val="24"/>
        </w:rPr>
        <w:t>,</w:t>
      </w:r>
      <w:r>
        <w:rPr>
          <w:rFonts w:ascii="Times New Roman" w:hAnsi="Times New Roman" w:cs="Times New Roman"/>
          <w:sz w:val="24"/>
          <w:szCs w:val="24"/>
        </w:rPr>
        <w:t xml:space="preserve"> first</w:t>
      </w:r>
      <w:r w:rsidR="00CB3389">
        <w:rPr>
          <w:rFonts w:ascii="Times New Roman" w:hAnsi="Times New Roman" w:cs="Times New Roman"/>
          <w:sz w:val="24"/>
          <w:szCs w:val="24"/>
        </w:rPr>
        <w:t xml:space="preserve"> respondent’s legal practitioners</w:t>
      </w:r>
    </w:p>
    <w:p w:rsidR="00B51669" w:rsidRPr="00251769" w:rsidRDefault="00B51669" w:rsidP="00B51669">
      <w:pPr>
        <w:pStyle w:val="NoSpacing"/>
        <w:jc w:val="both"/>
        <w:rPr>
          <w:rFonts w:ascii="Times New Roman" w:hAnsi="Times New Roman" w:cs="Times New Roman"/>
          <w:sz w:val="24"/>
          <w:szCs w:val="24"/>
        </w:rPr>
      </w:pPr>
      <w:r w:rsidRPr="00B51669">
        <w:rPr>
          <w:rFonts w:ascii="Times New Roman" w:hAnsi="Times New Roman" w:cs="Times New Roman"/>
          <w:i/>
          <w:sz w:val="24"/>
          <w:szCs w:val="24"/>
        </w:rPr>
        <w:t>Civil Division of The Attorney General</w:t>
      </w:r>
      <w:r>
        <w:rPr>
          <w:rFonts w:ascii="Times New Roman" w:hAnsi="Times New Roman" w:cs="Times New Roman"/>
          <w:sz w:val="24"/>
          <w:szCs w:val="24"/>
        </w:rPr>
        <w:t>, second respondent’s legal practitioners</w:t>
      </w:r>
    </w:p>
    <w:sectPr w:rsidR="00B51669" w:rsidRPr="0025176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407C" w:rsidRDefault="0088407C" w:rsidP="00251769">
      <w:pPr>
        <w:spacing w:after="0" w:line="240" w:lineRule="auto"/>
      </w:pPr>
      <w:r>
        <w:separator/>
      </w:r>
    </w:p>
  </w:endnote>
  <w:endnote w:type="continuationSeparator" w:id="0">
    <w:p w:rsidR="0088407C" w:rsidRDefault="0088407C" w:rsidP="00251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407C" w:rsidRDefault="0088407C" w:rsidP="00251769">
      <w:pPr>
        <w:spacing w:after="0" w:line="240" w:lineRule="auto"/>
      </w:pPr>
      <w:r>
        <w:separator/>
      </w:r>
    </w:p>
  </w:footnote>
  <w:footnote w:type="continuationSeparator" w:id="0">
    <w:p w:rsidR="0088407C" w:rsidRDefault="0088407C" w:rsidP="00251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9715831"/>
      <w:docPartObj>
        <w:docPartGallery w:val="Page Numbers (Top of Page)"/>
        <w:docPartUnique/>
      </w:docPartObj>
    </w:sdtPr>
    <w:sdtEndPr>
      <w:rPr>
        <w:noProof/>
      </w:rPr>
    </w:sdtEndPr>
    <w:sdtContent>
      <w:p w:rsidR="00251769" w:rsidRDefault="00251769">
        <w:pPr>
          <w:pStyle w:val="Header"/>
          <w:jc w:val="right"/>
          <w:rPr>
            <w:noProof/>
          </w:rPr>
        </w:pPr>
        <w:r>
          <w:fldChar w:fldCharType="begin"/>
        </w:r>
        <w:r>
          <w:instrText xml:space="preserve"> PAGE   \* MERGEFORMAT </w:instrText>
        </w:r>
        <w:r>
          <w:fldChar w:fldCharType="separate"/>
        </w:r>
        <w:r w:rsidR="00FE4505">
          <w:rPr>
            <w:noProof/>
          </w:rPr>
          <w:t>1</w:t>
        </w:r>
        <w:r>
          <w:rPr>
            <w:noProof/>
          </w:rPr>
          <w:fldChar w:fldCharType="end"/>
        </w:r>
      </w:p>
      <w:p w:rsidR="001F351E" w:rsidRDefault="001F351E">
        <w:pPr>
          <w:pStyle w:val="Header"/>
          <w:jc w:val="right"/>
          <w:rPr>
            <w:noProof/>
          </w:rPr>
        </w:pPr>
        <w:r>
          <w:rPr>
            <w:noProof/>
          </w:rPr>
          <w:t>HH 114 - 25</w:t>
        </w:r>
      </w:p>
      <w:p w:rsidR="00251769" w:rsidRDefault="00391C92">
        <w:pPr>
          <w:pStyle w:val="Header"/>
          <w:jc w:val="right"/>
        </w:pPr>
        <w:r>
          <w:rPr>
            <w:noProof/>
          </w:rPr>
          <w:t>HCH 7633/23</w:t>
        </w:r>
      </w:p>
    </w:sdtContent>
  </w:sdt>
  <w:p w:rsidR="00251769" w:rsidRDefault="0025176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C67E5"/>
    <w:multiLevelType w:val="hybridMultilevel"/>
    <w:tmpl w:val="0542272E"/>
    <w:lvl w:ilvl="0" w:tplc="DF926354">
      <w:start w:val="1"/>
      <w:numFmt w:val="decimal"/>
      <w:lvlText w:val="%1."/>
      <w:lvlJc w:val="left"/>
      <w:pPr>
        <w:ind w:left="108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2A9006B8"/>
    <w:multiLevelType w:val="hybridMultilevel"/>
    <w:tmpl w:val="822C300A"/>
    <w:lvl w:ilvl="0" w:tplc="53B6FA14">
      <w:start w:val="2"/>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55276FA4"/>
    <w:multiLevelType w:val="hybridMultilevel"/>
    <w:tmpl w:val="58145AD4"/>
    <w:lvl w:ilvl="0" w:tplc="827E83B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F35DFC"/>
    <w:multiLevelType w:val="hybridMultilevel"/>
    <w:tmpl w:val="822C300A"/>
    <w:lvl w:ilvl="0" w:tplc="53B6FA14">
      <w:start w:val="2"/>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72FC6B5C"/>
    <w:multiLevelType w:val="hybridMultilevel"/>
    <w:tmpl w:val="37180F78"/>
    <w:lvl w:ilvl="0" w:tplc="F356C662">
      <w:start w:val="2"/>
      <w:numFmt w:val="decimal"/>
      <w:lvlText w:val="%1."/>
      <w:lvlJc w:val="left"/>
      <w:pPr>
        <w:ind w:left="108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74A060F2"/>
    <w:multiLevelType w:val="hybridMultilevel"/>
    <w:tmpl w:val="DB1A33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769"/>
    <w:rsid w:val="00051CD3"/>
    <w:rsid w:val="0007240F"/>
    <w:rsid w:val="001F351E"/>
    <w:rsid w:val="00240BE2"/>
    <w:rsid w:val="00251769"/>
    <w:rsid w:val="002912D2"/>
    <w:rsid w:val="00386B17"/>
    <w:rsid w:val="00391C92"/>
    <w:rsid w:val="004111DE"/>
    <w:rsid w:val="005E4914"/>
    <w:rsid w:val="00662DA2"/>
    <w:rsid w:val="00687FD3"/>
    <w:rsid w:val="00692289"/>
    <w:rsid w:val="006C1C9E"/>
    <w:rsid w:val="00816A03"/>
    <w:rsid w:val="0088407C"/>
    <w:rsid w:val="008D3ED0"/>
    <w:rsid w:val="009C1D0A"/>
    <w:rsid w:val="00A107A6"/>
    <w:rsid w:val="00AA2B4B"/>
    <w:rsid w:val="00AD6831"/>
    <w:rsid w:val="00B51669"/>
    <w:rsid w:val="00B522CA"/>
    <w:rsid w:val="00CB3389"/>
    <w:rsid w:val="00D9438E"/>
    <w:rsid w:val="00DC36E0"/>
    <w:rsid w:val="00DD1E5D"/>
    <w:rsid w:val="00F11E93"/>
    <w:rsid w:val="00F25FD1"/>
    <w:rsid w:val="00F97253"/>
    <w:rsid w:val="00FE4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114C35-C028-409B-8704-BBEC3D95C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1769"/>
    <w:pPr>
      <w:spacing w:after="0" w:line="240" w:lineRule="auto"/>
    </w:pPr>
  </w:style>
  <w:style w:type="paragraph" w:styleId="Header">
    <w:name w:val="header"/>
    <w:basedOn w:val="Normal"/>
    <w:link w:val="HeaderChar"/>
    <w:uiPriority w:val="99"/>
    <w:unhideWhenUsed/>
    <w:rsid w:val="002517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769"/>
  </w:style>
  <w:style w:type="paragraph" w:styleId="Footer">
    <w:name w:val="footer"/>
    <w:basedOn w:val="Normal"/>
    <w:link w:val="FooterChar"/>
    <w:uiPriority w:val="99"/>
    <w:unhideWhenUsed/>
    <w:rsid w:val="002517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cp:lastPrinted>2025-02-25T07:36:00Z</cp:lastPrinted>
  <dcterms:created xsi:type="dcterms:W3CDTF">2025-03-21T10:09:00Z</dcterms:created>
  <dcterms:modified xsi:type="dcterms:W3CDTF">2025-03-21T10:09:00Z</dcterms:modified>
</cp:coreProperties>
</file>