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B3B180" w14:textId="35E8F4FC" w:rsidR="004B0170" w:rsidRDefault="006B601A" w:rsidP="006B601A">
      <w:pPr>
        <w:spacing w:after="0" w:line="360" w:lineRule="auto"/>
        <w:jc w:val="both"/>
        <w:rPr>
          <w:rFonts w:ascii="Times New Roman" w:hAnsi="Times New Roman" w:cs="Times New Roman"/>
          <w:sz w:val="24"/>
          <w:szCs w:val="24"/>
          <w:lang w:val="en-GB"/>
        </w:rPr>
      </w:pPr>
      <w:bookmarkStart w:id="0" w:name="_GoBack"/>
      <w:bookmarkEnd w:id="0"/>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Pr="001A75C1">
        <w:rPr>
          <w:rFonts w:ascii="Times New Roman" w:hAnsi="Times New Roman" w:cs="Times New Roman"/>
          <w:sz w:val="24"/>
          <w:szCs w:val="24"/>
          <w:lang w:val="en-GB"/>
        </w:rPr>
        <w:tab/>
      </w:r>
      <w:r w:rsidR="004B0170">
        <w:rPr>
          <w:rFonts w:ascii="Times New Roman" w:hAnsi="Times New Roman" w:cs="Times New Roman"/>
          <w:sz w:val="24"/>
          <w:szCs w:val="24"/>
          <w:lang w:val="en-GB"/>
        </w:rPr>
        <w:t xml:space="preserve">                                                                                                                            </w:t>
      </w:r>
      <w:r w:rsidR="00284173">
        <w:rPr>
          <w:rFonts w:ascii="Times New Roman" w:hAnsi="Times New Roman" w:cs="Times New Roman"/>
          <w:sz w:val="24"/>
          <w:szCs w:val="24"/>
          <w:lang w:val="en-GB"/>
        </w:rPr>
        <w:t xml:space="preserve"> </w:t>
      </w:r>
    </w:p>
    <w:p w14:paraId="100DC865" w14:textId="49D7DEB9" w:rsidR="006B601A" w:rsidRPr="001A75C1" w:rsidRDefault="004B0170" w:rsidP="006B601A">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284173">
        <w:rPr>
          <w:rFonts w:ascii="Times New Roman" w:hAnsi="Times New Roman" w:cs="Times New Roman"/>
          <w:sz w:val="24"/>
          <w:szCs w:val="24"/>
          <w:lang w:val="en-GB"/>
        </w:rPr>
        <w:t xml:space="preserve"> </w:t>
      </w:r>
    </w:p>
    <w:p w14:paraId="2AB34D07" w14:textId="77777777" w:rsidR="00984BF9" w:rsidRPr="00284173" w:rsidRDefault="00984BF9"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ANESU KAPANGA</w:t>
      </w:r>
      <w:r w:rsidR="006B601A" w:rsidRPr="00284173">
        <w:rPr>
          <w:rFonts w:ascii="Times New Roman" w:hAnsi="Times New Roman" w:cs="Times New Roman"/>
          <w:sz w:val="24"/>
          <w:szCs w:val="24"/>
          <w:lang w:val="en-GB"/>
        </w:rPr>
        <w:tab/>
      </w:r>
      <w:r w:rsidR="006B601A" w:rsidRPr="00284173">
        <w:rPr>
          <w:rFonts w:ascii="Times New Roman" w:hAnsi="Times New Roman" w:cs="Times New Roman"/>
          <w:sz w:val="24"/>
          <w:szCs w:val="24"/>
          <w:lang w:val="en-GB"/>
        </w:rPr>
        <w:tab/>
      </w:r>
    </w:p>
    <w:p w14:paraId="2DD79905" w14:textId="6B92AF4C" w:rsidR="00984BF9" w:rsidRPr="00284173" w:rsidRDefault="00284173"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 xml:space="preserve">and </w:t>
      </w:r>
    </w:p>
    <w:p w14:paraId="35A369F3" w14:textId="77777777" w:rsidR="00984BF9" w:rsidRPr="00284173" w:rsidRDefault="00984BF9"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TAKESURE KAPANGA</w:t>
      </w:r>
    </w:p>
    <w:p w14:paraId="3058102D" w14:textId="6C57C2DD" w:rsidR="00984BF9" w:rsidRPr="00284173" w:rsidRDefault="00284173"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 xml:space="preserve">and </w:t>
      </w:r>
    </w:p>
    <w:p w14:paraId="7BCD80DC" w14:textId="4CF2C630" w:rsidR="006B601A" w:rsidRPr="00284173" w:rsidRDefault="00984BF9"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TICHAONA KAPANGA</w:t>
      </w:r>
      <w:r w:rsidR="006B601A" w:rsidRPr="00284173">
        <w:rPr>
          <w:rFonts w:ascii="Times New Roman" w:hAnsi="Times New Roman" w:cs="Times New Roman"/>
          <w:sz w:val="24"/>
          <w:szCs w:val="24"/>
          <w:lang w:val="en-GB"/>
        </w:rPr>
        <w:tab/>
      </w:r>
      <w:r w:rsidR="006B601A" w:rsidRPr="00284173">
        <w:rPr>
          <w:rFonts w:ascii="Times New Roman" w:hAnsi="Times New Roman" w:cs="Times New Roman"/>
          <w:sz w:val="24"/>
          <w:szCs w:val="24"/>
          <w:lang w:val="en-GB"/>
        </w:rPr>
        <w:tab/>
      </w:r>
    </w:p>
    <w:p w14:paraId="15D584A4" w14:textId="77777777" w:rsidR="006B601A" w:rsidRPr="00284173" w:rsidRDefault="006B601A"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versus</w:t>
      </w:r>
    </w:p>
    <w:p w14:paraId="3B4E3FDA" w14:textId="4A46467D" w:rsidR="006B601A" w:rsidRPr="00284173" w:rsidRDefault="00984BF9"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MASTER OF THE HIGH COURT (N.O)</w:t>
      </w:r>
    </w:p>
    <w:p w14:paraId="129C9F05" w14:textId="4524AC28" w:rsidR="00984BF9" w:rsidRPr="00284173" w:rsidRDefault="00284173"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 xml:space="preserve">and </w:t>
      </w:r>
    </w:p>
    <w:p w14:paraId="7D2F8240" w14:textId="34489CD4" w:rsidR="00984BF9" w:rsidRPr="00284173" w:rsidRDefault="00984BF9"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EMILIA TAPIWA KAPANGA</w:t>
      </w:r>
    </w:p>
    <w:p w14:paraId="271F388F" w14:textId="7B06A23B" w:rsidR="00984BF9" w:rsidRPr="00284173" w:rsidRDefault="00984BF9"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(Cited in her capacity as the Executrix Dative in the Estate of the late Letty Kapanga DR 1431/20)</w:t>
      </w:r>
    </w:p>
    <w:p w14:paraId="43F4517B" w14:textId="77777777" w:rsidR="006B601A" w:rsidRDefault="006B601A" w:rsidP="00284173">
      <w:pPr>
        <w:pStyle w:val="NoSpacing"/>
        <w:rPr>
          <w:rFonts w:ascii="Times New Roman" w:hAnsi="Times New Roman" w:cs="Times New Roman"/>
          <w:sz w:val="24"/>
          <w:szCs w:val="24"/>
          <w:lang w:val="en-GB"/>
        </w:rPr>
      </w:pPr>
    </w:p>
    <w:p w14:paraId="75F7961A" w14:textId="77777777" w:rsidR="00284173" w:rsidRPr="00284173" w:rsidRDefault="00284173" w:rsidP="00284173">
      <w:pPr>
        <w:pStyle w:val="NoSpacing"/>
        <w:rPr>
          <w:rFonts w:ascii="Times New Roman" w:hAnsi="Times New Roman" w:cs="Times New Roman"/>
          <w:sz w:val="24"/>
          <w:szCs w:val="24"/>
          <w:lang w:val="en-GB"/>
        </w:rPr>
      </w:pPr>
    </w:p>
    <w:p w14:paraId="0EE6B9DF" w14:textId="77777777" w:rsidR="006B601A" w:rsidRPr="00284173" w:rsidRDefault="006B601A"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HIGH COURT OF ZIMBABWE</w:t>
      </w:r>
    </w:p>
    <w:p w14:paraId="44755FDA" w14:textId="77777777" w:rsidR="006B601A" w:rsidRPr="00284173" w:rsidRDefault="006B601A" w:rsidP="00284173">
      <w:pPr>
        <w:pStyle w:val="NoSpacing"/>
        <w:rPr>
          <w:rFonts w:ascii="Times New Roman" w:hAnsi="Times New Roman" w:cs="Times New Roman"/>
          <w:b/>
          <w:bCs/>
          <w:sz w:val="24"/>
          <w:szCs w:val="24"/>
          <w:lang w:val="en-GB"/>
        </w:rPr>
      </w:pPr>
      <w:r w:rsidRPr="00284173">
        <w:rPr>
          <w:rFonts w:ascii="Times New Roman" w:hAnsi="Times New Roman" w:cs="Times New Roman"/>
          <w:b/>
          <w:bCs/>
          <w:sz w:val="24"/>
          <w:szCs w:val="24"/>
          <w:lang w:val="en-GB"/>
        </w:rPr>
        <w:t>MAXWELL J</w:t>
      </w:r>
    </w:p>
    <w:p w14:paraId="65EAFEBE" w14:textId="611EE0BF" w:rsidR="006B601A" w:rsidRDefault="006B601A"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HARARE 8 September 2025 &amp;</w:t>
      </w:r>
      <w:r w:rsidR="00F92F3D" w:rsidRPr="00284173">
        <w:rPr>
          <w:rFonts w:ascii="Times New Roman" w:hAnsi="Times New Roman" w:cs="Times New Roman"/>
          <w:sz w:val="24"/>
          <w:szCs w:val="24"/>
          <w:lang w:val="en-GB"/>
        </w:rPr>
        <w:t xml:space="preserve"> </w:t>
      </w:r>
      <w:r w:rsidR="00937CE5" w:rsidRPr="00284173">
        <w:rPr>
          <w:rFonts w:ascii="Times New Roman" w:hAnsi="Times New Roman" w:cs="Times New Roman"/>
          <w:sz w:val="24"/>
          <w:szCs w:val="24"/>
          <w:lang w:val="en-GB"/>
        </w:rPr>
        <w:t>12</w:t>
      </w:r>
      <w:r w:rsidR="00F92F3D" w:rsidRPr="00284173">
        <w:rPr>
          <w:rFonts w:ascii="Times New Roman" w:hAnsi="Times New Roman" w:cs="Times New Roman"/>
          <w:sz w:val="24"/>
          <w:szCs w:val="24"/>
          <w:lang w:val="en-GB"/>
        </w:rPr>
        <w:t xml:space="preserve"> February </w:t>
      </w:r>
      <w:r w:rsidRPr="00284173">
        <w:rPr>
          <w:rFonts w:ascii="Times New Roman" w:hAnsi="Times New Roman" w:cs="Times New Roman"/>
          <w:sz w:val="24"/>
          <w:szCs w:val="24"/>
          <w:lang w:val="en-GB"/>
        </w:rPr>
        <w:t>2026</w:t>
      </w:r>
    </w:p>
    <w:p w14:paraId="55FDE3A4" w14:textId="77777777" w:rsidR="00284173" w:rsidRDefault="00284173" w:rsidP="00284173">
      <w:pPr>
        <w:pStyle w:val="NoSpacing"/>
        <w:rPr>
          <w:rFonts w:ascii="Times New Roman" w:hAnsi="Times New Roman" w:cs="Times New Roman"/>
          <w:sz w:val="24"/>
          <w:szCs w:val="24"/>
          <w:lang w:val="en-GB"/>
        </w:rPr>
      </w:pPr>
    </w:p>
    <w:p w14:paraId="08E21DF1" w14:textId="77777777" w:rsidR="00284173" w:rsidRDefault="00284173" w:rsidP="00284173">
      <w:pPr>
        <w:pStyle w:val="NoSpacing"/>
        <w:rPr>
          <w:rFonts w:ascii="Times New Roman" w:hAnsi="Times New Roman" w:cs="Times New Roman"/>
          <w:sz w:val="24"/>
          <w:szCs w:val="24"/>
          <w:lang w:val="en-GB"/>
        </w:rPr>
      </w:pPr>
    </w:p>
    <w:p w14:paraId="0599A82E" w14:textId="79B70E73" w:rsidR="00284173" w:rsidRPr="00284173" w:rsidRDefault="00284173" w:rsidP="00284173">
      <w:pPr>
        <w:pStyle w:val="NoSpacing"/>
        <w:rPr>
          <w:rFonts w:ascii="Times New Roman" w:hAnsi="Times New Roman" w:cs="Times New Roman"/>
          <w:b/>
          <w:bCs/>
          <w:i/>
          <w:iCs/>
          <w:sz w:val="24"/>
          <w:szCs w:val="24"/>
          <w:lang w:val="en-GB"/>
        </w:rPr>
      </w:pPr>
      <w:r w:rsidRPr="00284173">
        <w:rPr>
          <w:rFonts w:ascii="Times New Roman" w:hAnsi="Times New Roman" w:cs="Times New Roman"/>
          <w:b/>
          <w:bCs/>
          <w:i/>
          <w:iCs/>
          <w:sz w:val="24"/>
          <w:szCs w:val="24"/>
          <w:lang w:val="en-GB"/>
        </w:rPr>
        <w:t>Opposed Matter</w:t>
      </w:r>
      <w:r>
        <w:rPr>
          <w:rFonts w:ascii="Times New Roman" w:hAnsi="Times New Roman" w:cs="Times New Roman"/>
          <w:b/>
          <w:bCs/>
          <w:i/>
          <w:iCs/>
          <w:sz w:val="24"/>
          <w:szCs w:val="24"/>
          <w:lang w:val="en-GB"/>
        </w:rPr>
        <w:t xml:space="preserve"> </w:t>
      </w:r>
      <w:r w:rsidRPr="00284173">
        <w:rPr>
          <w:rFonts w:ascii="Times New Roman" w:hAnsi="Times New Roman" w:cs="Times New Roman"/>
          <w:b/>
          <w:bCs/>
          <w:i/>
          <w:iCs/>
          <w:sz w:val="24"/>
          <w:szCs w:val="24"/>
          <w:lang w:val="en-GB"/>
        </w:rPr>
        <w:t>- Condonation</w:t>
      </w:r>
    </w:p>
    <w:p w14:paraId="59447DDC" w14:textId="77777777" w:rsidR="00284173" w:rsidRPr="00284173" w:rsidRDefault="00284173" w:rsidP="00284173">
      <w:pPr>
        <w:pStyle w:val="NoSpacing"/>
        <w:rPr>
          <w:rFonts w:ascii="Times New Roman" w:hAnsi="Times New Roman" w:cs="Times New Roman"/>
          <w:i/>
          <w:iCs/>
          <w:sz w:val="24"/>
          <w:szCs w:val="24"/>
          <w:lang w:val="en-GB"/>
        </w:rPr>
      </w:pPr>
    </w:p>
    <w:p w14:paraId="45012464" w14:textId="77777777" w:rsidR="00284173" w:rsidRPr="00284173" w:rsidRDefault="00284173" w:rsidP="00284173">
      <w:pPr>
        <w:pStyle w:val="NoSpacing"/>
        <w:rPr>
          <w:rFonts w:ascii="Times New Roman" w:hAnsi="Times New Roman" w:cs="Times New Roman"/>
          <w:sz w:val="24"/>
          <w:szCs w:val="24"/>
          <w:lang w:val="en-GB"/>
        </w:rPr>
      </w:pPr>
    </w:p>
    <w:p w14:paraId="033BA2FB" w14:textId="486B8DE7" w:rsidR="006B601A" w:rsidRPr="00284173" w:rsidRDefault="00294326" w:rsidP="00284173">
      <w:pPr>
        <w:pStyle w:val="NoSpacing"/>
        <w:rPr>
          <w:rFonts w:ascii="Times New Roman" w:hAnsi="Times New Roman" w:cs="Times New Roman"/>
          <w:sz w:val="24"/>
          <w:szCs w:val="24"/>
          <w:lang w:val="en-GB"/>
        </w:rPr>
      </w:pPr>
      <w:r w:rsidRPr="00284173">
        <w:rPr>
          <w:rFonts w:ascii="Times New Roman" w:hAnsi="Times New Roman" w:cs="Times New Roman"/>
          <w:i/>
          <w:iCs/>
          <w:sz w:val="24"/>
          <w:szCs w:val="24"/>
          <w:lang w:val="en-GB"/>
        </w:rPr>
        <w:t>R Kapanga</w:t>
      </w:r>
      <w:r w:rsidR="00F92F3D" w:rsidRPr="00284173">
        <w:rPr>
          <w:rFonts w:ascii="Times New Roman" w:hAnsi="Times New Roman" w:cs="Times New Roman"/>
          <w:sz w:val="24"/>
          <w:szCs w:val="24"/>
          <w:lang w:val="en-GB"/>
        </w:rPr>
        <w:t xml:space="preserve">, for the </w:t>
      </w:r>
      <w:r w:rsidRPr="00284173">
        <w:rPr>
          <w:rFonts w:ascii="Times New Roman" w:hAnsi="Times New Roman" w:cs="Times New Roman"/>
          <w:sz w:val="24"/>
          <w:szCs w:val="24"/>
          <w:lang w:val="en-GB"/>
        </w:rPr>
        <w:t>Applicant</w:t>
      </w:r>
    </w:p>
    <w:p w14:paraId="3CF40439" w14:textId="4A4A6970" w:rsidR="00F92F3D" w:rsidRPr="00284173" w:rsidRDefault="00294326" w:rsidP="00284173">
      <w:pPr>
        <w:pStyle w:val="NoSpacing"/>
        <w:rPr>
          <w:rFonts w:ascii="Times New Roman" w:hAnsi="Times New Roman" w:cs="Times New Roman"/>
          <w:sz w:val="24"/>
          <w:szCs w:val="24"/>
          <w:lang w:val="en-GB"/>
        </w:rPr>
      </w:pPr>
      <w:r w:rsidRPr="00284173">
        <w:rPr>
          <w:rFonts w:ascii="Times New Roman" w:hAnsi="Times New Roman" w:cs="Times New Roman"/>
          <w:i/>
          <w:iCs/>
          <w:sz w:val="24"/>
          <w:szCs w:val="24"/>
          <w:lang w:val="en-GB"/>
        </w:rPr>
        <w:t>T Chikura</w:t>
      </w:r>
      <w:r w:rsidR="00F92F3D" w:rsidRPr="00284173">
        <w:rPr>
          <w:rFonts w:ascii="Times New Roman" w:hAnsi="Times New Roman" w:cs="Times New Roman"/>
          <w:sz w:val="24"/>
          <w:szCs w:val="24"/>
          <w:lang w:val="en-GB"/>
        </w:rPr>
        <w:t xml:space="preserve">, for the </w:t>
      </w:r>
      <w:r w:rsidRPr="00284173">
        <w:rPr>
          <w:rFonts w:ascii="Times New Roman" w:hAnsi="Times New Roman" w:cs="Times New Roman"/>
          <w:sz w:val="24"/>
          <w:szCs w:val="24"/>
          <w:lang w:val="en-GB"/>
        </w:rPr>
        <w:t>2</w:t>
      </w:r>
      <w:r w:rsidRPr="00284173">
        <w:rPr>
          <w:rFonts w:ascii="Times New Roman" w:hAnsi="Times New Roman" w:cs="Times New Roman"/>
          <w:sz w:val="24"/>
          <w:szCs w:val="24"/>
          <w:vertAlign w:val="superscript"/>
          <w:lang w:val="en-GB"/>
        </w:rPr>
        <w:t>nd</w:t>
      </w:r>
      <w:r w:rsidRPr="00284173">
        <w:rPr>
          <w:rFonts w:ascii="Times New Roman" w:hAnsi="Times New Roman" w:cs="Times New Roman"/>
          <w:sz w:val="24"/>
          <w:szCs w:val="24"/>
          <w:lang w:val="en-GB"/>
        </w:rPr>
        <w:t xml:space="preserve"> Respondent</w:t>
      </w:r>
    </w:p>
    <w:p w14:paraId="790CF33E" w14:textId="3F157BDA" w:rsidR="00294326" w:rsidRPr="00284173" w:rsidRDefault="00294326" w:rsidP="00284173">
      <w:pPr>
        <w:pStyle w:val="NoSpacing"/>
        <w:rPr>
          <w:rFonts w:ascii="Times New Roman" w:hAnsi="Times New Roman" w:cs="Times New Roman"/>
          <w:sz w:val="24"/>
          <w:szCs w:val="24"/>
          <w:lang w:val="en-GB"/>
        </w:rPr>
      </w:pPr>
      <w:r w:rsidRPr="00284173">
        <w:rPr>
          <w:rFonts w:ascii="Times New Roman" w:hAnsi="Times New Roman" w:cs="Times New Roman"/>
          <w:sz w:val="24"/>
          <w:szCs w:val="24"/>
          <w:lang w:val="en-GB"/>
        </w:rPr>
        <w:t>No Appearance for the 1</w:t>
      </w:r>
      <w:r w:rsidRPr="00284173">
        <w:rPr>
          <w:rFonts w:ascii="Times New Roman" w:hAnsi="Times New Roman" w:cs="Times New Roman"/>
          <w:sz w:val="24"/>
          <w:szCs w:val="24"/>
          <w:vertAlign w:val="superscript"/>
          <w:lang w:val="en-GB"/>
        </w:rPr>
        <w:t>st</w:t>
      </w:r>
      <w:r w:rsidRPr="00284173">
        <w:rPr>
          <w:rFonts w:ascii="Times New Roman" w:hAnsi="Times New Roman" w:cs="Times New Roman"/>
          <w:sz w:val="24"/>
          <w:szCs w:val="24"/>
          <w:lang w:val="en-GB"/>
        </w:rPr>
        <w:t xml:space="preserve"> Respondent </w:t>
      </w:r>
    </w:p>
    <w:p w14:paraId="2B3FA220" w14:textId="77777777" w:rsidR="00F92F3D" w:rsidRPr="00284173" w:rsidRDefault="00F92F3D" w:rsidP="00284173">
      <w:pPr>
        <w:pStyle w:val="NoSpacing"/>
        <w:rPr>
          <w:rFonts w:ascii="Times New Roman" w:hAnsi="Times New Roman" w:cs="Times New Roman"/>
          <w:sz w:val="24"/>
          <w:szCs w:val="24"/>
          <w:lang w:val="en-GB"/>
        </w:rPr>
      </w:pPr>
    </w:p>
    <w:p w14:paraId="1C00D335" w14:textId="77777777" w:rsidR="00284173" w:rsidRDefault="00284173" w:rsidP="00284173">
      <w:pPr>
        <w:pStyle w:val="NoSpacing"/>
        <w:rPr>
          <w:rFonts w:ascii="Times New Roman" w:hAnsi="Times New Roman" w:cs="Times New Roman"/>
          <w:b/>
          <w:bCs/>
          <w:sz w:val="24"/>
          <w:szCs w:val="24"/>
          <w:lang w:val="en-GB"/>
        </w:rPr>
      </w:pPr>
    </w:p>
    <w:p w14:paraId="0B162C73" w14:textId="77777777" w:rsidR="00284173" w:rsidRPr="00284173" w:rsidRDefault="00284173" w:rsidP="00284173">
      <w:pPr>
        <w:pStyle w:val="NoSpacing"/>
        <w:rPr>
          <w:rFonts w:ascii="Times New Roman" w:hAnsi="Times New Roman" w:cs="Times New Roman"/>
          <w:b/>
          <w:bCs/>
          <w:sz w:val="24"/>
          <w:szCs w:val="24"/>
          <w:lang w:val="en-GB"/>
        </w:rPr>
      </w:pPr>
    </w:p>
    <w:p w14:paraId="5839259F" w14:textId="0F5F0A69" w:rsidR="00B35EEC" w:rsidRPr="001A75C1" w:rsidRDefault="006B601A" w:rsidP="006B601A">
      <w:pPr>
        <w:rPr>
          <w:rFonts w:ascii="Times New Roman" w:hAnsi="Times New Roman" w:cs="Times New Roman"/>
          <w:b/>
          <w:bCs/>
          <w:sz w:val="24"/>
          <w:szCs w:val="24"/>
          <w:lang w:val="en-GB"/>
        </w:rPr>
      </w:pPr>
      <w:r w:rsidRPr="001A75C1">
        <w:rPr>
          <w:rFonts w:ascii="Times New Roman" w:hAnsi="Times New Roman" w:cs="Times New Roman"/>
          <w:b/>
          <w:bCs/>
          <w:sz w:val="24"/>
          <w:szCs w:val="24"/>
          <w:lang w:val="en-GB"/>
        </w:rPr>
        <w:t>MAXWELL J:</w:t>
      </w:r>
    </w:p>
    <w:p w14:paraId="7149AB25" w14:textId="6A278AFD" w:rsidR="00F44DA8" w:rsidRPr="001A75C1" w:rsidRDefault="00DF52FC" w:rsidP="00CD318A">
      <w:pPr>
        <w:spacing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The applicant approached the court seeking</w:t>
      </w:r>
      <w:r w:rsidR="004E7034" w:rsidRPr="001A75C1">
        <w:rPr>
          <w:rFonts w:ascii="Times New Roman" w:hAnsi="Times New Roman" w:cs="Times New Roman"/>
          <w:sz w:val="24"/>
          <w:szCs w:val="24"/>
          <w:lang w:val="en-GB"/>
        </w:rPr>
        <w:t xml:space="preserve"> condonation </w:t>
      </w:r>
      <w:r w:rsidR="006A060D" w:rsidRPr="001A75C1">
        <w:rPr>
          <w:rFonts w:ascii="Times New Roman" w:hAnsi="Times New Roman" w:cs="Times New Roman"/>
          <w:sz w:val="24"/>
          <w:szCs w:val="24"/>
          <w:lang w:val="en-GB"/>
        </w:rPr>
        <w:t>for</w:t>
      </w:r>
      <w:r w:rsidR="000F0846" w:rsidRPr="001A75C1">
        <w:rPr>
          <w:rFonts w:ascii="Times New Roman" w:hAnsi="Times New Roman" w:cs="Times New Roman"/>
          <w:sz w:val="24"/>
          <w:szCs w:val="24"/>
          <w:lang w:val="en-GB"/>
        </w:rPr>
        <w:t xml:space="preserve"> the late filing of the</w:t>
      </w:r>
      <w:r w:rsidR="006A060D" w:rsidRPr="001A75C1">
        <w:rPr>
          <w:rFonts w:ascii="Times New Roman" w:hAnsi="Times New Roman" w:cs="Times New Roman"/>
          <w:sz w:val="24"/>
          <w:szCs w:val="24"/>
          <w:lang w:val="en-GB"/>
        </w:rPr>
        <w:t xml:space="preserve"> application for</w:t>
      </w:r>
      <w:r w:rsidR="000F0846" w:rsidRPr="001A75C1">
        <w:rPr>
          <w:rFonts w:ascii="Times New Roman" w:hAnsi="Times New Roman" w:cs="Times New Roman"/>
          <w:sz w:val="24"/>
          <w:szCs w:val="24"/>
          <w:lang w:val="en-GB"/>
        </w:rPr>
        <w:t xml:space="preserve"> review and for an </w:t>
      </w:r>
      <w:r w:rsidR="004E7034" w:rsidRPr="001A75C1">
        <w:rPr>
          <w:rFonts w:ascii="Times New Roman" w:hAnsi="Times New Roman" w:cs="Times New Roman"/>
          <w:sz w:val="24"/>
          <w:szCs w:val="24"/>
          <w:lang w:val="en-GB"/>
        </w:rPr>
        <w:t xml:space="preserve">extension of time to file </w:t>
      </w:r>
      <w:r w:rsidR="00294326" w:rsidRPr="001A75C1">
        <w:rPr>
          <w:rFonts w:ascii="Times New Roman" w:hAnsi="Times New Roman" w:cs="Times New Roman"/>
          <w:sz w:val="24"/>
          <w:szCs w:val="24"/>
          <w:lang w:val="en-GB"/>
        </w:rPr>
        <w:t>it</w:t>
      </w:r>
      <w:r w:rsidR="004E7034" w:rsidRPr="001A75C1">
        <w:rPr>
          <w:rFonts w:ascii="Times New Roman" w:hAnsi="Times New Roman" w:cs="Times New Roman"/>
          <w:sz w:val="24"/>
          <w:szCs w:val="24"/>
          <w:lang w:val="en-GB"/>
        </w:rPr>
        <w:t>.</w:t>
      </w:r>
      <w:r w:rsidR="00C33C0C" w:rsidRPr="001A75C1">
        <w:rPr>
          <w:rFonts w:ascii="Times New Roman" w:hAnsi="Times New Roman" w:cs="Times New Roman"/>
          <w:sz w:val="24"/>
          <w:szCs w:val="24"/>
          <w:lang w:val="en-GB"/>
        </w:rPr>
        <w:t xml:space="preserve"> </w:t>
      </w:r>
      <w:r w:rsidR="00265159" w:rsidRPr="001A75C1">
        <w:rPr>
          <w:rFonts w:ascii="Times New Roman" w:hAnsi="Times New Roman" w:cs="Times New Roman"/>
          <w:sz w:val="24"/>
          <w:szCs w:val="24"/>
          <w:lang w:val="en-GB"/>
        </w:rPr>
        <w:t>In the</w:t>
      </w:r>
      <w:r w:rsidR="007E676C" w:rsidRPr="001A75C1">
        <w:rPr>
          <w:rFonts w:ascii="Times New Roman" w:hAnsi="Times New Roman" w:cs="Times New Roman"/>
          <w:sz w:val="24"/>
          <w:szCs w:val="24"/>
          <w:lang w:val="en-GB"/>
        </w:rPr>
        <w:t xml:space="preserve"> founding affidavit </w:t>
      </w:r>
      <w:r w:rsidR="00265159" w:rsidRPr="001A75C1">
        <w:rPr>
          <w:rFonts w:ascii="Times New Roman" w:hAnsi="Times New Roman" w:cs="Times New Roman"/>
          <w:sz w:val="24"/>
          <w:szCs w:val="24"/>
          <w:lang w:val="en-GB"/>
        </w:rPr>
        <w:t>applicant state</w:t>
      </w:r>
      <w:r w:rsidR="00C33C0C" w:rsidRPr="001A75C1">
        <w:rPr>
          <w:rFonts w:ascii="Times New Roman" w:hAnsi="Times New Roman" w:cs="Times New Roman"/>
          <w:sz w:val="24"/>
          <w:szCs w:val="24"/>
          <w:lang w:val="en-GB"/>
        </w:rPr>
        <w:t>s</w:t>
      </w:r>
      <w:r w:rsidR="007E676C" w:rsidRPr="001A75C1">
        <w:rPr>
          <w:rFonts w:ascii="Times New Roman" w:hAnsi="Times New Roman" w:cs="Times New Roman"/>
          <w:sz w:val="24"/>
          <w:szCs w:val="24"/>
          <w:lang w:val="en-GB"/>
        </w:rPr>
        <w:t xml:space="preserve"> that he was served with </w:t>
      </w:r>
      <w:r w:rsidR="00000408">
        <w:rPr>
          <w:rFonts w:ascii="Times New Roman" w:hAnsi="Times New Roman" w:cs="Times New Roman"/>
          <w:sz w:val="24"/>
          <w:szCs w:val="24"/>
          <w:lang w:val="en-GB"/>
        </w:rPr>
        <w:t xml:space="preserve">a </w:t>
      </w:r>
      <w:r w:rsidR="007E676C" w:rsidRPr="001A75C1">
        <w:rPr>
          <w:rFonts w:ascii="Times New Roman" w:hAnsi="Times New Roman" w:cs="Times New Roman"/>
          <w:sz w:val="24"/>
          <w:szCs w:val="24"/>
          <w:lang w:val="en-GB"/>
        </w:rPr>
        <w:t>summons for eviction by the 2</w:t>
      </w:r>
      <w:r w:rsidR="007E676C" w:rsidRPr="001A75C1">
        <w:rPr>
          <w:rFonts w:ascii="Times New Roman" w:hAnsi="Times New Roman" w:cs="Times New Roman"/>
          <w:sz w:val="24"/>
          <w:szCs w:val="24"/>
          <w:vertAlign w:val="superscript"/>
          <w:lang w:val="en-GB"/>
        </w:rPr>
        <w:t>nd</w:t>
      </w:r>
      <w:r w:rsidR="007E676C" w:rsidRPr="001A75C1">
        <w:rPr>
          <w:rFonts w:ascii="Times New Roman" w:hAnsi="Times New Roman" w:cs="Times New Roman"/>
          <w:sz w:val="24"/>
          <w:szCs w:val="24"/>
          <w:lang w:val="en-GB"/>
        </w:rPr>
        <w:t xml:space="preserve"> respondent under case number</w:t>
      </w:r>
      <w:r w:rsidR="00FD3B48" w:rsidRPr="001A75C1">
        <w:rPr>
          <w:rFonts w:ascii="Times New Roman" w:hAnsi="Times New Roman" w:cs="Times New Roman"/>
          <w:sz w:val="24"/>
          <w:szCs w:val="24"/>
          <w:lang w:val="en-GB"/>
        </w:rPr>
        <w:t xml:space="preserve"> </w:t>
      </w:r>
      <w:r w:rsidR="007E676C" w:rsidRPr="001A75C1">
        <w:rPr>
          <w:rFonts w:ascii="Times New Roman" w:hAnsi="Times New Roman" w:cs="Times New Roman"/>
          <w:sz w:val="24"/>
          <w:szCs w:val="24"/>
          <w:lang w:val="en-GB"/>
        </w:rPr>
        <w:t>HC3516/22, following property distribution by the 1</w:t>
      </w:r>
      <w:r w:rsidR="007E676C" w:rsidRPr="001A75C1">
        <w:rPr>
          <w:rFonts w:ascii="Times New Roman" w:hAnsi="Times New Roman" w:cs="Times New Roman"/>
          <w:sz w:val="24"/>
          <w:szCs w:val="24"/>
          <w:vertAlign w:val="superscript"/>
          <w:lang w:val="en-GB"/>
        </w:rPr>
        <w:t>st</w:t>
      </w:r>
      <w:r w:rsidR="007E676C" w:rsidRPr="001A75C1">
        <w:rPr>
          <w:rFonts w:ascii="Times New Roman" w:hAnsi="Times New Roman" w:cs="Times New Roman"/>
          <w:sz w:val="24"/>
          <w:szCs w:val="24"/>
          <w:lang w:val="en-GB"/>
        </w:rPr>
        <w:t xml:space="preserve"> respondent in the estate of late Letty Kapanga</w:t>
      </w:r>
      <w:r w:rsidR="00E143DF" w:rsidRPr="001A75C1">
        <w:rPr>
          <w:rFonts w:ascii="Times New Roman" w:hAnsi="Times New Roman" w:cs="Times New Roman"/>
          <w:sz w:val="24"/>
          <w:szCs w:val="24"/>
          <w:lang w:val="en-GB"/>
        </w:rPr>
        <w:t>,</w:t>
      </w:r>
      <w:r w:rsidR="007E676C" w:rsidRPr="001A75C1">
        <w:rPr>
          <w:rFonts w:ascii="Times New Roman" w:hAnsi="Times New Roman" w:cs="Times New Roman"/>
          <w:sz w:val="24"/>
          <w:szCs w:val="24"/>
          <w:lang w:val="en-GB"/>
        </w:rPr>
        <w:t xml:space="preserve"> registered under DR 1431/20 in favour of the 2</w:t>
      </w:r>
      <w:r w:rsidR="007E676C" w:rsidRPr="001A75C1">
        <w:rPr>
          <w:rFonts w:ascii="Times New Roman" w:hAnsi="Times New Roman" w:cs="Times New Roman"/>
          <w:sz w:val="24"/>
          <w:szCs w:val="24"/>
          <w:vertAlign w:val="superscript"/>
          <w:lang w:val="en-GB"/>
        </w:rPr>
        <w:t>nd</w:t>
      </w:r>
      <w:r w:rsidR="007E676C" w:rsidRPr="001A75C1">
        <w:rPr>
          <w:rFonts w:ascii="Times New Roman" w:hAnsi="Times New Roman" w:cs="Times New Roman"/>
          <w:sz w:val="24"/>
          <w:szCs w:val="24"/>
          <w:lang w:val="en-GB"/>
        </w:rPr>
        <w:t xml:space="preserve"> respondent. </w:t>
      </w:r>
      <w:r w:rsidR="00294326" w:rsidRPr="001A75C1">
        <w:rPr>
          <w:rFonts w:ascii="Times New Roman" w:hAnsi="Times New Roman" w:cs="Times New Roman"/>
          <w:sz w:val="24"/>
          <w:szCs w:val="24"/>
          <w:lang w:val="en-GB"/>
        </w:rPr>
        <w:t>I</w:t>
      </w:r>
      <w:r w:rsidR="007E676C" w:rsidRPr="001A75C1">
        <w:rPr>
          <w:rFonts w:ascii="Times New Roman" w:hAnsi="Times New Roman" w:cs="Times New Roman"/>
          <w:sz w:val="24"/>
          <w:szCs w:val="24"/>
          <w:lang w:val="en-GB"/>
        </w:rPr>
        <w:t>n April 2022</w:t>
      </w:r>
      <w:r w:rsidR="00294326" w:rsidRPr="001A75C1">
        <w:rPr>
          <w:rFonts w:ascii="Times New Roman" w:hAnsi="Times New Roman" w:cs="Times New Roman"/>
          <w:sz w:val="24"/>
          <w:szCs w:val="24"/>
          <w:lang w:val="en-GB"/>
        </w:rPr>
        <w:t xml:space="preserve">, </w:t>
      </w:r>
      <w:r w:rsidR="006A060D" w:rsidRPr="001A75C1">
        <w:rPr>
          <w:rFonts w:ascii="Times New Roman" w:hAnsi="Times New Roman" w:cs="Times New Roman"/>
          <w:sz w:val="24"/>
          <w:szCs w:val="24"/>
          <w:lang w:val="en-GB"/>
        </w:rPr>
        <w:t xml:space="preserve">the appellant noted an </w:t>
      </w:r>
      <w:r w:rsidR="00000408">
        <w:rPr>
          <w:rFonts w:ascii="Times New Roman" w:hAnsi="Times New Roman" w:cs="Times New Roman"/>
          <w:sz w:val="24"/>
          <w:szCs w:val="24"/>
          <w:lang w:val="en-GB"/>
        </w:rPr>
        <w:t>appeal</w:t>
      </w:r>
      <w:r w:rsidR="006A060D" w:rsidRPr="001A75C1">
        <w:rPr>
          <w:rFonts w:ascii="Times New Roman" w:hAnsi="Times New Roman" w:cs="Times New Roman"/>
          <w:sz w:val="24"/>
          <w:szCs w:val="24"/>
          <w:lang w:val="en-GB"/>
        </w:rPr>
        <w:t>. He was represented by</w:t>
      </w:r>
      <w:r w:rsidR="000A2517" w:rsidRPr="001A75C1">
        <w:rPr>
          <w:rFonts w:ascii="Times New Roman" w:hAnsi="Times New Roman" w:cs="Times New Roman"/>
          <w:sz w:val="24"/>
          <w:szCs w:val="24"/>
          <w:lang w:val="en-GB"/>
        </w:rPr>
        <w:t xml:space="preserve"> </w:t>
      </w:r>
      <w:r w:rsidR="007E676C" w:rsidRPr="001A75C1">
        <w:rPr>
          <w:rFonts w:ascii="Times New Roman" w:hAnsi="Times New Roman" w:cs="Times New Roman"/>
          <w:sz w:val="24"/>
          <w:szCs w:val="24"/>
          <w:lang w:val="en-GB"/>
        </w:rPr>
        <w:t xml:space="preserve">Manyangadze Law Practice. The legal practitioner who was assisting him left the law firm in October 2022. The applicant </w:t>
      </w:r>
      <w:r w:rsidR="00265159" w:rsidRPr="001A75C1">
        <w:rPr>
          <w:rFonts w:ascii="Times New Roman" w:hAnsi="Times New Roman" w:cs="Times New Roman"/>
          <w:sz w:val="24"/>
          <w:szCs w:val="24"/>
          <w:lang w:val="en-GB"/>
        </w:rPr>
        <w:t>aver</w:t>
      </w:r>
      <w:r w:rsidR="00DC3A6B" w:rsidRPr="001A75C1">
        <w:rPr>
          <w:rFonts w:ascii="Times New Roman" w:hAnsi="Times New Roman" w:cs="Times New Roman"/>
          <w:sz w:val="24"/>
          <w:szCs w:val="24"/>
          <w:lang w:val="en-GB"/>
        </w:rPr>
        <w:t>red</w:t>
      </w:r>
      <w:r w:rsidR="00265159" w:rsidRPr="001A75C1">
        <w:rPr>
          <w:rFonts w:ascii="Times New Roman" w:hAnsi="Times New Roman" w:cs="Times New Roman"/>
          <w:sz w:val="24"/>
          <w:szCs w:val="24"/>
          <w:lang w:val="en-GB"/>
        </w:rPr>
        <w:t xml:space="preserve"> </w:t>
      </w:r>
      <w:r w:rsidR="007E676C" w:rsidRPr="001A75C1">
        <w:rPr>
          <w:rFonts w:ascii="Times New Roman" w:hAnsi="Times New Roman" w:cs="Times New Roman"/>
          <w:sz w:val="24"/>
          <w:szCs w:val="24"/>
          <w:lang w:val="en-GB"/>
        </w:rPr>
        <w:t xml:space="preserve">that the record of proceedings was </w:t>
      </w:r>
      <w:r w:rsidR="00DC3A6B" w:rsidRPr="001A75C1">
        <w:rPr>
          <w:rFonts w:ascii="Times New Roman" w:hAnsi="Times New Roman" w:cs="Times New Roman"/>
          <w:sz w:val="24"/>
          <w:szCs w:val="24"/>
          <w:lang w:val="en-GB"/>
        </w:rPr>
        <w:t xml:space="preserve">only </w:t>
      </w:r>
      <w:r w:rsidR="007E676C" w:rsidRPr="001A75C1">
        <w:rPr>
          <w:rFonts w:ascii="Times New Roman" w:hAnsi="Times New Roman" w:cs="Times New Roman"/>
          <w:sz w:val="24"/>
          <w:szCs w:val="24"/>
          <w:lang w:val="en-GB"/>
        </w:rPr>
        <w:t>submitted in April 2023</w:t>
      </w:r>
      <w:r w:rsidR="00E143DF" w:rsidRPr="001A75C1">
        <w:rPr>
          <w:rFonts w:ascii="Times New Roman" w:hAnsi="Times New Roman" w:cs="Times New Roman"/>
          <w:sz w:val="24"/>
          <w:szCs w:val="24"/>
          <w:lang w:val="en-GB"/>
        </w:rPr>
        <w:t>,</w:t>
      </w:r>
      <w:r w:rsidR="007E676C" w:rsidRPr="001A75C1">
        <w:rPr>
          <w:rFonts w:ascii="Times New Roman" w:hAnsi="Times New Roman" w:cs="Times New Roman"/>
          <w:sz w:val="24"/>
          <w:szCs w:val="24"/>
          <w:lang w:val="en-GB"/>
        </w:rPr>
        <w:t xml:space="preserve"> seven months after the legal practitioner had left the firm</w:t>
      </w:r>
      <w:r w:rsidR="000A2517" w:rsidRPr="001A75C1">
        <w:rPr>
          <w:rFonts w:ascii="Times New Roman" w:hAnsi="Times New Roman" w:cs="Times New Roman"/>
          <w:sz w:val="24"/>
          <w:szCs w:val="24"/>
          <w:lang w:val="en-GB"/>
        </w:rPr>
        <w:t xml:space="preserve"> and a year after the notice of appeal was filed and served at the Master’s office. </w:t>
      </w:r>
      <w:r w:rsidR="00DC3A6B" w:rsidRPr="001A75C1">
        <w:rPr>
          <w:rFonts w:ascii="Times New Roman" w:hAnsi="Times New Roman" w:cs="Times New Roman"/>
          <w:sz w:val="24"/>
          <w:szCs w:val="24"/>
          <w:lang w:val="en-GB"/>
        </w:rPr>
        <w:t xml:space="preserve">The applicant further explained that, with the introduction of the Integrated Electronic Case Management System (IECMS), the case was mistakenly linked to a legal practitioner whom they had never engaged. </w:t>
      </w:r>
    </w:p>
    <w:p w14:paraId="159D87F5" w14:textId="2F333558" w:rsidR="00DC3A6B" w:rsidRPr="001A75C1" w:rsidRDefault="00DC3A6B"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lastRenderedPageBreak/>
        <w:t>The firm denied knowledge of the matter when the Registrar requested the filing of heads of argument. The law firm did not renounce agency when requested to do so, which led the applicants to believe they were being represented. The applicant pointed out that the matter was dismissed due to the late filing of heads</w:t>
      </w:r>
      <w:r w:rsidR="00000408">
        <w:rPr>
          <w:rFonts w:ascii="Times New Roman" w:hAnsi="Times New Roman" w:cs="Times New Roman"/>
          <w:sz w:val="24"/>
          <w:szCs w:val="24"/>
          <w:lang w:val="en-GB"/>
        </w:rPr>
        <w:t xml:space="preserve"> of argument</w:t>
      </w:r>
      <w:r w:rsidRPr="001A75C1">
        <w:rPr>
          <w:rFonts w:ascii="Times New Roman" w:hAnsi="Times New Roman" w:cs="Times New Roman"/>
          <w:sz w:val="24"/>
          <w:szCs w:val="24"/>
          <w:lang w:val="en-GB"/>
        </w:rPr>
        <w:t>.</w:t>
      </w:r>
    </w:p>
    <w:p w14:paraId="0F995B68" w14:textId="5A923155" w:rsidR="00FD3B48" w:rsidRPr="001A75C1" w:rsidRDefault="00C33C0C"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On 10 May 2024</w:t>
      </w:r>
      <w:r w:rsidR="009B0E8A" w:rsidRPr="001A75C1">
        <w:rPr>
          <w:rFonts w:ascii="Times New Roman" w:hAnsi="Times New Roman" w:cs="Times New Roman"/>
          <w:sz w:val="24"/>
          <w:szCs w:val="24"/>
          <w:lang w:val="en-GB"/>
        </w:rPr>
        <w:t>,</w:t>
      </w:r>
      <w:r w:rsidRPr="001A75C1">
        <w:rPr>
          <w:rFonts w:ascii="Times New Roman" w:hAnsi="Times New Roman" w:cs="Times New Roman"/>
          <w:sz w:val="24"/>
          <w:szCs w:val="24"/>
          <w:lang w:val="en-GB"/>
        </w:rPr>
        <w:t xml:space="preserve"> the</w:t>
      </w:r>
      <w:r w:rsidR="000A2517" w:rsidRPr="001A75C1">
        <w:rPr>
          <w:rFonts w:ascii="Times New Roman" w:hAnsi="Times New Roman" w:cs="Times New Roman"/>
          <w:sz w:val="24"/>
          <w:szCs w:val="24"/>
          <w:lang w:val="en-GB"/>
        </w:rPr>
        <w:t xml:space="preserve"> applicants filed a court application for reinstatement of the appeal </w:t>
      </w:r>
      <w:r w:rsidR="00E143DF" w:rsidRPr="001A75C1">
        <w:rPr>
          <w:rFonts w:ascii="Times New Roman" w:hAnsi="Times New Roman" w:cs="Times New Roman"/>
          <w:sz w:val="24"/>
          <w:szCs w:val="24"/>
          <w:lang w:val="en-GB"/>
        </w:rPr>
        <w:t xml:space="preserve">under case number HCHF 916/24. The respondents filed a court application for condonation of late filing a notice of opposition, which was granted. The applicants filed </w:t>
      </w:r>
      <w:r w:rsidR="005C6227" w:rsidRPr="001A75C1">
        <w:rPr>
          <w:rFonts w:ascii="Times New Roman" w:hAnsi="Times New Roman" w:cs="Times New Roman"/>
          <w:sz w:val="24"/>
          <w:szCs w:val="24"/>
          <w:lang w:val="en-GB"/>
        </w:rPr>
        <w:t>an</w:t>
      </w:r>
      <w:r w:rsidR="00E143DF" w:rsidRPr="001A75C1">
        <w:rPr>
          <w:rFonts w:ascii="Times New Roman" w:hAnsi="Times New Roman" w:cs="Times New Roman"/>
          <w:sz w:val="24"/>
          <w:szCs w:val="24"/>
          <w:lang w:val="en-GB"/>
        </w:rPr>
        <w:t xml:space="preserve"> answering affidavit</w:t>
      </w:r>
      <w:r w:rsidR="00000408">
        <w:rPr>
          <w:rFonts w:ascii="Times New Roman" w:hAnsi="Times New Roman" w:cs="Times New Roman"/>
          <w:sz w:val="24"/>
          <w:szCs w:val="24"/>
          <w:lang w:val="en-GB"/>
        </w:rPr>
        <w:t>,</w:t>
      </w:r>
      <w:r w:rsidR="00DC3A6B" w:rsidRPr="001A75C1">
        <w:rPr>
          <w:rFonts w:ascii="Times New Roman" w:hAnsi="Times New Roman" w:cs="Times New Roman"/>
          <w:sz w:val="24"/>
          <w:szCs w:val="24"/>
          <w:lang w:val="en-GB"/>
        </w:rPr>
        <w:t xml:space="preserve"> but</w:t>
      </w:r>
      <w:r w:rsidR="00E143DF" w:rsidRPr="001A75C1">
        <w:rPr>
          <w:rFonts w:ascii="Times New Roman" w:hAnsi="Times New Roman" w:cs="Times New Roman"/>
          <w:sz w:val="24"/>
          <w:szCs w:val="24"/>
          <w:lang w:val="en-GB"/>
        </w:rPr>
        <w:t xml:space="preserve"> </w:t>
      </w:r>
      <w:r w:rsidR="00FD3B48" w:rsidRPr="001A75C1">
        <w:rPr>
          <w:rFonts w:ascii="Times New Roman" w:hAnsi="Times New Roman" w:cs="Times New Roman"/>
          <w:sz w:val="24"/>
          <w:szCs w:val="24"/>
          <w:lang w:val="en-GB"/>
        </w:rPr>
        <w:t>the registrar dismissed the matter</w:t>
      </w:r>
      <w:r w:rsidR="00E143DF" w:rsidRPr="001A75C1">
        <w:rPr>
          <w:rFonts w:ascii="Times New Roman" w:hAnsi="Times New Roman" w:cs="Times New Roman"/>
          <w:sz w:val="24"/>
          <w:szCs w:val="24"/>
          <w:lang w:val="en-GB"/>
        </w:rPr>
        <w:t>.</w:t>
      </w:r>
      <w:r w:rsidR="005C6227" w:rsidRPr="001A75C1">
        <w:rPr>
          <w:rFonts w:ascii="Times New Roman" w:hAnsi="Times New Roman" w:cs="Times New Roman"/>
          <w:sz w:val="24"/>
          <w:szCs w:val="24"/>
          <w:lang w:val="en-GB"/>
        </w:rPr>
        <w:t xml:space="preserve"> The applicant alleges that, after filing the above court application</w:t>
      </w:r>
      <w:r w:rsidR="005C0549" w:rsidRPr="001A75C1">
        <w:rPr>
          <w:rFonts w:ascii="Times New Roman" w:hAnsi="Times New Roman" w:cs="Times New Roman"/>
          <w:sz w:val="24"/>
          <w:szCs w:val="24"/>
          <w:lang w:val="en-GB"/>
        </w:rPr>
        <w:t xml:space="preserve">, they realised that major issues had not been addressed, hence the filing of the present application for failure to file a review within </w:t>
      </w:r>
      <w:r w:rsidR="00DC3A6B" w:rsidRPr="001A75C1">
        <w:rPr>
          <w:rFonts w:ascii="Times New Roman" w:hAnsi="Times New Roman" w:cs="Times New Roman"/>
          <w:sz w:val="24"/>
          <w:szCs w:val="24"/>
          <w:lang w:val="en-GB"/>
        </w:rPr>
        <w:t xml:space="preserve">eight </w:t>
      </w:r>
      <w:r w:rsidR="005C0549" w:rsidRPr="001A75C1">
        <w:rPr>
          <w:rFonts w:ascii="Times New Roman" w:hAnsi="Times New Roman" w:cs="Times New Roman"/>
          <w:sz w:val="24"/>
          <w:szCs w:val="24"/>
          <w:lang w:val="en-GB"/>
        </w:rPr>
        <w:t>weeks after the Master of High Court’s decision. He stated that, in this application, he is seeking condonation of the late filing of a review on the basis that the 1</w:t>
      </w:r>
      <w:r w:rsidR="005C0549" w:rsidRPr="001A75C1">
        <w:rPr>
          <w:rFonts w:ascii="Times New Roman" w:hAnsi="Times New Roman" w:cs="Times New Roman"/>
          <w:sz w:val="24"/>
          <w:szCs w:val="24"/>
          <w:vertAlign w:val="superscript"/>
          <w:lang w:val="en-GB"/>
        </w:rPr>
        <w:t>st</w:t>
      </w:r>
      <w:r w:rsidR="005C0549" w:rsidRPr="001A75C1">
        <w:rPr>
          <w:rFonts w:ascii="Times New Roman" w:hAnsi="Times New Roman" w:cs="Times New Roman"/>
          <w:sz w:val="24"/>
          <w:szCs w:val="24"/>
          <w:lang w:val="en-GB"/>
        </w:rPr>
        <w:t xml:space="preserve"> respondent did not invite the 1</w:t>
      </w:r>
      <w:r w:rsidR="005C0549" w:rsidRPr="001A75C1">
        <w:rPr>
          <w:rFonts w:ascii="Times New Roman" w:hAnsi="Times New Roman" w:cs="Times New Roman"/>
          <w:sz w:val="24"/>
          <w:szCs w:val="24"/>
          <w:vertAlign w:val="superscript"/>
          <w:lang w:val="en-GB"/>
        </w:rPr>
        <w:t>st</w:t>
      </w:r>
      <w:r w:rsidR="005C0549" w:rsidRPr="001A75C1">
        <w:rPr>
          <w:rFonts w:ascii="Times New Roman" w:hAnsi="Times New Roman" w:cs="Times New Roman"/>
          <w:sz w:val="24"/>
          <w:szCs w:val="24"/>
          <w:lang w:val="en-GB"/>
        </w:rPr>
        <w:t xml:space="preserve"> to 3</w:t>
      </w:r>
      <w:r w:rsidR="005C0549" w:rsidRPr="001A75C1">
        <w:rPr>
          <w:rFonts w:ascii="Times New Roman" w:hAnsi="Times New Roman" w:cs="Times New Roman"/>
          <w:sz w:val="24"/>
          <w:szCs w:val="24"/>
          <w:vertAlign w:val="superscript"/>
          <w:lang w:val="en-GB"/>
        </w:rPr>
        <w:t>rd</w:t>
      </w:r>
      <w:r w:rsidR="005C0549" w:rsidRPr="001A75C1">
        <w:rPr>
          <w:rFonts w:ascii="Times New Roman" w:hAnsi="Times New Roman" w:cs="Times New Roman"/>
          <w:sz w:val="24"/>
          <w:szCs w:val="24"/>
          <w:lang w:val="en-GB"/>
        </w:rPr>
        <w:t xml:space="preserve"> respondents to the edict meeting.</w:t>
      </w:r>
      <w:r w:rsidR="00265159" w:rsidRPr="001A75C1">
        <w:rPr>
          <w:rFonts w:ascii="Times New Roman" w:hAnsi="Times New Roman" w:cs="Times New Roman"/>
          <w:sz w:val="24"/>
          <w:szCs w:val="24"/>
          <w:lang w:val="en-GB"/>
        </w:rPr>
        <w:t xml:space="preserve"> </w:t>
      </w:r>
    </w:p>
    <w:p w14:paraId="47CED3FD" w14:textId="316DB063" w:rsidR="000A2517" w:rsidRPr="001A75C1" w:rsidRDefault="00265159"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The applicant </w:t>
      </w:r>
      <w:r w:rsidR="004A2A10" w:rsidRPr="001A75C1">
        <w:rPr>
          <w:rFonts w:ascii="Times New Roman" w:hAnsi="Times New Roman" w:cs="Times New Roman"/>
          <w:sz w:val="24"/>
          <w:szCs w:val="24"/>
          <w:lang w:val="en-GB"/>
        </w:rPr>
        <w:t xml:space="preserve">argued that the delay was </w:t>
      </w:r>
      <w:r w:rsidR="002F38C4" w:rsidRPr="001A75C1">
        <w:rPr>
          <w:rFonts w:ascii="Times New Roman" w:hAnsi="Times New Roman" w:cs="Times New Roman"/>
          <w:sz w:val="24"/>
          <w:szCs w:val="24"/>
          <w:lang w:val="en-GB"/>
        </w:rPr>
        <w:t>not inordinate</w:t>
      </w:r>
      <w:r w:rsidR="004A2A10" w:rsidRPr="001A75C1">
        <w:rPr>
          <w:rFonts w:ascii="Times New Roman" w:hAnsi="Times New Roman" w:cs="Times New Roman"/>
          <w:sz w:val="24"/>
          <w:szCs w:val="24"/>
          <w:lang w:val="en-GB"/>
        </w:rPr>
        <w:t xml:space="preserve"> and was caused by </w:t>
      </w:r>
      <w:r w:rsidR="002F38C4" w:rsidRPr="001A75C1">
        <w:rPr>
          <w:rFonts w:ascii="Times New Roman" w:hAnsi="Times New Roman" w:cs="Times New Roman"/>
          <w:sz w:val="24"/>
          <w:szCs w:val="24"/>
          <w:lang w:val="en-GB"/>
        </w:rPr>
        <w:t xml:space="preserve">unforeseen circumstances. He further </w:t>
      </w:r>
      <w:r w:rsidR="004A2A10" w:rsidRPr="001A75C1">
        <w:rPr>
          <w:rFonts w:ascii="Times New Roman" w:hAnsi="Times New Roman" w:cs="Times New Roman"/>
          <w:sz w:val="24"/>
          <w:szCs w:val="24"/>
          <w:lang w:val="en-GB"/>
        </w:rPr>
        <w:t xml:space="preserve">contended </w:t>
      </w:r>
      <w:r w:rsidR="002F38C4" w:rsidRPr="001A75C1">
        <w:rPr>
          <w:rFonts w:ascii="Times New Roman" w:hAnsi="Times New Roman" w:cs="Times New Roman"/>
          <w:sz w:val="24"/>
          <w:szCs w:val="24"/>
          <w:lang w:val="en-GB"/>
        </w:rPr>
        <w:t xml:space="preserve">that his right to be heard was </w:t>
      </w:r>
      <w:r w:rsidR="004A2A10" w:rsidRPr="001A75C1">
        <w:rPr>
          <w:rFonts w:ascii="Times New Roman" w:hAnsi="Times New Roman" w:cs="Times New Roman"/>
          <w:sz w:val="24"/>
          <w:szCs w:val="24"/>
          <w:lang w:val="en-GB"/>
        </w:rPr>
        <w:t>denied</w:t>
      </w:r>
      <w:r w:rsidR="002F38C4" w:rsidRPr="001A75C1">
        <w:rPr>
          <w:rFonts w:ascii="Times New Roman" w:hAnsi="Times New Roman" w:cs="Times New Roman"/>
          <w:sz w:val="24"/>
          <w:szCs w:val="24"/>
          <w:lang w:val="en-GB"/>
        </w:rPr>
        <w:t xml:space="preserve">, </w:t>
      </w:r>
      <w:r w:rsidR="004A2A10" w:rsidRPr="001A75C1">
        <w:rPr>
          <w:rFonts w:ascii="Times New Roman" w:hAnsi="Times New Roman" w:cs="Times New Roman"/>
          <w:sz w:val="24"/>
          <w:szCs w:val="24"/>
          <w:lang w:val="en-GB"/>
        </w:rPr>
        <w:t>as he and the other applicants were</w:t>
      </w:r>
      <w:r w:rsidR="00FD3B48" w:rsidRPr="001A75C1">
        <w:rPr>
          <w:rFonts w:ascii="Times New Roman" w:hAnsi="Times New Roman" w:cs="Times New Roman"/>
          <w:sz w:val="24"/>
          <w:szCs w:val="24"/>
          <w:lang w:val="en-GB"/>
        </w:rPr>
        <w:t xml:space="preserve"> beneficiaries by virtue of being children of the late Simon Kapanga, </w:t>
      </w:r>
      <w:r w:rsidR="004A2A10" w:rsidRPr="001A75C1">
        <w:rPr>
          <w:rFonts w:ascii="Times New Roman" w:hAnsi="Times New Roman" w:cs="Times New Roman"/>
          <w:sz w:val="24"/>
          <w:szCs w:val="24"/>
          <w:lang w:val="en-GB"/>
        </w:rPr>
        <w:t xml:space="preserve">himself </w:t>
      </w:r>
      <w:r w:rsidR="00FD3B48" w:rsidRPr="001A75C1">
        <w:rPr>
          <w:rFonts w:ascii="Times New Roman" w:hAnsi="Times New Roman" w:cs="Times New Roman"/>
          <w:sz w:val="24"/>
          <w:szCs w:val="24"/>
          <w:lang w:val="en-GB"/>
        </w:rPr>
        <w:t>a beneficiary of the Estate of Late L</w:t>
      </w:r>
      <w:r w:rsidR="004A2A10" w:rsidRPr="001A75C1">
        <w:rPr>
          <w:rFonts w:ascii="Times New Roman" w:hAnsi="Times New Roman" w:cs="Times New Roman"/>
          <w:sz w:val="24"/>
          <w:szCs w:val="24"/>
          <w:lang w:val="en-GB"/>
        </w:rPr>
        <w:t xml:space="preserve">etty </w:t>
      </w:r>
      <w:r w:rsidR="00FD3B48" w:rsidRPr="001A75C1">
        <w:rPr>
          <w:rFonts w:ascii="Times New Roman" w:hAnsi="Times New Roman" w:cs="Times New Roman"/>
          <w:sz w:val="24"/>
          <w:szCs w:val="24"/>
          <w:lang w:val="en-GB"/>
        </w:rPr>
        <w:t xml:space="preserve"> Kapanga</w:t>
      </w:r>
      <w:r w:rsidR="002F38C4" w:rsidRPr="001A75C1">
        <w:rPr>
          <w:rFonts w:ascii="Times New Roman" w:hAnsi="Times New Roman" w:cs="Times New Roman"/>
          <w:sz w:val="24"/>
          <w:szCs w:val="24"/>
          <w:lang w:val="en-GB"/>
        </w:rPr>
        <w:t>.</w:t>
      </w:r>
      <w:r w:rsidR="00FD3B48" w:rsidRPr="001A75C1">
        <w:rPr>
          <w:rFonts w:ascii="Times New Roman" w:hAnsi="Times New Roman" w:cs="Times New Roman"/>
          <w:sz w:val="24"/>
          <w:szCs w:val="24"/>
          <w:lang w:val="en-GB"/>
        </w:rPr>
        <w:t xml:space="preserve"> He submitted that the Master of the High Court grossly misdirected</w:t>
      </w:r>
      <w:r w:rsidR="004A2A10" w:rsidRPr="001A75C1">
        <w:rPr>
          <w:rFonts w:ascii="Times New Roman" w:hAnsi="Times New Roman" w:cs="Times New Roman"/>
          <w:sz w:val="24"/>
          <w:szCs w:val="24"/>
          <w:lang w:val="en-GB"/>
        </w:rPr>
        <w:t xml:space="preserve"> himself</w:t>
      </w:r>
      <w:r w:rsidR="00FD3B48" w:rsidRPr="001A75C1">
        <w:rPr>
          <w:rFonts w:ascii="Times New Roman" w:hAnsi="Times New Roman" w:cs="Times New Roman"/>
          <w:sz w:val="24"/>
          <w:szCs w:val="24"/>
          <w:lang w:val="en-GB"/>
        </w:rPr>
        <w:t xml:space="preserve"> </w:t>
      </w:r>
      <w:r w:rsidR="004A2A10" w:rsidRPr="001A75C1">
        <w:rPr>
          <w:rFonts w:ascii="Times New Roman" w:hAnsi="Times New Roman" w:cs="Times New Roman"/>
          <w:sz w:val="24"/>
          <w:szCs w:val="24"/>
          <w:lang w:val="en-GB"/>
        </w:rPr>
        <w:t>by</w:t>
      </w:r>
      <w:r w:rsidR="00FD3B48" w:rsidRPr="001A75C1">
        <w:rPr>
          <w:rFonts w:ascii="Times New Roman" w:hAnsi="Times New Roman" w:cs="Times New Roman"/>
          <w:sz w:val="24"/>
          <w:szCs w:val="24"/>
          <w:lang w:val="en-GB"/>
        </w:rPr>
        <w:t xml:space="preserve"> accepting </w:t>
      </w:r>
      <w:r w:rsidR="004A2A10" w:rsidRPr="001A75C1">
        <w:rPr>
          <w:rFonts w:ascii="Times New Roman" w:hAnsi="Times New Roman" w:cs="Times New Roman"/>
          <w:sz w:val="24"/>
          <w:szCs w:val="24"/>
          <w:lang w:val="en-GB"/>
        </w:rPr>
        <w:t>the</w:t>
      </w:r>
      <w:r w:rsidR="00FD3B48" w:rsidRPr="001A75C1">
        <w:rPr>
          <w:rFonts w:ascii="Times New Roman" w:hAnsi="Times New Roman" w:cs="Times New Roman"/>
          <w:sz w:val="24"/>
          <w:szCs w:val="24"/>
          <w:lang w:val="en-GB"/>
        </w:rPr>
        <w:t xml:space="preserve"> will of</w:t>
      </w:r>
      <w:r w:rsidR="00000408">
        <w:rPr>
          <w:rFonts w:ascii="Times New Roman" w:hAnsi="Times New Roman" w:cs="Times New Roman"/>
          <w:sz w:val="24"/>
          <w:szCs w:val="24"/>
          <w:lang w:val="en-GB"/>
        </w:rPr>
        <w:t xml:space="preserve"> </w:t>
      </w:r>
      <w:r w:rsidR="00FD3B48" w:rsidRPr="001A75C1">
        <w:rPr>
          <w:rFonts w:ascii="Times New Roman" w:hAnsi="Times New Roman" w:cs="Times New Roman"/>
          <w:sz w:val="24"/>
          <w:szCs w:val="24"/>
          <w:lang w:val="en-GB"/>
        </w:rPr>
        <w:t xml:space="preserve"> Ndereya Kapanga in support of Letty Kapanga’s will.</w:t>
      </w:r>
    </w:p>
    <w:p w14:paraId="065A102A" w14:textId="73BEF188" w:rsidR="00FD3B48" w:rsidRPr="001A75C1" w:rsidRDefault="004A2A10"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The applicant explained that</w:t>
      </w:r>
      <w:r w:rsidR="001C0E7E" w:rsidRPr="001A75C1">
        <w:rPr>
          <w:rFonts w:ascii="Times New Roman" w:hAnsi="Times New Roman" w:cs="Times New Roman"/>
          <w:sz w:val="24"/>
          <w:szCs w:val="24"/>
          <w:lang w:val="en-GB"/>
        </w:rPr>
        <w:t xml:space="preserve"> non-compliance with the rules </w:t>
      </w:r>
      <w:r w:rsidRPr="001A75C1">
        <w:rPr>
          <w:rFonts w:ascii="Times New Roman" w:hAnsi="Times New Roman" w:cs="Times New Roman"/>
          <w:sz w:val="24"/>
          <w:szCs w:val="24"/>
          <w:lang w:val="en-GB"/>
        </w:rPr>
        <w:t xml:space="preserve">resulted from several factors: the departure of his legal practitioners from the firm, the mismanagement of the case under IECMS, delays in the availability of the court record and the filing of an appeal and application for condonation of late </w:t>
      </w:r>
      <w:r w:rsidR="00000408">
        <w:rPr>
          <w:rFonts w:ascii="Times New Roman" w:hAnsi="Times New Roman" w:cs="Times New Roman"/>
          <w:sz w:val="24"/>
          <w:szCs w:val="24"/>
          <w:lang w:val="en-GB"/>
        </w:rPr>
        <w:t xml:space="preserve">filing of </w:t>
      </w:r>
      <w:r w:rsidRPr="001A75C1">
        <w:rPr>
          <w:rFonts w:ascii="Times New Roman" w:hAnsi="Times New Roman" w:cs="Times New Roman"/>
          <w:sz w:val="24"/>
          <w:szCs w:val="24"/>
          <w:lang w:val="en-GB"/>
        </w:rPr>
        <w:t>heads</w:t>
      </w:r>
      <w:r w:rsidR="00000408">
        <w:rPr>
          <w:rFonts w:ascii="Times New Roman" w:hAnsi="Times New Roman" w:cs="Times New Roman"/>
          <w:sz w:val="24"/>
          <w:szCs w:val="24"/>
          <w:lang w:val="en-GB"/>
        </w:rPr>
        <w:t xml:space="preserve"> of argument</w:t>
      </w:r>
      <w:r w:rsidRPr="001A75C1">
        <w:rPr>
          <w:rFonts w:ascii="Times New Roman" w:hAnsi="Times New Roman" w:cs="Times New Roman"/>
          <w:sz w:val="24"/>
          <w:szCs w:val="24"/>
          <w:lang w:val="en-GB"/>
        </w:rPr>
        <w:t xml:space="preserve"> instead of a review</w:t>
      </w:r>
      <w:r w:rsidR="001C0E7E" w:rsidRPr="001A75C1">
        <w:rPr>
          <w:rFonts w:ascii="Times New Roman" w:hAnsi="Times New Roman" w:cs="Times New Roman"/>
          <w:sz w:val="24"/>
          <w:szCs w:val="24"/>
          <w:lang w:val="en-GB"/>
        </w:rPr>
        <w:t>.</w:t>
      </w:r>
      <w:r w:rsidR="00FD3B48" w:rsidRPr="001A75C1">
        <w:rPr>
          <w:rFonts w:ascii="Times New Roman" w:hAnsi="Times New Roman" w:cs="Times New Roman"/>
          <w:sz w:val="24"/>
          <w:szCs w:val="24"/>
          <w:lang w:val="en-GB"/>
        </w:rPr>
        <w:t xml:space="preserve"> </w:t>
      </w:r>
      <w:r w:rsidRPr="001A75C1">
        <w:rPr>
          <w:rFonts w:ascii="Times New Roman" w:hAnsi="Times New Roman" w:cs="Times New Roman"/>
          <w:sz w:val="24"/>
          <w:szCs w:val="24"/>
          <w:lang w:val="en-GB"/>
        </w:rPr>
        <w:t xml:space="preserve">He </w:t>
      </w:r>
      <w:r w:rsidR="00FD3B48" w:rsidRPr="001A75C1">
        <w:rPr>
          <w:rFonts w:ascii="Times New Roman" w:hAnsi="Times New Roman" w:cs="Times New Roman"/>
          <w:sz w:val="24"/>
          <w:szCs w:val="24"/>
          <w:lang w:val="en-GB"/>
        </w:rPr>
        <w:t>submitted that he has high prospects of success</w:t>
      </w:r>
      <w:r w:rsidR="001C0E7E" w:rsidRPr="001A75C1">
        <w:rPr>
          <w:rFonts w:ascii="Times New Roman" w:hAnsi="Times New Roman" w:cs="Times New Roman"/>
          <w:sz w:val="24"/>
          <w:szCs w:val="24"/>
          <w:lang w:val="en-GB"/>
        </w:rPr>
        <w:t xml:space="preserve"> in the main matter</w:t>
      </w:r>
      <w:r w:rsidR="0086345B" w:rsidRPr="001A75C1">
        <w:rPr>
          <w:rFonts w:ascii="Times New Roman" w:hAnsi="Times New Roman" w:cs="Times New Roman"/>
          <w:sz w:val="24"/>
          <w:szCs w:val="24"/>
          <w:lang w:val="en-GB"/>
        </w:rPr>
        <w:t>, noting that he was never advised of the edict meetings held at the Master’s office.</w:t>
      </w:r>
      <w:r w:rsidR="001C0E7E" w:rsidRPr="001A75C1">
        <w:rPr>
          <w:rFonts w:ascii="Times New Roman" w:hAnsi="Times New Roman" w:cs="Times New Roman"/>
          <w:sz w:val="24"/>
          <w:szCs w:val="24"/>
          <w:lang w:val="en-GB"/>
        </w:rPr>
        <w:t xml:space="preserve"> He further allege</w:t>
      </w:r>
      <w:r w:rsidR="0086345B" w:rsidRPr="001A75C1">
        <w:rPr>
          <w:rFonts w:ascii="Times New Roman" w:hAnsi="Times New Roman" w:cs="Times New Roman"/>
          <w:sz w:val="24"/>
          <w:szCs w:val="24"/>
          <w:lang w:val="en-GB"/>
        </w:rPr>
        <w:t>d</w:t>
      </w:r>
      <w:r w:rsidR="001C0E7E" w:rsidRPr="001A75C1">
        <w:rPr>
          <w:rFonts w:ascii="Times New Roman" w:hAnsi="Times New Roman" w:cs="Times New Roman"/>
          <w:sz w:val="24"/>
          <w:szCs w:val="24"/>
          <w:lang w:val="en-GB"/>
        </w:rPr>
        <w:t xml:space="preserve"> </w:t>
      </w:r>
      <w:r w:rsidR="00000408">
        <w:rPr>
          <w:rFonts w:ascii="Times New Roman" w:hAnsi="Times New Roman" w:cs="Times New Roman"/>
          <w:sz w:val="24"/>
          <w:szCs w:val="24"/>
          <w:lang w:val="en-GB"/>
        </w:rPr>
        <w:t xml:space="preserve">that </w:t>
      </w:r>
      <w:r w:rsidR="00804427" w:rsidRPr="001A75C1">
        <w:rPr>
          <w:rFonts w:ascii="Times New Roman" w:hAnsi="Times New Roman" w:cs="Times New Roman"/>
          <w:sz w:val="24"/>
          <w:szCs w:val="24"/>
          <w:lang w:val="en-GB"/>
        </w:rPr>
        <w:t xml:space="preserve">the 2nd respondent had misrepresented </w:t>
      </w:r>
      <w:r w:rsidR="00000408">
        <w:rPr>
          <w:rFonts w:ascii="Times New Roman" w:hAnsi="Times New Roman" w:cs="Times New Roman"/>
          <w:sz w:val="24"/>
          <w:szCs w:val="24"/>
          <w:lang w:val="en-GB"/>
        </w:rPr>
        <w:t xml:space="preserve">to </w:t>
      </w:r>
      <w:r w:rsidR="00804427" w:rsidRPr="001A75C1">
        <w:rPr>
          <w:rFonts w:ascii="Times New Roman" w:hAnsi="Times New Roman" w:cs="Times New Roman"/>
          <w:sz w:val="24"/>
          <w:szCs w:val="24"/>
          <w:lang w:val="en-GB"/>
        </w:rPr>
        <w:t xml:space="preserve">the Master regarding the measurements of the deceased </w:t>
      </w:r>
      <w:r w:rsidR="009D6099" w:rsidRPr="001A75C1">
        <w:rPr>
          <w:rFonts w:ascii="Times New Roman" w:hAnsi="Times New Roman" w:cs="Times New Roman"/>
          <w:sz w:val="24"/>
          <w:szCs w:val="24"/>
          <w:lang w:val="en-GB"/>
        </w:rPr>
        <w:t>estate's</w:t>
      </w:r>
      <w:r w:rsidR="00804427" w:rsidRPr="001A75C1">
        <w:rPr>
          <w:rFonts w:ascii="Times New Roman" w:hAnsi="Times New Roman" w:cs="Times New Roman"/>
          <w:sz w:val="24"/>
          <w:szCs w:val="24"/>
          <w:lang w:val="en-GB"/>
        </w:rPr>
        <w:t xml:space="preserve"> land</w:t>
      </w:r>
      <w:r w:rsidR="009D6099" w:rsidRPr="001A75C1">
        <w:rPr>
          <w:rFonts w:ascii="Times New Roman" w:hAnsi="Times New Roman" w:cs="Times New Roman"/>
          <w:sz w:val="24"/>
          <w:szCs w:val="24"/>
          <w:lang w:val="en-GB"/>
        </w:rPr>
        <w:t>,</w:t>
      </w:r>
      <w:r w:rsidR="00804427" w:rsidRPr="001A75C1">
        <w:rPr>
          <w:rFonts w:ascii="Times New Roman" w:hAnsi="Times New Roman" w:cs="Times New Roman"/>
          <w:sz w:val="24"/>
          <w:szCs w:val="24"/>
          <w:lang w:val="en-GB"/>
        </w:rPr>
        <w:t xml:space="preserve"> </w:t>
      </w:r>
      <w:r w:rsidR="00F44DA8" w:rsidRPr="001A75C1">
        <w:rPr>
          <w:rFonts w:ascii="Times New Roman" w:hAnsi="Times New Roman" w:cs="Times New Roman"/>
          <w:sz w:val="24"/>
          <w:szCs w:val="24"/>
          <w:lang w:val="en-GB"/>
        </w:rPr>
        <w:t>thereby affecting</w:t>
      </w:r>
      <w:r w:rsidR="00804427" w:rsidRPr="001A75C1">
        <w:rPr>
          <w:rFonts w:ascii="Times New Roman" w:hAnsi="Times New Roman" w:cs="Times New Roman"/>
          <w:sz w:val="24"/>
          <w:szCs w:val="24"/>
          <w:lang w:val="en-GB"/>
        </w:rPr>
        <w:t xml:space="preserve"> their rights.</w:t>
      </w:r>
    </w:p>
    <w:p w14:paraId="4693F8D9" w14:textId="7F44E829" w:rsidR="0086345B" w:rsidRPr="001A75C1" w:rsidRDefault="006A060D"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The legal practitioner who assisted him in noting the appeal </w:t>
      </w:r>
      <w:r w:rsidR="0086345B" w:rsidRPr="001A75C1">
        <w:rPr>
          <w:rFonts w:ascii="Times New Roman" w:hAnsi="Times New Roman" w:cs="Times New Roman"/>
          <w:sz w:val="24"/>
          <w:szCs w:val="24"/>
          <w:lang w:val="en-GB"/>
        </w:rPr>
        <w:t xml:space="preserve">filed a supporting affidavit, confirming that the 2nd respondent had issued </w:t>
      </w:r>
      <w:r w:rsidR="00000408">
        <w:rPr>
          <w:rFonts w:ascii="Times New Roman" w:hAnsi="Times New Roman" w:cs="Times New Roman"/>
          <w:sz w:val="24"/>
          <w:szCs w:val="24"/>
          <w:lang w:val="en-GB"/>
        </w:rPr>
        <w:t xml:space="preserve">a </w:t>
      </w:r>
      <w:r w:rsidR="0086345B" w:rsidRPr="001A75C1">
        <w:rPr>
          <w:rFonts w:ascii="Times New Roman" w:hAnsi="Times New Roman" w:cs="Times New Roman"/>
          <w:sz w:val="24"/>
          <w:szCs w:val="24"/>
          <w:lang w:val="en-GB"/>
        </w:rPr>
        <w:t>summons for eviction against the applicants after the 1st respondent approved the distribution account. He stated that he filed an appearance to defend the matter</w:t>
      </w:r>
      <w:r w:rsidR="00D64D3C" w:rsidRPr="001A75C1">
        <w:rPr>
          <w:rFonts w:ascii="Times New Roman" w:hAnsi="Times New Roman" w:cs="Times New Roman"/>
          <w:sz w:val="24"/>
          <w:szCs w:val="24"/>
          <w:lang w:val="en-GB"/>
        </w:rPr>
        <w:t>,</w:t>
      </w:r>
      <w:r w:rsidR="0086345B" w:rsidRPr="001A75C1">
        <w:rPr>
          <w:rFonts w:ascii="Times New Roman" w:hAnsi="Times New Roman" w:cs="Times New Roman"/>
          <w:sz w:val="24"/>
          <w:szCs w:val="24"/>
          <w:lang w:val="en-GB"/>
        </w:rPr>
        <w:t xml:space="preserve"> but left Manyangadze Law Practice in October 2022, before receiving correspondence from the Registrar regarding payment for the record of proceedings. He explained that he had not utilised IECMS, as the courts were still operating </w:t>
      </w:r>
      <w:r w:rsidR="0086345B" w:rsidRPr="001A75C1">
        <w:rPr>
          <w:rFonts w:ascii="Times New Roman" w:hAnsi="Times New Roman" w:cs="Times New Roman"/>
          <w:sz w:val="24"/>
          <w:szCs w:val="24"/>
          <w:lang w:val="en-GB"/>
        </w:rPr>
        <w:lastRenderedPageBreak/>
        <w:t>with hard copies, and that the address of service remained Manyangadze Law Practice. He averred that he was not linked to the case after leaving the firm and did not receive any communication requiring his attention. He only became aware of the dismissal of the matter in 2024, at which point he advised the applicants of the outcome and the procedures they should follow. He submitted that the delay was not willful and that the applicants should not be punished.</w:t>
      </w:r>
    </w:p>
    <w:p w14:paraId="1707F428" w14:textId="6D58135A" w:rsidR="0086345B" w:rsidRPr="001A75C1" w:rsidRDefault="0086345B"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The 2nd and 3rd applicants also filed supporting affidavits, reiterating the same information provided by the 1st applicant.</w:t>
      </w:r>
    </w:p>
    <w:p w14:paraId="075FA2D1" w14:textId="77777777" w:rsidR="00284173" w:rsidRDefault="0086345B" w:rsidP="00284173">
      <w:pPr>
        <w:pStyle w:val="NormalWeb"/>
        <w:spacing w:before="0" w:beforeAutospacing="0" w:after="0" w:afterAutospacing="0" w:line="360" w:lineRule="auto"/>
        <w:ind w:firstLine="720"/>
        <w:jc w:val="both"/>
        <w:rPr>
          <w:lang w:val="en-GB"/>
        </w:rPr>
      </w:pPr>
      <w:r w:rsidRPr="001A75C1">
        <w:rPr>
          <w:lang w:val="en-GB"/>
        </w:rPr>
        <w:t>In opposition, the 2nd respondent argued that the applicants’ legal practitioner had practiced under Manyangadze Law Practice and had never renounced agency upon leaving the firm. He maintained that the Registrar correctly linked Manyangadze Law Practice as the applicants’ legal representative. He further contended that the application for reinstatement was dismissed by the court, not the Registrar. The 2nd respondent argued that the applicants were notified of the edict meeting and chose not to attend, noting that advertisements had been placed in newspapers to inform the public about the estate’s finalisation. He submitted that the applicants had ample time to assert their rights at the Master’s office.</w:t>
      </w:r>
    </w:p>
    <w:p w14:paraId="52E7C596" w14:textId="77777777" w:rsidR="00284173" w:rsidRDefault="0086345B" w:rsidP="00284173">
      <w:pPr>
        <w:pStyle w:val="NormalWeb"/>
        <w:spacing w:before="0" w:beforeAutospacing="0" w:after="0" w:afterAutospacing="0" w:line="360" w:lineRule="auto"/>
        <w:ind w:firstLine="720"/>
        <w:jc w:val="both"/>
        <w:rPr>
          <w:lang w:val="en-GB"/>
        </w:rPr>
      </w:pPr>
      <w:r w:rsidRPr="001A75C1">
        <w:rPr>
          <w:lang w:val="en-GB"/>
        </w:rPr>
        <w:t>The 2nd respondent maintained that the delay was unreasonable, as the applicants admitted becoming aware of the estate’s finalisation in March 2022, yet only filed the present application on 26 June 2025. He denied misrepresenting the Master and argued that the applicants’ explanation for the delay was not reasonable. He further contended that the applicants had no prospects of success in the main matter.</w:t>
      </w:r>
    </w:p>
    <w:p w14:paraId="4E19E5C8" w14:textId="77777777" w:rsidR="00284173" w:rsidRDefault="0086345B" w:rsidP="00284173">
      <w:pPr>
        <w:pStyle w:val="NormalWeb"/>
        <w:spacing w:before="0" w:beforeAutospacing="0" w:after="0" w:afterAutospacing="0" w:line="360" w:lineRule="auto"/>
        <w:ind w:firstLine="720"/>
        <w:jc w:val="both"/>
        <w:rPr>
          <w:lang w:val="en-GB"/>
        </w:rPr>
      </w:pPr>
      <w:r w:rsidRPr="001A75C1">
        <w:rPr>
          <w:lang w:val="en-GB"/>
        </w:rPr>
        <w:t xml:space="preserve">The respondent pointed out that the boundary issue </w:t>
      </w:r>
      <w:r w:rsidR="00000408">
        <w:rPr>
          <w:lang w:val="en-GB"/>
        </w:rPr>
        <w:t>was</w:t>
      </w:r>
      <w:r w:rsidRPr="001A75C1">
        <w:rPr>
          <w:lang w:val="en-GB"/>
        </w:rPr>
        <w:t xml:space="preserve"> never before the Master and accused the applicants of filing numerous applications to frustrate execution of the distribution account, thereby causing him unnecessary expenses. He argued that the applicants were not suitable candidates for condonation. He also noted that Mr. Marava’s supporting affidavit did not explain the delay in filing the review application, and that the affidavits of the 2nd and 3rd applicants likewise failed to provide a justifiable explanation.</w:t>
      </w:r>
    </w:p>
    <w:p w14:paraId="2B466795" w14:textId="63C66B94" w:rsidR="0086345B" w:rsidRPr="001A75C1" w:rsidRDefault="0086345B" w:rsidP="00284173">
      <w:pPr>
        <w:pStyle w:val="NormalWeb"/>
        <w:spacing w:before="0" w:beforeAutospacing="0" w:after="0" w:afterAutospacing="0" w:line="360" w:lineRule="auto"/>
        <w:ind w:firstLine="720"/>
        <w:jc w:val="both"/>
        <w:rPr>
          <w:lang w:val="en-GB"/>
        </w:rPr>
      </w:pPr>
      <w:r w:rsidRPr="001A75C1">
        <w:rPr>
          <w:lang w:val="en-GB"/>
        </w:rPr>
        <w:t>In reply, the applicants insisted that the legal practitioner handling their case was not properly linked, and that the law firm acknowledged one Denford, who was unknown to them. They maintained that the linked practitioner had never communicated with them or filed the required documents. They further submitted that they were unaware of court procedures and had not seen the newspaper advertisements, as they reside in rural areas where newspapers are not purchased daily.</w:t>
      </w:r>
    </w:p>
    <w:p w14:paraId="3AD226E0" w14:textId="4EDE94A2" w:rsidR="00166384" w:rsidRPr="00284173" w:rsidRDefault="00166384" w:rsidP="00166384">
      <w:pPr>
        <w:spacing w:line="360" w:lineRule="auto"/>
        <w:jc w:val="both"/>
        <w:rPr>
          <w:rFonts w:ascii="Times New Roman" w:hAnsi="Times New Roman" w:cs="Times New Roman"/>
          <w:b/>
          <w:bCs/>
          <w:sz w:val="24"/>
          <w:szCs w:val="24"/>
          <w:u w:val="single"/>
          <w:lang w:val="en-GB"/>
        </w:rPr>
      </w:pPr>
      <w:r w:rsidRPr="00284173">
        <w:rPr>
          <w:rFonts w:ascii="Times New Roman" w:hAnsi="Times New Roman" w:cs="Times New Roman"/>
          <w:b/>
          <w:bCs/>
          <w:sz w:val="24"/>
          <w:szCs w:val="24"/>
          <w:u w:val="single"/>
          <w:lang w:val="en-GB"/>
        </w:rPr>
        <w:lastRenderedPageBreak/>
        <w:t>ANALYSIS</w:t>
      </w:r>
    </w:p>
    <w:p w14:paraId="28EFC7F2" w14:textId="1F097EC7" w:rsidR="00995213" w:rsidRPr="001A75C1" w:rsidRDefault="0049519C" w:rsidP="00782BFF">
      <w:pPr>
        <w:spacing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The applicable legal principles in applications of this nature are well established in our jurisprudence. The court has discretion, which must be exercised carefully after considering all relevant factors. The applicant </w:t>
      </w:r>
      <w:r w:rsidR="00E70373" w:rsidRPr="001A75C1">
        <w:rPr>
          <w:rFonts w:ascii="Times New Roman" w:hAnsi="Times New Roman" w:cs="Times New Roman"/>
          <w:sz w:val="24"/>
          <w:szCs w:val="24"/>
          <w:lang w:val="en-GB"/>
        </w:rPr>
        <w:t xml:space="preserve">has the </w:t>
      </w:r>
      <w:r w:rsidRPr="001A75C1">
        <w:rPr>
          <w:rFonts w:ascii="Times New Roman" w:hAnsi="Times New Roman" w:cs="Times New Roman"/>
          <w:sz w:val="24"/>
          <w:szCs w:val="24"/>
          <w:lang w:val="en-GB"/>
        </w:rPr>
        <w:t xml:space="preserve">burden to prove that there is enough cause to grant the indulgence. </w:t>
      </w:r>
      <w:r w:rsidR="00995213" w:rsidRPr="001A75C1">
        <w:rPr>
          <w:rFonts w:ascii="Times New Roman" w:hAnsi="Times New Roman" w:cs="Times New Roman"/>
          <w:sz w:val="24"/>
          <w:szCs w:val="24"/>
          <w:lang w:val="en-GB"/>
        </w:rPr>
        <w:t xml:space="preserve">In the case of </w:t>
      </w:r>
      <w:r w:rsidR="00995213" w:rsidRPr="001A75C1">
        <w:rPr>
          <w:rFonts w:ascii="Times New Roman" w:hAnsi="Times New Roman" w:cs="Times New Roman"/>
          <w:i/>
          <w:iCs/>
          <w:sz w:val="24"/>
          <w:szCs w:val="24"/>
          <w:lang w:val="en-GB"/>
        </w:rPr>
        <w:t xml:space="preserve">Tel-one Pvt (Ltd) </w:t>
      </w:r>
      <w:r w:rsidR="00995213" w:rsidRPr="00284173">
        <w:rPr>
          <w:rFonts w:ascii="Times New Roman" w:hAnsi="Times New Roman" w:cs="Times New Roman"/>
          <w:sz w:val="24"/>
          <w:szCs w:val="24"/>
          <w:lang w:val="en-GB"/>
        </w:rPr>
        <w:t>v</w:t>
      </w:r>
      <w:r w:rsidR="00995213" w:rsidRPr="001A75C1">
        <w:rPr>
          <w:rFonts w:ascii="Times New Roman" w:hAnsi="Times New Roman" w:cs="Times New Roman"/>
          <w:i/>
          <w:iCs/>
          <w:sz w:val="24"/>
          <w:szCs w:val="24"/>
          <w:lang w:val="en-GB"/>
        </w:rPr>
        <w:t xml:space="preserve"> Communication and Allied Services </w:t>
      </w:r>
      <w:r w:rsidR="00166384" w:rsidRPr="001A75C1">
        <w:rPr>
          <w:rFonts w:ascii="Times New Roman" w:hAnsi="Times New Roman" w:cs="Times New Roman"/>
          <w:i/>
          <w:iCs/>
          <w:sz w:val="24"/>
          <w:szCs w:val="24"/>
          <w:lang w:val="en-GB"/>
        </w:rPr>
        <w:t>W</w:t>
      </w:r>
      <w:r w:rsidR="00995213" w:rsidRPr="001A75C1">
        <w:rPr>
          <w:rFonts w:ascii="Times New Roman" w:hAnsi="Times New Roman" w:cs="Times New Roman"/>
          <w:i/>
          <w:iCs/>
          <w:sz w:val="24"/>
          <w:szCs w:val="24"/>
          <w:lang w:val="en-GB"/>
        </w:rPr>
        <w:t>orkers Union of Zimbabwe</w:t>
      </w:r>
      <w:r w:rsidR="00995213" w:rsidRPr="001A75C1">
        <w:rPr>
          <w:rFonts w:ascii="Times New Roman" w:hAnsi="Times New Roman" w:cs="Times New Roman"/>
          <w:sz w:val="24"/>
          <w:szCs w:val="24"/>
          <w:lang w:val="en-GB"/>
        </w:rPr>
        <w:t xml:space="preserve"> S</w:t>
      </w:r>
      <w:r w:rsidR="006A060D" w:rsidRPr="001A75C1">
        <w:rPr>
          <w:rFonts w:ascii="Times New Roman" w:hAnsi="Times New Roman" w:cs="Times New Roman"/>
          <w:sz w:val="24"/>
          <w:szCs w:val="24"/>
          <w:lang w:val="en-GB"/>
        </w:rPr>
        <w:t>-</w:t>
      </w:r>
      <w:r w:rsidR="00995213" w:rsidRPr="001A75C1">
        <w:rPr>
          <w:rFonts w:ascii="Times New Roman" w:hAnsi="Times New Roman" w:cs="Times New Roman"/>
          <w:sz w:val="24"/>
          <w:szCs w:val="24"/>
          <w:lang w:val="en-GB"/>
        </w:rPr>
        <w:t>01</w:t>
      </w:r>
      <w:r w:rsidR="006A060D" w:rsidRPr="001A75C1">
        <w:rPr>
          <w:rFonts w:ascii="Times New Roman" w:hAnsi="Times New Roman" w:cs="Times New Roman"/>
          <w:sz w:val="24"/>
          <w:szCs w:val="24"/>
          <w:lang w:val="en-GB"/>
        </w:rPr>
        <w:t>-</w:t>
      </w:r>
      <w:r w:rsidR="00995213" w:rsidRPr="001A75C1">
        <w:rPr>
          <w:rFonts w:ascii="Times New Roman" w:hAnsi="Times New Roman" w:cs="Times New Roman"/>
          <w:sz w:val="24"/>
          <w:szCs w:val="24"/>
          <w:lang w:val="en-GB"/>
        </w:rPr>
        <w:t xml:space="preserve">06 </w:t>
      </w:r>
      <w:r w:rsidR="00284173" w:rsidRPr="00284173">
        <w:rPr>
          <w:rFonts w:ascii="Times New Roman" w:hAnsi="Times New Roman" w:cs="Times New Roman"/>
          <w:smallCaps/>
          <w:sz w:val="24"/>
          <w:szCs w:val="24"/>
          <w:lang w:val="en-GB"/>
        </w:rPr>
        <w:t>Gwaunza</w:t>
      </w:r>
      <w:r w:rsidR="00995213" w:rsidRPr="001A75C1">
        <w:rPr>
          <w:rFonts w:ascii="Times New Roman" w:hAnsi="Times New Roman" w:cs="Times New Roman"/>
          <w:sz w:val="24"/>
          <w:szCs w:val="24"/>
          <w:lang w:val="en-GB"/>
        </w:rPr>
        <w:t xml:space="preserve"> JA (as she then was) said the following : </w:t>
      </w:r>
    </w:p>
    <w:p w14:paraId="376AEF90" w14:textId="2B682CD9" w:rsidR="00995213" w:rsidRPr="00284173" w:rsidRDefault="00995213" w:rsidP="000B3ED6">
      <w:pPr>
        <w:spacing w:line="240" w:lineRule="auto"/>
        <w:ind w:left="720"/>
        <w:jc w:val="both"/>
        <w:rPr>
          <w:rFonts w:ascii="Times New Roman" w:hAnsi="Times New Roman" w:cs="Times New Roman"/>
          <w:lang w:val="en-GB"/>
        </w:rPr>
      </w:pPr>
      <w:r w:rsidRPr="00284173">
        <w:rPr>
          <w:rFonts w:ascii="Times New Roman" w:hAnsi="Times New Roman" w:cs="Times New Roman"/>
          <w:lang w:val="en-GB"/>
        </w:rPr>
        <w:t xml:space="preserve">“Essentially, in an application of this nature, the applicant must satisfy the court firstly, that he has a </w:t>
      </w:r>
      <w:r w:rsidR="00166384" w:rsidRPr="00284173">
        <w:rPr>
          <w:rFonts w:ascii="Times New Roman" w:hAnsi="Times New Roman" w:cs="Times New Roman"/>
          <w:lang w:val="en-GB"/>
        </w:rPr>
        <w:t>reasonable</w:t>
      </w:r>
      <w:r w:rsidRPr="00284173">
        <w:rPr>
          <w:rFonts w:ascii="Times New Roman" w:hAnsi="Times New Roman" w:cs="Times New Roman"/>
          <w:lang w:val="en-GB"/>
        </w:rPr>
        <w:t xml:space="preserve"> explanation for the delay in question and secondly that his prospects of success on appeal are good.”</w:t>
      </w:r>
    </w:p>
    <w:p w14:paraId="67221E3B" w14:textId="3D138B6A" w:rsidR="00C33C0C" w:rsidRPr="001A75C1" w:rsidRDefault="0049519C" w:rsidP="00782BFF">
      <w:pPr>
        <w:spacing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The main factors are explained in the case of In </w:t>
      </w:r>
      <w:r w:rsidRPr="001A75C1">
        <w:rPr>
          <w:rFonts w:ascii="Times New Roman" w:hAnsi="Times New Roman" w:cs="Times New Roman"/>
          <w:i/>
          <w:iCs/>
          <w:sz w:val="24"/>
          <w:szCs w:val="24"/>
          <w:lang w:val="en-GB"/>
        </w:rPr>
        <w:t xml:space="preserve">Read </w:t>
      </w:r>
      <w:r w:rsidRPr="00284173">
        <w:rPr>
          <w:rFonts w:ascii="Times New Roman" w:hAnsi="Times New Roman" w:cs="Times New Roman"/>
          <w:sz w:val="24"/>
          <w:szCs w:val="24"/>
          <w:lang w:val="en-GB"/>
        </w:rPr>
        <w:t>v</w:t>
      </w:r>
      <w:r w:rsidRPr="001A75C1">
        <w:rPr>
          <w:rFonts w:ascii="Times New Roman" w:hAnsi="Times New Roman" w:cs="Times New Roman"/>
          <w:i/>
          <w:iCs/>
          <w:sz w:val="24"/>
          <w:szCs w:val="24"/>
          <w:lang w:val="en-GB"/>
        </w:rPr>
        <w:t xml:space="preserve"> Gardener and Ano</w:t>
      </w:r>
      <w:r w:rsidRPr="001A75C1">
        <w:rPr>
          <w:rFonts w:ascii="Times New Roman" w:hAnsi="Times New Roman" w:cs="Times New Roman"/>
          <w:sz w:val="24"/>
          <w:szCs w:val="24"/>
          <w:lang w:val="en-GB"/>
        </w:rPr>
        <w:t>r S</w:t>
      </w:r>
      <w:r w:rsidR="001A75C1" w:rsidRPr="001A75C1">
        <w:rPr>
          <w:rFonts w:ascii="Times New Roman" w:hAnsi="Times New Roman" w:cs="Times New Roman"/>
          <w:sz w:val="24"/>
          <w:szCs w:val="24"/>
          <w:lang w:val="en-GB"/>
        </w:rPr>
        <w:t>-</w:t>
      </w:r>
      <w:r w:rsidRPr="001A75C1">
        <w:rPr>
          <w:rFonts w:ascii="Times New Roman" w:hAnsi="Times New Roman" w:cs="Times New Roman"/>
          <w:sz w:val="24"/>
          <w:szCs w:val="24"/>
          <w:lang w:val="en-GB"/>
        </w:rPr>
        <w:t>70</w:t>
      </w:r>
      <w:r w:rsidR="001A75C1" w:rsidRPr="001A75C1">
        <w:rPr>
          <w:rFonts w:ascii="Times New Roman" w:hAnsi="Times New Roman" w:cs="Times New Roman"/>
          <w:sz w:val="24"/>
          <w:szCs w:val="24"/>
          <w:lang w:val="en-GB"/>
        </w:rPr>
        <w:t>-</w:t>
      </w:r>
      <w:r w:rsidRPr="001A75C1">
        <w:rPr>
          <w:rFonts w:ascii="Times New Roman" w:hAnsi="Times New Roman" w:cs="Times New Roman"/>
          <w:sz w:val="24"/>
          <w:szCs w:val="24"/>
          <w:lang w:val="en-GB"/>
        </w:rPr>
        <w:t>19, where the court held that</w:t>
      </w:r>
      <w:r w:rsidR="001A75C1" w:rsidRPr="001A75C1">
        <w:rPr>
          <w:rFonts w:ascii="Times New Roman" w:hAnsi="Times New Roman" w:cs="Times New Roman"/>
          <w:sz w:val="24"/>
          <w:szCs w:val="24"/>
          <w:lang w:val="en-GB"/>
        </w:rPr>
        <w:t>:</w:t>
      </w:r>
      <w:r w:rsidRPr="001A75C1">
        <w:rPr>
          <w:rFonts w:ascii="Times New Roman" w:hAnsi="Times New Roman" w:cs="Times New Roman"/>
          <w:sz w:val="24"/>
          <w:szCs w:val="24"/>
          <w:lang w:val="en-GB"/>
        </w:rPr>
        <w:t xml:space="preserve"> </w:t>
      </w:r>
    </w:p>
    <w:p w14:paraId="1A049B5A" w14:textId="7A11B539" w:rsidR="00770547" w:rsidRPr="00284173" w:rsidRDefault="00770547" w:rsidP="000B3ED6">
      <w:pPr>
        <w:spacing w:line="240" w:lineRule="auto"/>
        <w:ind w:left="720"/>
        <w:jc w:val="both"/>
        <w:rPr>
          <w:rFonts w:ascii="Times New Roman" w:hAnsi="Times New Roman" w:cs="Times New Roman"/>
          <w:lang w:val="en-GB"/>
        </w:rPr>
      </w:pPr>
      <w:r w:rsidRPr="00284173">
        <w:rPr>
          <w:rFonts w:ascii="Times New Roman" w:hAnsi="Times New Roman" w:cs="Times New Roman"/>
          <w:lang w:val="en-GB"/>
        </w:rPr>
        <w:t>“The factors to be considered in an application for the condonation of any failure to comply with the rules of court are well established. They are simply expounded in several decisions of the court in which the salient criteria are identified. They include the following:</w:t>
      </w:r>
    </w:p>
    <w:p w14:paraId="1B6E4B27" w14:textId="1D5DCCFD" w:rsidR="00770547" w:rsidRPr="00284173" w:rsidRDefault="00770547" w:rsidP="000B3ED6">
      <w:pPr>
        <w:pStyle w:val="ListParagraph"/>
        <w:numPr>
          <w:ilvl w:val="0"/>
          <w:numId w:val="2"/>
        </w:numPr>
        <w:spacing w:line="240" w:lineRule="auto"/>
        <w:ind w:left="2610"/>
        <w:jc w:val="both"/>
        <w:rPr>
          <w:rFonts w:ascii="Times New Roman" w:hAnsi="Times New Roman" w:cs="Times New Roman"/>
          <w:lang w:val="en-GB"/>
        </w:rPr>
      </w:pPr>
      <w:bookmarkStart w:id="1" w:name="_Hlk221002296"/>
      <w:r w:rsidRPr="00284173">
        <w:rPr>
          <w:rFonts w:ascii="Times New Roman" w:hAnsi="Times New Roman" w:cs="Times New Roman"/>
          <w:lang w:val="en-GB"/>
        </w:rPr>
        <w:t>The extent of the delay involved or non -compliance in question</w:t>
      </w:r>
    </w:p>
    <w:p w14:paraId="070A2338" w14:textId="564A4168" w:rsidR="00770547" w:rsidRPr="00284173" w:rsidRDefault="00770547" w:rsidP="000B3ED6">
      <w:pPr>
        <w:pStyle w:val="ListParagraph"/>
        <w:numPr>
          <w:ilvl w:val="0"/>
          <w:numId w:val="2"/>
        </w:numPr>
        <w:spacing w:line="240" w:lineRule="auto"/>
        <w:ind w:left="2610"/>
        <w:jc w:val="both"/>
        <w:rPr>
          <w:rFonts w:ascii="Times New Roman" w:hAnsi="Times New Roman" w:cs="Times New Roman"/>
          <w:lang w:val="en-GB"/>
        </w:rPr>
      </w:pPr>
      <w:bookmarkStart w:id="2" w:name="_Hlk221002323"/>
      <w:bookmarkEnd w:id="1"/>
      <w:r w:rsidRPr="00284173">
        <w:rPr>
          <w:rFonts w:ascii="Times New Roman" w:hAnsi="Times New Roman" w:cs="Times New Roman"/>
          <w:lang w:val="en-GB"/>
        </w:rPr>
        <w:t>The reasonableness of the explanation for the delay or non-compliance</w:t>
      </w:r>
    </w:p>
    <w:bookmarkEnd w:id="2"/>
    <w:p w14:paraId="4672F873" w14:textId="5CC2F362" w:rsidR="00770547" w:rsidRPr="00284173" w:rsidRDefault="00770547" w:rsidP="000B3ED6">
      <w:pPr>
        <w:pStyle w:val="ListParagraph"/>
        <w:numPr>
          <w:ilvl w:val="0"/>
          <w:numId w:val="2"/>
        </w:numPr>
        <w:spacing w:line="240" w:lineRule="auto"/>
        <w:ind w:left="2610"/>
        <w:jc w:val="both"/>
        <w:rPr>
          <w:rFonts w:ascii="Times New Roman" w:hAnsi="Times New Roman" w:cs="Times New Roman"/>
          <w:lang w:val="en-GB"/>
        </w:rPr>
      </w:pPr>
      <w:r w:rsidRPr="00284173">
        <w:rPr>
          <w:rFonts w:ascii="Times New Roman" w:hAnsi="Times New Roman" w:cs="Times New Roman"/>
          <w:lang w:val="en-GB"/>
        </w:rPr>
        <w:t>Prospects of success should the application be granted</w:t>
      </w:r>
    </w:p>
    <w:p w14:paraId="1EAC3A05" w14:textId="613F23CB" w:rsidR="00770547" w:rsidRPr="00284173" w:rsidRDefault="00770547" w:rsidP="000B3ED6">
      <w:pPr>
        <w:pStyle w:val="ListParagraph"/>
        <w:numPr>
          <w:ilvl w:val="0"/>
          <w:numId w:val="2"/>
        </w:numPr>
        <w:spacing w:line="240" w:lineRule="auto"/>
        <w:ind w:left="2610"/>
        <w:jc w:val="both"/>
        <w:rPr>
          <w:rFonts w:ascii="Times New Roman" w:hAnsi="Times New Roman" w:cs="Times New Roman"/>
          <w:lang w:val="en-GB"/>
        </w:rPr>
      </w:pPr>
      <w:r w:rsidRPr="00284173">
        <w:rPr>
          <w:rFonts w:ascii="Times New Roman" w:hAnsi="Times New Roman" w:cs="Times New Roman"/>
          <w:lang w:val="en-GB"/>
        </w:rPr>
        <w:t>The possible prejudice to the other party</w:t>
      </w:r>
    </w:p>
    <w:p w14:paraId="7A8E57A5" w14:textId="0CA14FA1" w:rsidR="00770547" w:rsidRPr="00284173" w:rsidRDefault="00770547" w:rsidP="000B3ED6">
      <w:pPr>
        <w:pStyle w:val="ListParagraph"/>
        <w:numPr>
          <w:ilvl w:val="0"/>
          <w:numId w:val="2"/>
        </w:numPr>
        <w:spacing w:line="240" w:lineRule="auto"/>
        <w:ind w:left="2610"/>
        <w:jc w:val="both"/>
        <w:rPr>
          <w:rFonts w:ascii="Times New Roman" w:hAnsi="Times New Roman" w:cs="Times New Roman"/>
          <w:lang w:val="en-GB"/>
        </w:rPr>
      </w:pPr>
      <w:r w:rsidRPr="00284173">
        <w:rPr>
          <w:rFonts w:ascii="Times New Roman" w:hAnsi="Times New Roman" w:cs="Times New Roman"/>
          <w:lang w:val="en-GB"/>
        </w:rPr>
        <w:t>The need for finality to litigation</w:t>
      </w:r>
    </w:p>
    <w:p w14:paraId="655F5B0D" w14:textId="2C1E660D" w:rsidR="00770547" w:rsidRPr="00284173" w:rsidRDefault="00770547" w:rsidP="000B3ED6">
      <w:pPr>
        <w:pStyle w:val="ListParagraph"/>
        <w:numPr>
          <w:ilvl w:val="0"/>
          <w:numId w:val="2"/>
        </w:numPr>
        <w:spacing w:line="240" w:lineRule="auto"/>
        <w:ind w:left="2610"/>
        <w:jc w:val="both"/>
        <w:rPr>
          <w:rFonts w:ascii="Times New Roman" w:hAnsi="Times New Roman" w:cs="Times New Roman"/>
          <w:lang w:val="en-GB"/>
        </w:rPr>
      </w:pPr>
      <w:r w:rsidRPr="00284173">
        <w:rPr>
          <w:rFonts w:ascii="Times New Roman" w:hAnsi="Times New Roman" w:cs="Times New Roman"/>
          <w:lang w:val="en-GB"/>
        </w:rPr>
        <w:t>The importance of the case</w:t>
      </w:r>
    </w:p>
    <w:p w14:paraId="56A5259E" w14:textId="06CAD2BD" w:rsidR="00995213" w:rsidRPr="00284173" w:rsidRDefault="00770547" w:rsidP="000B3ED6">
      <w:pPr>
        <w:pStyle w:val="ListParagraph"/>
        <w:numPr>
          <w:ilvl w:val="0"/>
          <w:numId w:val="2"/>
        </w:numPr>
        <w:spacing w:line="240" w:lineRule="auto"/>
        <w:ind w:left="2610"/>
        <w:jc w:val="both"/>
        <w:rPr>
          <w:rFonts w:ascii="Times New Roman" w:hAnsi="Times New Roman" w:cs="Times New Roman"/>
          <w:lang w:val="en-GB"/>
        </w:rPr>
      </w:pPr>
      <w:r w:rsidRPr="00284173">
        <w:rPr>
          <w:rFonts w:ascii="Times New Roman" w:hAnsi="Times New Roman" w:cs="Times New Roman"/>
          <w:lang w:val="en-GB"/>
        </w:rPr>
        <w:t>The convenience of the court</w:t>
      </w:r>
    </w:p>
    <w:p w14:paraId="1C714D4D" w14:textId="7979A671" w:rsidR="00657DC5" w:rsidRPr="00284173" w:rsidRDefault="00770547" w:rsidP="000B3ED6">
      <w:pPr>
        <w:pStyle w:val="ListParagraph"/>
        <w:numPr>
          <w:ilvl w:val="0"/>
          <w:numId w:val="2"/>
        </w:numPr>
        <w:spacing w:line="240" w:lineRule="auto"/>
        <w:ind w:left="2610"/>
        <w:jc w:val="both"/>
        <w:rPr>
          <w:rFonts w:ascii="Times New Roman" w:hAnsi="Times New Roman" w:cs="Times New Roman"/>
          <w:lang w:val="en-GB"/>
        </w:rPr>
      </w:pPr>
      <w:r w:rsidRPr="00284173">
        <w:rPr>
          <w:rFonts w:ascii="Times New Roman" w:hAnsi="Times New Roman" w:cs="Times New Roman"/>
          <w:lang w:val="en-GB"/>
        </w:rPr>
        <w:t>The avoidance of delays in the administration of justice”</w:t>
      </w:r>
    </w:p>
    <w:p w14:paraId="52A7238C" w14:textId="502FEE14" w:rsidR="00995213" w:rsidRPr="001A75C1" w:rsidRDefault="00995213" w:rsidP="00995213">
      <w:pPr>
        <w:spacing w:line="360" w:lineRule="auto"/>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See</w:t>
      </w:r>
      <w:r w:rsidR="005067D7" w:rsidRPr="001A75C1">
        <w:rPr>
          <w:rFonts w:ascii="Times New Roman" w:hAnsi="Times New Roman" w:cs="Times New Roman"/>
          <w:sz w:val="24"/>
          <w:szCs w:val="24"/>
          <w:lang w:val="en-GB"/>
        </w:rPr>
        <w:t xml:space="preserve"> also</w:t>
      </w:r>
      <w:r w:rsidRPr="001A75C1">
        <w:rPr>
          <w:rFonts w:ascii="Times New Roman" w:hAnsi="Times New Roman" w:cs="Times New Roman"/>
          <w:sz w:val="24"/>
          <w:szCs w:val="24"/>
          <w:lang w:val="en-GB"/>
        </w:rPr>
        <w:t xml:space="preserve"> the case of </w:t>
      </w:r>
      <w:r w:rsidRPr="001A75C1">
        <w:rPr>
          <w:rFonts w:ascii="Times New Roman" w:hAnsi="Times New Roman" w:cs="Times New Roman"/>
          <w:i/>
          <w:iCs/>
          <w:sz w:val="24"/>
          <w:szCs w:val="24"/>
          <w:lang w:val="en-GB"/>
        </w:rPr>
        <w:t>Florence Chimunda v Arnold Zimuto</w:t>
      </w:r>
      <w:r w:rsidR="00166384" w:rsidRPr="001A75C1">
        <w:rPr>
          <w:rFonts w:ascii="Times New Roman" w:hAnsi="Times New Roman" w:cs="Times New Roman"/>
          <w:sz w:val="24"/>
          <w:szCs w:val="24"/>
          <w:lang w:val="en-GB"/>
        </w:rPr>
        <w:t xml:space="preserve"> S</w:t>
      </w:r>
      <w:r w:rsidR="001A75C1" w:rsidRPr="001A75C1">
        <w:rPr>
          <w:rFonts w:ascii="Times New Roman" w:hAnsi="Times New Roman" w:cs="Times New Roman"/>
          <w:sz w:val="24"/>
          <w:szCs w:val="24"/>
          <w:lang w:val="en-GB"/>
        </w:rPr>
        <w:t>-</w:t>
      </w:r>
      <w:r w:rsidR="00166384" w:rsidRPr="001A75C1">
        <w:rPr>
          <w:rFonts w:ascii="Times New Roman" w:hAnsi="Times New Roman" w:cs="Times New Roman"/>
          <w:sz w:val="24"/>
          <w:szCs w:val="24"/>
          <w:lang w:val="en-GB"/>
        </w:rPr>
        <w:t>76</w:t>
      </w:r>
      <w:r w:rsidR="001A75C1" w:rsidRPr="001A75C1">
        <w:rPr>
          <w:rFonts w:ascii="Times New Roman" w:hAnsi="Times New Roman" w:cs="Times New Roman"/>
          <w:sz w:val="24"/>
          <w:szCs w:val="24"/>
          <w:lang w:val="en-GB"/>
        </w:rPr>
        <w:t>-</w:t>
      </w:r>
      <w:r w:rsidR="00166384" w:rsidRPr="001A75C1">
        <w:rPr>
          <w:rFonts w:ascii="Times New Roman" w:hAnsi="Times New Roman" w:cs="Times New Roman"/>
          <w:sz w:val="24"/>
          <w:szCs w:val="24"/>
          <w:lang w:val="en-GB"/>
        </w:rPr>
        <w:t>14</w:t>
      </w:r>
    </w:p>
    <w:p w14:paraId="40D1BD5D" w14:textId="37B08A55" w:rsidR="00166384" w:rsidRPr="001A75C1" w:rsidRDefault="00071BDC" w:rsidP="00782BFF">
      <w:pPr>
        <w:spacing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 </w:t>
      </w:r>
      <w:r w:rsidR="00166384" w:rsidRPr="001A75C1">
        <w:rPr>
          <w:rFonts w:ascii="Times New Roman" w:hAnsi="Times New Roman" w:cs="Times New Roman"/>
          <w:sz w:val="24"/>
          <w:szCs w:val="24"/>
          <w:lang w:val="en-GB"/>
        </w:rPr>
        <w:t xml:space="preserve">In the case of </w:t>
      </w:r>
      <w:r w:rsidR="00166384" w:rsidRPr="001A75C1">
        <w:rPr>
          <w:rFonts w:ascii="Times New Roman" w:hAnsi="Times New Roman" w:cs="Times New Roman"/>
          <w:i/>
          <w:iCs/>
          <w:sz w:val="24"/>
          <w:szCs w:val="24"/>
          <w:lang w:val="en-GB"/>
        </w:rPr>
        <w:t xml:space="preserve">Ganda </w:t>
      </w:r>
      <w:r w:rsidR="00166384" w:rsidRPr="00284173">
        <w:rPr>
          <w:rFonts w:ascii="Times New Roman" w:hAnsi="Times New Roman" w:cs="Times New Roman"/>
          <w:sz w:val="24"/>
          <w:szCs w:val="24"/>
          <w:lang w:val="en-GB"/>
        </w:rPr>
        <w:t>v</w:t>
      </w:r>
      <w:r w:rsidR="00166384" w:rsidRPr="001A75C1">
        <w:rPr>
          <w:rFonts w:ascii="Times New Roman" w:hAnsi="Times New Roman" w:cs="Times New Roman"/>
          <w:i/>
          <w:iCs/>
          <w:sz w:val="24"/>
          <w:szCs w:val="24"/>
          <w:lang w:val="en-GB"/>
        </w:rPr>
        <w:t xml:space="preserve"> First Mutual Life Assurance Society</w:t>
      </w:r>
      <w:r w:rsidR="00166384" w:rsidRPr="001A75C1">
        <w:rPr>
          <w:rFonts w:ascii="Times New Roman" w:hAnsi="Times New Roman" w:cs="Times New Roman"/>
          <w:sz w:val="24"/>
          <w:szCs w:val="24"/>
          <w:lang w:val="en-GB"/>
        </w:rPr>
        <w:t xml:space="preserve"> S</w:t>
      </w:r>
      <w:r w:rsidR="001A75C1" w:rsidRPr="001A75C1">
        <w:rPr>
          <w:rFonts w:ascii="Times New Roman" w:hAnsi="Times New Roman" w:cs="Times New Roman"/>
          <w:sz w:val="24"/>
          <w:szCs w:val="24"/>
          <w:lang w:val="en-GB"/>
        </w:rPr>
        <w:t>-</w:t>
      </w:r>
      <w:r w:rsidR="00166384" w:rsidRPr="001A75C1">
        <w:rPr>
          <w:rFonts w:ascii="Times New Roman" w:hAnsi="Times New Roman" w:cs="Times New Roman"/>
          <w:sz w:val="24"/>
          <w:szCs w:val="24"/>
          <w:lang w:val="en-GB"/>
        </w:rPr>
        <w:t>01</w:t>
      </w:r>
      <w:r w:rsidR="001A75C1" w:rsidRPr="001A75C1">
        <w:rPr>
          <w:rFonts w:ascii="Times New Roman" w:hAnsi="Times New Roman" w:cs="Times New Roman"/>
          <w:sz w:val="24"/>
          <w:szCs w:val="24"/>
          <w:lang w:val="en-GB"/>
        </w:rPr>
        <w:t>-</w:t>
      </w:r>
      <w:r w:rsidR="00166384" w:rsidRPr="001A75C1">
        <w:rPr>
          <w:rFonts w:ascii="Times New Roman" w:hAnsi="Times New Roman" w:cs="Times New Roman"/>
          <w:sz w:val="24"/>
          <w:szCs w:val="24"/>
          <w:lang w:val="en-GB"/>
        </w:rPr>
        <w:t>05</w:t>
      </w:r>
      <w:r w:rsidR="00A30BC0" w:rsidRPr="001A75C1">
        <w:rPr>
          <w:rFonts w:ascii="Times New Roman" w:hAnsi="Times New Roman" w:cs="Times New Roman"/>
          <w:sz w:val="24"/>
          <w:szCs w:val="24"/>
          <w:lang w:val="en-GB"/>
        </w:rPr>
        <w:t>,</w:t>
      </w:r>
      <w:r w:rsidR="00166384" w:rsidRPr="001A75C1">
        <w:rPr>
          <w:rFonts w:ascii="Times New Roman" w:hAnsi="Times New Roman" w:cs="Times New Roman"/>
          <w:sz w:val="24"/>
          <w:szCs w:val="24"/>
          <w:lang w:val="en-GB"/>
        </w:rPr>
        <w:t xml:space="preserve"> it was stated that:</w:t>
      </w:r>
    </w:p>
    <w:p w14:paraId="5C9DB93E" w14:textId="77777777" w:rsidR="00F71C22" w:rsidRPr="00284173" w:rsidRDefault="00166384" w:rsidP="000B3ED6">
      <w:pPr>
        <w:spacing w:line="240" w:lineRule="auto"/>
        <w:ind w:left="720"/>
        <w:jc w:val="both"/>
        <w:rPr>
          <w:rFonts w:ascii="Times New Roman" w:hAnsi="Times New Roman" w:cs="Times New Roman"/>
          <w:lang w:val="en-GB"/>
        </w:rPr>
      </w:pPr>
      <w:r w:rsidRPr="00284173">
        <w:rPr>
          <w:rFonts w:ascii="Times New Roman" w:hAnsi="Times New Roman" w:cs="Times New Roman"/>
          <w:lang w:val="en-GB"/>
        </w:rPr>
        <w:t>“In addition, it is pertinent to note that it has been stated in a number</w:t>
      </w:r>
      <w:r w:rsidR="00A30BC0" w:rsidRPr="00284173">
        <w:rPr>
          <w:rFonts w:ascii="Times New Roman" w:hAnsi="Times New Roman" w:cs="Times New Roman"/>
          <w:lang w:val="en-GB"/>
        </w:rPr>
        <w:t xml:space="preserve"> </w:t>
      </w:r>
      <w:r w:rsidRPr="00284173">
        <w:rPr>
          <w:rFonts w:ascii="Times New Roman" w:hAnsi="Times New Roman" w:cs="Times New Roman"/>
          <w:lang w:val="en-GB"/>
        </w:rPr>
        <w:t>of cases that a person seeking condonation of the late noting of an appeal should give a reasonable explanation, not only for the delay in noting the appeal, but also for the delay in seeking condonation…”</w:t>
      </w:r>
    </w:p>
    <w:p w14:paraId="4A0717AD" w14:textId="1E6C2AED" w:rsidR="00012BA4" w:rsidRPr="001A75C1" w:rsidRDefault="00012BA4" w:rsidP="00012BA4">
      <w:pPr>
        <w:spacing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The estate of the late Letty Kapanga was registered in 2020 and finalized in 2022. A notice of eviction was issued in April 2022. The respondent subsequently appealed against the decision of the </w:t>
      </w:r>
      <w:r w:rsidR="000B3ED6">
        <w:rPr>
          <w:rFonts w:ascii="Times New Roman" w:hAnsi="Times New Roman" w:cs="Times New Roman"/>
          <w:sz w:val="24"/>
          <w:szCs w:val="24"/>
          <w:lang w:val="en-GB"/>
        </w:rPr>
        <w:t>M</w:t>
      </w:r>
      <w:r w:rsidRPr="001A75C1">
        <w:rPr>
          <w:rFonts w:ascii="Times New Roman" w:hAnsi="Times New Roman" w:cs="Times New Roman"/>
          <w:sz w:val="24"/>
          <w:szCs w:val="24"/>
          <w:lang w:val="en-GB"/>
        </w:rPr>
        <w:t xml:space="preserve">aster in April 2023. In parallel, the 2nd respondent issued summons under case number 3516/22, to which the applicants entered an appearance to defend. The record of proceedings was availed in April 2023. The applicants had engaged </w:t>
      </w:r>
      <w:r w:rsidR="001A75C1" w:rsidRPr="001A75C1">
        <w:rPr>
          <w:rFonts w:ascii="Times New Roman" w:hAnsi="Times New Roman" w:cs="Times New Roman"/>
          <w:sz w:val="24"/>
          <w:szCs w:val="24"/>
          <w:lang w:val="en-GB"/>
        </w:rPr>
        <w:t xml:space="preserve">the legal practitioner from Manyangadze Law Practice </w:t>
      </w:r>
      <w:r w:rsidRPr="001A75C1">
        <w:rPr>
          <w:rFonts w:ascii="Times New Roman" w:hAnsi="Times New Roman" w:cs="Times New Roman"/>
          <w:sz w:val="24"/>
          <w:szCs w:val="24"/>
          <w:lang w:val="en-GB"/>
        </w:rPr>
        <w:t xml:space="preserve">to handle both matters. However, he left the firm in October 2022, prior to the delivery of the record of proceedings. The applicants </w:t>
      </w:r>
      <w:r w:rsidRPr="001A75C1">
        <w:rPr>
          <w:rFonts w:ascii="Times New Roman" w:hAnsi="Times New Roman" w:cs="Times New Roman"/>
          <w:sz w:val="24"/>
          <w:szCs w:val="24"/>
          <w:lang w:val="en-GB"/>
        </w:rPr>
        <w:lastRenderedPageBreak/>
        <w:t>contend that all papers were being received at Manyangadze Law Practice, yet no communication was made with them or their engaged legal practitioner.</w:t>
      </w:r>
    </w:p>
    <w:p w14:paraId="0D242B35" w14:textId="3BEA5D23" w:rsidR="00012BA4" w:rsidRPr="001A75C1" w:rsidRDefault="00012BA4"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In February 2024, the 2nd respondent obtained a default judgment, which was served on the applicants. They then discovered that the appeal had been dismissed and judgment entered in </w:t>
      </w:r>
      <w:r w:rsidR="000B3ED6" w:rsidRPr="001A75C1">
        <w:rPr>
          <w:rFonts w:ascii="Times New Roman" w:hAnsi="Times New Roman" w:cs="Times New Roman"/>
          <w:sz w:val="24"/>
          <w:szCs w:val="24"/>
          <w:lang w:val="en-GB"/>
        </w:rPr>
        <w:t>favour</w:t>
      </w:r>
      <w:r w:rsidRPr="001A75C1">
        <w:rPr>
          <w:rFonts w:ascii="Times New Roman" w:hAnsi="Times New Roman" w:cs="Times New Roman"/>
          <w:sz w:val="24"/>
          <w:szCs w:val="24"/>
          <w:lang w:val="en-GB"/>
        </w:rPr>
        <w:t xml:space="preserve"> of the respondents. The applicants filed an application for rescission of judgment and an application for reinstatement of the appeal, both of which were opposed. They further filed an application for condonation to file a notice of opposition in the rescission matter. The application for reinstatement was dismissed in March 2025, followed by the dismissal of the rescission application. Thereafter, the present application was filed on 26 June 2025.</w:t>
      </w:r>
    </w:p>
    <w:p w14:paraId="7F3097A4" w14:textId="5B2C8CB6" w:rsidR="00012BA4" w:rsidRPr="001A75C1" w:rsidRDefault="00012BA4"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It is common cause that, at the time of filing, the applicants were out of time by a period of three years in seeking review. Rule 62(4) of the High Court Rules, 2021 requires that an application for review be filed within eight weeks of the termination of the proceedings in which the alleged irregularity occurred. The present application, filed three years after the close of proceedings, demonstrates an inordinate delay. The explanation advanced for the delay is unreasonable. Applicants choose their legal practitioners and are bound by the consequences of their recklessness or negligence.</w:t>
      </w:r>
    </w:p>
    <w:p w14:paraId="1244B4DB" w14:textId="75CA3326" w:rsidR="00A2159F" w:rsidRPr="001A75C1" w:rsidRDefault="00A2159F" w:rsidP="00782BFF">
      <w:pPr>
        <w:spacing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In the case of </w:t>
      </w:r>
      <w:r w:rsidR="00DA27AA" w:rsidRPr="001A75C1">
        <w:rPr>
          <w:rFonts w:ascii="Times New Roman" w:hAnsi="Times New Roman" w:cs="Times New Roman"/>
          <w:i/>
          <w:iCs/>
          <w:sz w:val="24"/>
          <w:szCs w:val="24"/>
          <w:lang w:val="en-GB"/>
        </w:rPr>
        <w:t xml:space="preserve">Zimslate Quartzite (Pvt) Ltd &amp; Ors </w:t>
      </w:r>
      <w:r w:rsidR="00DA27AA" w:rsidRPr="00284173">
        <w:rPr>
          <w:rFonts w:ascii="Times New Roman" w:hAnsi="Times New Roman" w:cs="Times New Roman"/>
          <w:sz w:val="24"/>
          <w:szCs w:val="24"/>
          <w:lang w:val="en-GB"/>
        </w:rPr>
        <w:t>v</w:t>
      </w:r>
      <w:r w:rsidR="00DA27AA" w:rsidRPr="001A75C1">
        <w:rPr>
          <w:rFonts w:ascii="Times New Roman" w:hAnsi="Times New Roman" w:cs="Times New Roman"/>
          <w:i/>
          <w:iCs/>
          <w:sz w:val="24"/>
          <w:szCs w:val="24"/>
          <w:lang w:val="en-GB"/>
        </w:rPr>
        <w:t xml:space="preserve"> Central African Building Society</w:t>
      </w:r>
      <w:r w:rsidR="00DA27AA" w:rsidRPr="001A75C1">
        <w:rPr>
          <w:rFonts w:ascii="Times New Roman" w:hAnsi="Times New Roman" w:cs="Times New Roman"/>
          <w:sz w:val="24"/>
          <w:szCs w:val="24"/>
          <w:lang w:val="en-GB"/>
        </w:rPr>
        <w:t xml:space="preserve"> SC 34/17, the court held that; </w:t>
      </w:r>
    </w:p>
    <w:p w14:paraId="272B9B06" w14:textId="5E58DDA2" w:rsidR="00DA27AA" w:rsidRPr="00284173" w:rsidRDefault="00DA27AA" w:rsidP="000B3ED6">
      <w:pPr>
        <w:spacing w:line="240" w:lineRule="auto"/>
        <w:ind w:left="720"/>
        <w:jc w:val="both"/>
        <w:rPr>
          <w:rFonts w:ascii="Times New Roman" w:hAnsi="Times New Roman" w:cs="Times New Roman"/>
          <w:lang w:val="en-GB"/>
        </w:rPr>
      </w:pPr>
      <w:r w:rsidRPr="00284173">
        <w:rPr>
          <w:rFonts w:ascii="Times New Roman" w:hAnsi="Times New Roman" w:cs="Times New Roman"/>
          <w:lang w:val="en-GB"/>
        </w:rPr>
        <w:t>“An applicant, who has infringed the rules of the court before which he appears</w:t>
      </w:r>
      <w:r w:rsidR="00C27DE2" w:rsidRPr="00284173">
        <w:rPr>
          <w:rFonts w:ascii="Times New Roman" w:hAnsi="Times New Roman" w:cs="Times New Roman"/>
          <w:lang w:val="en-GB"/>
        </w:rPr>
        <w:t>,</w:t>
      </w:r>
      <w:r w:rsidRPr="00284173">
        <w:rPr>
          <w:rFonts w:ascii="Times New Roman" w:hAnsi="Times New Roman" w:cs="Times New Roman"/>
          <w:lang w:val="en-GB"/>
        </w:rPr>
        <w:t xml:space="preserve"> must apply for condonation and in that application</w:t>
      </w:r>
      <w:r w:rsidR="00C27DE2" w:rsidRPr="00284173">
        <w:rPr>
          <w:rFonts w:ascii="Times New Roman" w:hAnsi="Times New Roman" w:cs="Times New Roman"/>
          <w:lang w:val="en-GB"/>
        </w:rPr>
        <w:t>,</w:t>
      </w:r>
      <w:r w:rsidRPr="00284173">
        <w:rPr>
          <w:rFonts w:ascii="Times New Roman" w:hAnsi="Times New Roman" w:cs="Times New Roman"/>
          <w:lang w:val="en-GB"/>
        </w:rPr>
        <w:t xml:space="preserve"> explain the reasons for the infraction. He must take the court into his confidence and give an honest account of his default in order to enable the court to arrive at a decision as to whether to grant the indulgence sought. An applicant who takes the attitude that indulgences, including that of condonation, are there for the asking does himself a disservice as he takes the risk of having his application dismissed.”</w:t>
      </w:r>
    </w:p>
    <w:p w14:paraId="694743F5" w14:textId="1CE28076" w:rsidR="00DA27AA" w:rsidRPr="001A75C1" w:rsidRDefault="00DA27AA" w:rsidP="00782BFF">
      <w:pPr>
        <w:spacing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Further, in the case of </w:t>
      </w:r>
      <w:r w:rsidRPr="001A75C1">
        <w:rPr>
          <w:rFonts w:ascii="Times New Roman" w:hAnsi="Times New Roman" w:cs="Times New Roman"/>
          <w:i/>
          <w:iCs/>
          <w:sz w:val="24"/>
          <w:szCs w:val="24"/>
          <w:lang w:val="en-GB"/>
        </w:rPr>
        <w:t xml:space="preserve">Kodzwa </w:t>
      </w:r>
      <w:r w:rsidRPr="00284173">
        <w:rPr>
          <w:rFonts w:ascii="Times New Roman" w:hAnsi="Times New Roman" w:cs="Times New Roman"/>
          <w:sz w:val="24"/>
          <w:szCs w:val="24"/>
          <w:lang w:val="en-GB"/>
        </w:rPr>
        <w:t>v</w:t>
      </w:r>
      <w:r w:rsidRPr="001A75C1">
        <w:rPr>
          <w:rFonts w:ascii="Times New Roman" w:hAnsi="Times New Roman" w:cs="Times New Roman"/>
          <w:i/>
          <w:iCs/>
          <w:sz w:val="24"/>
          <w:szCs w:val="24"/>
          <w:lang w:val="en-GB"/>
        </w:rPr>
        <w:t xml:space="preserve"> Secretary for Health &amp; Anor </w:t>
      </w:r>
      <w:r w:rsidRPr="001A75C1">
        <w:rPr>
          <w:rFonts w:ascii="Times New Roman" w:hAnsi="Times New Roman" w:cs="Times New Roman"/>
          <w:sz w:val="24"/>
          <w:szCs w:val="24"/>
          <w:lang w:val="en-GB"/>
        </w:rPr>
        <w:t>1999 (1) ZLR 313 (S), the court reiterated that;</w:t>
      </w:r>
    </w:p>
    <w:p w14:paraId="59F4D12D" w14:textId="44DEB0D9" w:rsidR="00DA27AA" w:rsidRPr="00284173" w:rsidRDefault="00DA27AA" w:rsidP="000B3ED6">
      <w:pPr>
        <w:spacing w:line="240" w:lineRule="auto"/>
        <w:ind w:left="720"/>
        <w:jc w:val="both"/>
        <w:rPr>
          <w:rFonts w:ascii="Times New Roman" w:hAnsi="Times New Roman" w:cs="Times New Roman"/>
          <w:lang w:val="en-GB"/>
        </w:rPr>
      </w:pPr>
      <w:r w:rsidRPr="00284173">
        <w:rPr>
          <w:rFonts w:ascii="Times New Roman" w:hAnsi="Times New Roman" w:cs="Times New Roman"/>
          <w:lang w:val="en-GB"/>
        </w:rPr>
        <w:t xml:space="preserve">“Condonation of non-observance of the rules is by no means a mere formality. It is for the applicant to satisfy the court that there was sufficient cause to excuse him from non-compliance…the court’s power to grant relief should not be exercised arbitrarily and upon the mere asking, but with proper judicial discretion and upon sufficient and satisfactory grounds shown by the applicant.” </w:t>
      </w:r>
    </w:p>
    <w:p w14:paraId="45F0EB60" w14:textId="740D336F" w:rsidR="007909AB" w:rsidRPr="001A75C1" w:rsidRDefault="00DA27AA" w:rsidP="00782BFF">
      <w:pPr>
        <w:spacing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The 2nd respondent argued that the applicants h</w:t>
      </w:r>
      <w:r w:rsidR="00012BA4" w:rsidRPr="001A75C1">
        <w:rPr>
          <w:rFonts w:ascii="Times New Roman" w:hAnsi="Times New Roman" w:cs="Times New Roman"/>
          <w:sz w:val="24"/>
          <w:szCs w:val="24"/>
          <w:lang w:val="en-GB"/>
        </w:rPr>
        <w:t xml:space="preserve">ad </w:t>
      </w:r>
      <w:r w:rsidRPr="001A75C1">
        <w:rPr>
          <w:rFonts w:ascii="Times New Roman" w:hAnsi="Times New Roman" w:cs="Times New Roman"/>
          <w:sz w:val="24"/>
          <w:szCs w:val="24"/>
          <w:lang w:val="en-GB"/>
        </w:rPr>
        <w:t xml:space="preserve">been sitting on their laurels and did nothing to bring the application for review. It would not be a miscarriage of justice if this </w:t>
      </w:r>
      <w:r w:rsidRPr="001A75C1">
        <w:rPr>
          <w:rFonts w:ascii="Times New Roman" w:hAnsi="Times New Roman" w:cs="Times New Roman"/>
          <w:sz w:val="24"/>
          <w:szCs w:val="24"/>
          <w:lang w:val="en-GB"/>
        </w:rPr>
        <w:lastRenderedPageBreak/>
        <w:t>current application fails.</w:t>
      </w:r>
      <w:r w:rsidR="00012BA4" w:rsidRPr="001A75C1">
        <w:rPr>
          <w:rFonts w:ascii="Times New Roman" w:hAnsi="Times New Roman" w:cs="Times New Roman"/>
          <w:sz w:val="24"/>
          <w:szCs w:val="24"/>
          <w:lang w:val="en-GB"/>
        </w:rPr>
        <w:t xml:space="preserve"> </w:t>
      </w:r>
      <w:r w:rsidR="008C4507" w:rsidRPr="001A75C1">
        <w:rPr>
          <w:rFonts w:ascii="Times New Roman" w:hAnsi="Times New Roman" w:cs="Times New Roman"/>
          <w:sz w:val="24"/>
          <w:szCs w:val="24"/>
          <w:lang w:val="en-GB"/>
        </w:rPr>
        <w:t>The 2</w:t>
      </w:r>
      <w:r w:rsidR="008C4507" w:rsidRPr="001A75C1">
        <w:rPr>
          <w:rFonts w:ascii="Times New Roman" w:hAnsi="Times New Roman" w:cs="Times New Roman"/>
          <w:sz w:val="24"/>
          <w:szCs w:val="24"/>
          <w:vertAlign w:val="superscript"/>
          <w:lang w:val="en-GB"/>
        </w:rPr>
        <w:t>nd</w:t>
      </w:r>
      <w:r w:rsidR="008C4507" w:rsidRPr="001A75C1">
        <w:rPr>
          <w:rFonts w:ascii="Times New Roman" w:hAnsi="Times New Roman" w:cs="Times New Roman"/>
          <w:sz w:val="24"/>
          <w:szCs w:val="24"/>
          <w:lang w:val="en-GB"/>
        </w:rPr>
        <w:t xml:space="preserve"> respondent cited </w:t>
      </w:r>
      <w:r w:rsidR="007909AB" w:rsidRPr="001A75C1">
        <w:rPr>
          <w:rFonts w:ascii="Times New Roman" w:hAnsi="Times New Roman" w:cs="Times New Roman"/>
          <w:sz w:val="24"/>
          <w:szCs w:val="24"/>
          <w:lang w:val="en-GB"/>
        </w:rPr>
        <w:t xml:space="preserve">the case of </w:t>
      </w:r>
      <w:r w:rsidR="008C4507" w:rsidRPr="001A75C1">
        <w:rPr>
          <w:rFonts w:ascii="Times New Roman" w:hAnsi="Times New Roman" w:cs="Times New Roman"/>
          <w:i/>
          <w:iCs/>
          <w:sz w:val="24"/>
          <w:szCs w:val="24"/>
          <w:lang w:val="en-GB"/>
        </w:rPr>
        <w:t xml:space="preserve">Unki Mines (Pvt) Ltd </w:t>
      </w:r>
      <w:r w:rsidR="008C4507" w:rsidRPr="00284173">
        <w:rPr>
          <w:rFonts w:ascii="Times New Roman" w:hAnsi="Times New Roman" w:cs="Times New Roman"/>
          <w:sz w:val="24"/>
          <w:szCs w:val="24"/>
          <w:lang w:val="en-GB"/>
        </w:rPr>
        <w:t>v</w:t>
      </w:r>
      <w:r w:rsidR="008C4507" w:rsidRPr="001A75C1">
        <w:rPr>
          <w:rFonts w:ascii="Times New Roman" w:hAnsi="Times New Roman" w:cs="Times New Roman"/>
          <w:i/>
          <w:iCs/>
          <w:sz w:val="24"/>
          <w:szCs w:val="24"/>
          <w:lang w:val="en-GB"/>
        </w:rPr>
        <w:t xml:space="preserve"> Dohne Construction (Pvt</w:t>
      </w:r>
      <w:r w:rsidR="00872A6C" w:rsidRPr="001A75C1">
        <w:rPr>
          <w:rFonts w:ascii="Times New Roman" w:hAnsi="Times New Roman" w:cs="Times New Roman"/>
          <w:i/>
          <w:iCs/>
          <w:sz w:val="24"/>
          <w:szCs w:val="24"/>
          <w:lang w:val="en-GB"/>
        </w:rPr>
        <w:t>)</w:t>
      </w:r>
      <w:r w:rsidR="008C4507" w:rsidRPr="001A75C1">
        <w:rPr>
          <w:rFonts w:ascii="Times New Roman" w:hAnsi="Times New Roman" w:cs="Times New Roman"/>
          <w:i/>
          <w:iCs/>
          <w:sz w:val="24"/>
          <w:szCs w:val="24"/>
          <w:lang w:val="en-GB"/>
        </w:rPr>
        <w:t xml:space="preserve"> Ltd</w:t>
      </w:r>
      <w:r w:rsidR="008C4507" w:rsidRPr="001A75C1">
        <w:rPr>
          <w:rFonts w:ascii="Times New Roman" w:hAnsi="Times New Roman" w:cs="Times New Roman"/>
          <w:sz w:val="24"/>
          <w:szCs w:val="24"/>
          <w:lang w:val="en-GB"/>
        </w:rPr>
        <w:t xml:space="preserve"> ZWSC 41/2023 wherein the court held that;</w:t>
      </w:r>
    </w:p>
    <w:p w14:paraId="273BE287" w14:textId="2FC1A217" w:rsidR="008C4507" w:rsidRPr="00284173" w:rsidRDefault="008C4507" w:rsidP="004B0170">
      <w:pPr>
        <w:spacing w:line="240" w:lineRule="auto"/>
        <w:ind w:left="720"/>
        <w:jc w:val="both"/>
        <w:rPr>
          <w:rFonts w:ascii="Times New Roman" w:hAnsi="Times New Roman" w:cs="Times New Roman"/>
          <w:lang w:val="en-GB"/>
        </w:rPr>
      </w:pPr>
      <w:r w:rsidRPr="00284173">
        <w:rPr>
          <w:rFonts w:ascii="Times New Roman" w:hAnsi="Times New Roman" w:cs="Times New Roman"/>
          <w:lang w:val="en-GB"/>
        </w:rPr>
        <w:t>“What the test for reasonable prospects of success postulates is a dispassionate decision, based on the facts and the law that a court of appeal could reasonably arrive at a conclusion different to that of a trial court. In order to succeed, therefore, the applicant must convince this court on proper grounds that he has prospects of success on appeal and that those prospects are not remote but have a realistic chance of succeeding. More is required to be established than that there is a mere possibility of success, that the case is arguable on appeal or that the case cannot be categorised as hopeless. There must, in other words, be a sound, rational basis for the conclusion that there are prospects of success on appeal.”</w:t>
      </w:r>
    </w:p>
    <w:p w14:paraId="3503E336" w14:textId="77777777" w:rsidR="00012BA4" w:rsidRPr="001A75C1" w:rsidRDefault="00012BA4"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In this case, the applicants have not demonstrated that they have prospects of success on review. In order for an application for condonation to succeed, the applicant must show that he or she has prospects of success on review. The requirement of prospects of success serves a vital screening function. It would be an exercise in futility, and contrary to the interests of justice, to grant condonation for a demonstrably untenable claim.</w:t>
      </w:r>
    </w:p>
    <w:p w14:paraId="71305E0A" w14:textId="5E281827" w:rsidR="00012BA4" w:rsidRPr="001A75C1" w:rsidRDefault="00012BA4"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 xml:space="preserve">The applicants’ position is that the Master was grossly misdirected when </w:t>
      </w:r>
      <w:r w:rsidR="004B0170">
        <w:rPr>
          <w:rFonts w:ascii="Times New Roman" w:hAnsi="Times New Roman" w:cs="Times New Roman"/>
          <w:sz w:val="24"/>
          <w:szCs w:val="24"/>
          <w:lang w:val="en-GB"/>
        </w:rPr>
        <w:t>he</w:t>
      </w:r>
      <w:r w:rsidRPr="001A75C1">
        <w:rPr>
          <w:rFonts w:ascii="Times New Roman" w:hAnsi="Times New Roman" w:cs="Times New Roman"/>
          <w:sz w:val="24"/>
          <w:szCs w:val="24"/>
          <w:lang w:val="en-GB"/>
        </w:rPr>
        <w:t xml:space="preserve"> failed to notify them of the edict meetings, and in awarding the 2nd respondent and her sisters the garden and fields despite these not having been bequeathed to them in the will. On the other hand, the 2nd respondent submitted that the applicants have no prospects of success on review, since they were duly notified of the edict meeting as shown by the minutes, and they chose not to attend. Further advertisements were placed in newspapers advising the general public.</w:t>
      </w:r>
    </w:p>
    <w:p w14:paraId="67949426" w14:textId="77777777" w:rsidR="00012BA4" w:rsidRPr="001A75C1" w:rsidRDefault="00012BA4"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The 2nd respondent further argued that the Master did not distribute ownership of the property but rather distributed rights in the property. The applicants have not materially challenged the procedural aspects of the proceedings. I am satisfied that the applicants have failed to discharge the onus of showing any reasonable prospects of success. Having applied the established principles and the relevant jurisprudence of this court, I find that the applicants have failed to discharge the burden required for the granting of condonation.</w:t>
      </w:r>
    </w:p>
    <w:p w14:paraId="55EA8957" w14:textId="597C7F59" w:rsidR="00012BA4" w:rsidRPr="001A75C1" w:rsidRDefault="00012BA4" w:rsidP="00284173">
      <w:pPr>
        <w:spacing w:after="0" w:line="360" w:lineRule="auto"/>
        <w:ind w:firstLine="720"/>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The explanation for the delay of three years is inadequate and unreasonable. It further consists of an unsubstantiated claim of negligence by their legal practitioners. To grant condonation in these circumstances would be to undermine the rules of the court and the principle of finality in litigation.</w:t>
      </w:r>
    </w:p>
    <w:p w14:paraId="2D31FA9B" w14:textId="1640FB04" w:rsidR="008C4507" w:rsidRPr="001A75C1" w:rsidRDefault="00C334E6" w:rsidP="00657DC5">
      <w:pPr>
        <w:spacing w:line="360" w:lineRule="auto"/>
        <w:jc w:val="both"/>
        <w:rPr>
          <w:rFonts w:ascii="Times New Roman" w:hAnsi="Times New Roman" w:cs="Times New Roman"/>
          <w:b/>
          <w:bCs/>
          <w:sz w:val="24"/>
          <w:szCs w:val="24"/>
          <w:lang w:val="en-GB"/>
        </w:rPr>
      </w:pPr>
      <w:r w:rsidRPr="001A75C1">
        <w:rPr>
          <w:rFonts w:ascii="Times New Roman" w:hAnsi="Times New Roman" w:cs="Times New Roman"/>
          <w:b/>
          <w:bCs/>
          <w:sz w:val="24"/>
          <w:szCs w:val="24"/>
          <w:lang w:val="en-GB"/>
        </w:rPr>
        <w:t>Accordingly</w:t>
      </w:r>
      <w:r w:rsidR="00293D1E" w:rsidRPr="001A75C1">
        <w:rPr>
          <w:rFonts w:ascii="Times New Roman" w:hAnsi="Times New Roman" w:cs="Times New Roman"/>
          <w:b/>
          <w:bCs/>
          <w:sz w:val="24"/>
          <w:szCs w:val="24"/>
          <w:lang w:val="en-GB"/>
        </w:rPr>
        <w:t>,</w:t>
      </w:r>
      <w:r w:rsidRPr="001A75C1">
        <w:rPr>
          <w:rFonts w:ascii="Times New Roman" w:hAnsi="Times New Roman" w:cs="Times New Roman"/>
          <w:b/>
          <w:bCs/>
          <w:sz w:val="24"/>
          <w:szCs w:val="24"/>
          <w:lang w:val="en-GB"/>
        </w:rPr>
        <w:t xml:space="preserve"> the following order is made</w:t>
      </w:r>
    </w:p>
    <w:p w14:paraId="4418E310" w14:textId="037B7B63" w:rsidR="00C334E6" w:rsidRPr="001A75C1" w:rsidRDefault="00C334E6" w:rsidP="00C334E6">
      <w:pPr>
        <w:pStyle w:val="ListParagraph"/>
        <w:numPr>
          <w:ilvl w:val="0"/>
          <w:numId w:val="3"/>
        </w:numPr>
        <w:spacing w:line="360" w:lineRule="auto"/>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t>The application for condonation of late filing of a</w:t>
      </w:r>
      <w:r w:rsidR="004B0170">
        <w:rPr>
          <w:rFonts w:ascii="Times New Roman" w:hAnsi="Times New Roman" w:cs="Times New Roman"/>
          <w:sz w:val="24"/>
          <w:szCs w:val="24"/>
          <w:lang w:val="en-GB"/>
        </w:rPr>
        <w:t xml:space="preserve">n application for </w:t>
      </w:r>
      <w:r w:rsidRPr="001A75C1">
        <w:rPr>
          <w:rFonts w:ascii="Times New Roman" w:hAnsi="Times New Roman" w:cs="Times New Roman"/>
          <w:sz w:val="24"/>
          <w:szCs w:val="24"/>
          <w:lang w:val="en-GB"/>
        </w:rPr>
        <w:t>review be and is hereby dismissed.</w:t>
      </w:r>
    </w:p>
    <w:p w14:paraId="78F95212" w14:textId="77777777" w:rsidR="00284173" w:rsidRDefault="00293D1E" w:rsidP="004B0170">
      <w:pPr>
        <w:pStyle w:val="ListParagraph"/>
        <w:numPr>
          <w:ilvl w:val="0"/>
          <w:numId w:val="3"/>
        </w:numPr>
        <w:spacing w:line="360" w:lineRule="auto"/>
        <w:jc w:val="both"/>
        <w:rPr>
          <w:rFonts w:ascii="Times New Roman" w:hAnsi="Times New Roman" w:cs="Times New Roman"/>
          <w:sz w:val="24"/>
          <w:szCs w:val="24"/>
          <w:lang w:val="en-GB"/>
        </w:rPr>
      </w:pPr>
      <w:r w:rsidRPr="001A75C1">
        <w:rPr>
          <w:rFonts w:ascii="Times New Roman" w:hAnsi="Times New Roman" w:cs="Times New Roman"/>
          <w:sz w:val="24"/>
          <w:szCs w:val="24"/>
          <w:lang w:val="en-GB"/>
        </w:rPr>
        <w:lastRenderedPageBreak/>
        <w:t>There shall be no order as to costs.</w:t>
      </w:r>
    </w:p>
    <w:p w14:paraId="251CD9EE" w14:textId="12DE65F0" w:rsidR="004B0170" w:rsidRPr="00284173" w:rsidRDefault="004B0170" w:rsidP="00284173">
      <w:pPr>
        <w:pStyle w:val="ListParagraph"/>
        <w:spacing w:line="360" w:lineRule="auto"/>
        <w:jc w:val="both"/>
        <w:rPr>
          <w:rFonts w:ascii="Times New Roman" w:hAnsi="Times New Roman" w:cs="Times New Roman"/>
          <w:sz w:val="24"/>
          <w:szCs w:val="24"/>
          <w:lang w:val="en-GB"/>
        </w:rPr>
      </w:pPr>
      <w:r>
        <w:rPr>
          <w:noProof/>
          <w:lang w:val="en-US"/>
        </w:rPr>
        <w:drawing>
          <wp:inline distT="0" distB="0" distL="0" distR="0" wp14:anchorId="564D446A" wp14:editId="09594679">
            <wp:extent cx="1514475" cy="247650"/>
            <wp:effectExtent l="0" t="0" r="0" b="0"/>
            <wp:docPr id="20245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4475" cy="247650"/>
                    </a:xfrm>
                    <a:prstGeom prst="rect">
                      <a:avLst/>
                    </a:prstGeom>
                    <a:noFill/>
                    <a:ln>
                      <a:noFill/>
                    </a:ln>
                  </pic:spPr>
                </pic:pic>
              </a:graphicData>
            </a:graphic>
          </wp:inline>
        </w:drawing>
      </w:r>
    </w:p>
    <w:p w14:paraId="6F4EE998" w14:textId="57DACD11" w:rsidR="00293D1E" w:rsidRPr="00284173" w:rsidRDefault="00293D1E" w:rsidP="00284173">
      <w:pPr>
        <w:pStyle w:val="NoSpacing"/>
        <w:rPr>
          <w:rFonts w:ascii="Times New Roman" w:hAnsi="Times New Roman" w:cs="Times New Roman"/>
          <w:sz w:val="24"/>
          <w:szCs w:val="24"/>
          <w:lang w:val="en-GB"/>
        </w:rPr>
      </w:pPr>
      <w:r w:rsidRPr="00284173">
        <w:rPr>
          <w:rFonts w:ascii="Times New Roman" w:hAnsi="Times New Roman" w:cs="Times New Roman"/>
          <w:i/>
          <w:iCs/>
          <w:sz w:val="24"/>
          <w:szCs w:val="24"/>
          <w:lang w:val="en-GB"/>
        </w:rPr>
        <w:t>Mangwana &amp; Partners</w:t>
      </w:r>
      <w:r w:rsidRPr="00284173">
        <w:rPr>
          <w:rFonts w:ascii="Times New Roman" w:hAnsi="Times New Roman" w:cs="Times New Roman"/>
          <w:sz w:val="24"/>
          <w:szCs w:val="24"/>
          <w:lang w:val="en-GB"/>
        </w:rPr>
        <w:t xml:space="preserve">, </w:t>
      </w:r>
      <w:r w:rsidR="00812109" w:rsidRPr="00284173">
        <w:rPr>
          <w:rFonts w:ascii="Times New Roman" w:hAnsi="Times New Roman" w:cs="Times New Roman"/>
          <w:sz w:val="24"/>
          <w:szCs w:val="24"/>
          <w:lang w:val="en-GB"/>
        </w:rPr>
        <w:t>applicants’</w:t>
      </w:r>
      <w:r w:rsidRPr="00284173">
        <w:rPr>
          <w:rFonts w:ascii="Times New Roman" w:hAnsi="Times New Roman" w:cs="Times New Roman"/>
          <w:sz w:val="24"/>
          <w:szCs w:val="24"/>
          <w:lang w:val="en-GB"/>
        </w:rPr>
        <w:t xml:space="preserve"> Legal Practitioners</w:t>
      </w:r>
    </w:p>
    <w:p w14:paraId="716E56AF" w14:textId="2B29870E" w:rsidR="00293D1E" w:rsidRPr="00284173" w:rsidRDefault="00293D1E" w:rsidP="00284173">
      <w:pPr>
        <w:pStyle w:val="NoSpacing"/>
        <w:rPr>
          <w:rFonts w:ascii="Times New Roman" w:hAnsi="Times New Roman" w:cs="Times New Roman"/>
          <w:sz w:val="24"/>
          <w:szCs w:val="24"/>
          <w:lang w:val="en-GB"/>
        </w:rPr>
      </w:pPr>
      <w:r w:rsidRPr="00284173">
        <w:rPr>
          <w:rFonts w:ascii="Times New Roman" w:hAnsi="Times New Roman" w:cs="Times New Roman"/>
          <w:i/>
          <w:iCs/>
          <w:sz w:val="24"/>
          <w:szCs w:val="24"/>
          <w:lang w:val="en-GB"/>
        </w:rPr>
        <w:t>Chiminya &amp; Associates</w:t>
      </w:r>
      <w:r w:rsidRPr="00284173">
        <w:rPr>
          <w:rFonts w:ascii="Times New Roman" w:hAnsi="Times New Roman" w:cs="Times New Roman"/>
          <w:sz w:val="24"/>
          <w:szCs w:val="24"/>
          <w:lang w:val="en-GB"/>
        </w:rPr>
        <w:t>, 2</w:t>
      </w:r>
      <w:r w:rsidRPr="00284173">
        <w:rPr>
          <w:rFonts w:ascii="Times New Roman" w:hAnsi="Times New Roman" w:cs="Times New Roman"/>
          <w:sz w:val="24"/>
          <w:szCs w:val="24"/>
          <w:vertAlign w:val="superscript"/>
          <w:lang w:val="en-GB"/>
        </w:rPr>
        <w:t>nd</w:t>
      </w:r>
      <w:r w:rsidRPr="00284173">
        <w:rPr>
          <w:rFonts w:ascii="Times New Roman" w:hAnsi="Times New Roman" w:cs="Times New Roman"/>
          <w:sz w:val="24"/>
          <w:szCs w:val="24"/>
          <w:lang w:val="en-GB"/>
        </w:rPr>
        <w:t xml:space="preserve"> </w:t>
      </w:r>
      <w:r w:rsidR="00F767E3" w:rsidRPr="00284173">
        <w:rPr>
          <w:rFonts w:ascii="Times New Roman" w:hAnsi="Times New Roman" w:cs="Times New Roman"/>
          <w:sz w:val="24"/>
          <w:szCs w:val="24"/>
          <w:lang w:val="en-GB"/>
        </w:rPr>
        <w:t>r</w:t>
      </w:r>
      <w:r w:rsidRPr="00284173">
        <w:rPr>
          <w:rFonts w:ascii="Times New Roman" w:hAnsi="Times New Roman" w:cs="Times New Roman"/>
          <w:sz w:val="24"/>
          <w:szCs w:val="24"/>
          <w:lang w:val="en-GB"/>
        </w:rPr>
        <w:t>espondents Legal Practitioners</w:t>
      </w:r>
    </w:p>
    <w:sectPr w:rsidR="00293D1E" w:rsidRPr="0028417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FD93C9" w14:textId="77777777" w:rsidR="00005550" w:rsidRDefault="00005550" w:rsidP="00812109">
      <w:pPr>
        <w:spacing w:after="0" w:line="240" w:lineRule="auto"/>
      </w:pPr>
      <w:r>
        <w:separator/>
      </w:r>
    </w:p>
  </w:endnote>
  <w:endnote w:type="continuationSeparator" w:id="0">
    <w:p w14:paraId="7A394C97" w14:textId="77777777" w:rsidR="00005550" w:rsidRDefault="00005550" w:rsidP="00812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FE5496" w14:textId="77777777" w:rsidR="00005550" w:rsidRDefault="00005550" w:rsidP="00812109">
      <w:pPr>
        <w:spacing w:after="0" w:line="240" w:lineRule="auto"/>
      </w:pPr>
      <w:r>
        <w:separator/>
      </w:r>
    </w:p>
  </w:footnote>
  <w:footnote w:type="continuationSeparator" w:id="0">
    <w:p w14:paraId="65B3B6B7" w14:textId="77777777" w:rsidR="00005550" w:rsidRDefault="00005550" w:rsidP="008121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2917362"/>
      <w:docPartObj>
        <w:docPartGallery w:val="Page Numbers (Top of Page)"/>
        <w:docPartUnique/>
      </w:docPartObj>
    </w:sdtPr>
    <w:sdtEndPr>
      <w:rPr>
        <w:noProof/>
      </w:rPr>
    </w:sdtEndPr>
    <w:sdtContent>
      <w:p w14:paraId="1B9EB23C" w14:textId="06E3AA99" w:rsidR="00284173" w:rsidRDefault="00284173">
        <w:pPr>
          <w:pStyle w:val="Header"/>
          <w:jc w:val="right"/>
        </w:pPr>
        <w:r>
          <w:fldChar w:fldCharType="begin"/>
        </w:r>
        <w:r>
          <w:instrText xml:space="preserve"> PAGE   \* MERGEFORMAT </w:instrText>
        </w:r>
        <w:r>
          <w:fldChar w:fldCharType="separate"/>
        </w:r>
        <w:r w:rsidR="008845F6">
          <w:rPr>
            <w:noProof/>
          </w:rPr>
          <w:t>1</w:t>
        </w:r>
        <w:r>
          <w:rPr>
            <w:noProof/>
          </w:rPr>
          <w:fldChar w:fldCharType="end"/>
        </w:r>
      </w:p>
    </w:sdtContent>
  </w:sdt>
  <w:p w14:paraId="7F225AA6" w14:textId="6D68EE0F" w:rsidR="00812109" w:rsidRDefault="00284173">
    <w:pPr>
      <w:pStyle w:val="Header"/>
    </w:pPr>
    <w:r>
      <w:tab/>
    </w:r>
    <w:r>
      <w:tab/>
      <w:t>HH 136-26</w:t>
    </w:r>
  </w:p>
  <w:p w14:paraId="39B55BAD" w14:textId="080A349C" w:rsidR="00284173" w:rsidRDefault="00284173">
    <w:pPr>
      <w:pStyle w:val="Header"/>
    </w:pPr>
    <w:r>
      <w:tab/>
    </w:r>
    <w:r>
      <w:tab/>
      <w:t>HCHC 2658/25</w:t>
    </w:r>
  </w:p>
  <w:p w14:paraId="4ED61AC0" w14:textId="77777777" w:rsidR="00284173" w:rsidRDefault="002841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76D40"/>
    <w:multiLevelType w:val="hybridMultilevel"/>
    <w:tmpl w:val="E32C9AA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nsid w:val="14AA7747"/>
    <w:multiLevelType w:val="hybridMultilevel"/>
    <w:tmpl w:val="A5F4046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339636E6"/>
    <w:multiLevelType w:val="hybridMultilevel"/>
    <w:tmpl w:val="8D72CC88"/>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7E2A590B"/>
    <w:multiLevelType w:val="multilevel"/>
    <w:tmpl w:val="80D4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AFC"/>
    <w:rsid w:val="00000408"/>
    <w:rsid w:val="00005550"/>
    <w:rsid w:val="00012BA4"/>
    <w:rsid w:val="00071BDC"/>
    <w:rsid w:val="000A2517"/>
    <w:rsid w:val="000B3ED6"/>
    <w:rsid w:val="000B66E3"/>
    <w:rsid w:val="000B7E5A"/>
    <w:rsid w:val="000C5324"/>
    <w:rsid w:val="000F0846"/>
    <w:rsid w:val="0010769F"/>
    <w:rsid w:val="00110A52"/>
    <w:rsid w:val="001347D7"/>
    <w:rsid w:val="00135FF6"/>
    <w:rsid w:val="00166384"/>
    <w:rsid w:val="00174D7A"/>
    <w:rsid w:val="001764A5"/>
    <w:rsid w:val="001A675F"/>
    <w:rsid w:val="001A75C1"/>
    <w:rsid w:val="001C0E7E"/>
    <w:rsid w:val="00265159"/>
    <w:rsid w:val="00274A58"/>
    <w:rsid w:val="00284173"/>
    <w:rsid w:val="00285FCB"/>
    <w:rsid w:val="00293D1E"/>
    <w:rsid w:val="00294326"/>
    <w:rsid w:val="002A3AEF"/>
    <w:rsid w:val="002D554C"/>
    <w:rsid w:val="002F38C4"/>
    <w:rsid w:val="002F5828"/>
    <w:rsid w:val="003718DF"/>
    <w:rsid w:val="004243DD"/>
    <w:rsid w:val="004376B8"/>
    <w:rsid w:val="00437A81"/>
    <w:rsid w:val="0049519C"/>
    <w:rsid w:val="004A2A10"/>
    <w:rsid w:val="004B0170"/>
    <w:rsid w:val="004B74F5"/>
    <w:rsid w:val="004E7034"/>
    <w:rsid w:val="005067D7"/>
    <w:rsid w:val="00552F4C"/>
    <w:rsid w:val="005C0549"/>
    <w:rsid w:val="005C6227"/>
    <w:rsid w:val="00647AFC"/>
    <w:rsid w:val="00657DC5"/>
    <w:rsid w:val="006854B7"/>
    <w:rsid w:val="0069151B"/>
    <w:rsid w:val="006A060D"/>
    <w:rsid w:val="006B2CFD"/>
    <w:rsid w:val="006B601A"/>
    <w:rsid w:val="006C392C"/>
    <w:rsid w:val="0072279B"/>
    <w:rsid w:val="0075005E"/>
    <w:rsid w:val="00770547"/>
    <w:rsid w:val="007770FC"/>
    <w:rsid w:val="00782BFF"/>
    <w:rsid w:val="007909AB"/>
    <w:rsid w:val="00792CBC"/>
    <w:rsid w:val="007E5DC9"/>
    <w:rsid w:val="007E676C"/>
    <w:rsid w:val="00802CCA"/>
    <w:rsid w:val="00804427"/>
    <w:rsid w:val="00812109"/>
    <w:rsid w:val="00847CEE"/>
    <w:rsid w:val="0086345B"/>
    <w:rsid w:val="00872A6C"/>
    <w:rsid w:val="008829D0"/>
    <w:rsid w:val="00883605"/>
    <w:rsid w:val="008845F6"/>
    <w:rsid w:val="008A2F5F"/>
    <w:rsid w:val="008C4507"/>
    <w:rsid w:val="00904C8D"/>
    <w:rsid w:val="00935853"/>
    <w:rsid w:val="00937CE5"/>
    <w:rsid w:val="00984BF9"/>
    <w:rsid w:val="00995213"/>
    <w:rsid w:val="009B0E8A"/>
    <w:rsid w:val="009D1DE4"/>
    <w:rsid w:val="009D6099"/>
    <w:rsid w:val="009E4238"/>
    <w:rsid w:val="00A213EA"/>
    <w:rsid w:val="00A2159F"/>
    <w:rsid w:val="00A30BC0"/>
    <w:rsid w:val="00A81515"/>
    <w:rsid w:val="00AD1699"/>
    <w:rsid w:val="00AD354F"/>
    <w:rsid w:val="00AD4638"/>
    <w:rsid w:val="00B2144C"/>
    <w:rsid w:val="00B254EC"/>
    <w:rsid w:val="00B35EEC"/>
    <w:rsid w:val="00B67306"/>
    <w:rsid w:val="00B7280A"/>
    <w:rsid w:val="00B81876"/>
    <w:rsid w:val="00B91F93"/>
    <w:rsid w:val="00BA18A6"/>
    <w:rsid w:val="00BC0B75"/>
    <w:rsid w:val="00C05B3B"/>
    <w:rsid w:val="00C27DE2"/>
    <w:rsid w:val="00C334E6"/>
    <w:rsid w:val="00C33C0C"/>
    <w:rsid w:val="00C8765F"/>
    <w:rsid w:val="00CA4163"/>
    <w:rsid w:val="00CD318A"/>
    <w:rsid w:val="00D21071"/>
    <w:rsid w:val="00D33DB6"/>
    <w:rsid w:val="00D64D3C"/>
    <w:rsid w:val="00D8175E"/>
    <w:rsid w:val="00DA27AA"/>
    <w:rsid w:val="00DC3A6B"/>
    <w:rsid w:val="00DF52FC"/>
    <w:rsid w:val="00E143DF"/>
    <w:rsid w:val="00E55F27"/>
    <w:rsid w:val="00E70373"/>
    <w:rsid w:val="00EA3B21"/>
    <w:rsid w:val="00EC54EA"/>
    <w:rsid w:val="00F24E24"/>
    <w:rsid w:val="00F40470"/>
    <w:rsid w:val="00F44DA8"/>
    <w:rsid w:val="00F71C22"/>
    <w:rsid w:val="00F767E3"/>
    <w:rsid w:val="00F83F1B"/>
    <w:rsid w:val="00F92F3D"/>
    <w:rsid w:val="00FB72BE"/>
    <w:rsid w:val="00FD3B4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E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01A"/>
    <w:pPr>
      <w:spacing w:line="256" w:lineRule="auto"/>
    </w:pPr>
    <w:rPr>
      <w:kern w:val="0"/>
      <w14:ligatures w14:val="none"/>
    </w:rPr>
  </w:style>
  <w:style w:type="paragraph" w:styleId="Heading1">
    <w:name w:val="heading 1"/>
    <w:basedOn w:val="Normal"/>
    <w:next w:val="Normal"/>
    <w:link w:val="Heading1Char"/>
    <w:uiPriority w:val="9"/>
    <w:qFormat/>
    <w:rsid w:val="00647AF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47AF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47AFC"/>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47AFC"/>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7AFC"/>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7AFC"/>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7AFC"/>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7AFC"/>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7AFC"/>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AFC"/>
    <w:rPr>
      <w:rFonts w:eastAsiaTheme="majorEastAsia" w:cstheme="majorBidi"/>
      <w:color w:val="272727" w:themeColor="text1" w:themeTint="D8"/>
    </w:rPr>
  </w:style>
  <w:style w:type="paragraph" w:styleId="Title">
    <w:name w:val="Title"/>
    <w:basedOn w:val="Normal"/>
    <w:next w:val="Normal"/>
    <w:link w:val="TitleChar"/>
    <w:uiPriority w:val="10"/>
    <w:qFormat/>
    <w:rsid w:val="00647AF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7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AFC"/>
    <w:pPr>
      <w:numPr>
        <w:ilvl w:val="1"/>
      </w:numPr>
      <w:spacing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7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AFC"/>
    <w:pPr>
      <w:spacing w:before="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47AFC"/>
    <w:rPr>
      <w:i/>
      <w:iCs/>
      <w:color w:val="404040" w:themeColor="text1" w:themeTint="BF"/>
    </w:rPr>
  </w:style>
  <w:style w:type="paragraph" w:styleId="ListParagraph">
    <w:name w:val="List Paragraph"/>
    <w:basedOn w:val="Normal"/>
    <w:uiPriority w:val="34"/>
    <w:qFormat/>
    <w:rsid w:val="00647AFC"/>
    <w:pPr>
      <w:spacing w:line="259" w:lineRule="auto"/>
      <w:ind w:left="720"/>
      <w:contextualSpacing/>
    </w:pPr>
    <w:rPr>
      <w:kern w:val="2"/>
      <w14:ligatures w14:val="standardContextual"/>
    </w:rPr>
  </w:style>
  <w:style w:type="character" w:styleId="IntenseEmphasis">
    <w:name w:val="Intense Emphasis"/>
    <w:basedOn w:val="DefaultParagraphFont"/>
    <w:uiPriority w:val="21"/>
    <w:qFormat/>
    <w:rsid w:val="00647AFC"/>
    <w:rPr>
      <w:i/>
      <w:iCs/>
      <w:color w:val="2F5496" w:themeColor="accent1" w:themeShade="BF"/>
    </w:rPr>
  </w:style>
  <w:style w:type="paragraph" w:styleId="IntenseQuote">
    <w:name w:val="Intense Quote"/>
    <w:basedOn w:val="Normal"/>
    <w:next w:val="Normal"/>
    <w:link w:val="IntenseQuoteChar"/>
    <w:uiPriority w:val="30"/>
    <w:qFormat/>
    <w:rsid w:val="00647AFC"/>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647AFC"/>
    <w:rPr>
      <w:i/>
      <w:iCs/>
      <w:color w:val="2F5496" w:themeColor="accent1" w:themeShade="BF"/>
    </w:rPr>
  </w:style>
  <w:style w:type="character" w:styleId="IntenseReference">
    <w:name w:val="Intense Reference"/>
    <w:basedOn w:val="DefaultParagraphFont"/>
    <w:uiPriority w:val="32"/>
    <w:qFormat/>
    <w:rsid w:val="00647AFC"/>
    <w:rPr>
      <w:b/>
      <w:bCs/>
      <w:smallCaps/>
      <w:color w:val="2F5496" w:themeColor="accent1" w:themeShade="BF"/>
      <w:spacing w:val="5"/>
    </w:rPr>
  </w:style>
  <w:style w:type="paragraph" w:styleId="NormalWeb">
    <w:name w:val="Normal (Web)"/>
    <w:basedOn w:val="Normal"/>
    <w:uiPriority w:val="99"/>
    <w:unhideWhenUsed/>
    <w:rsid w:val="0086345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86345B"/>
    <w:rPr>
      <w:b/>
      <w:bCs/>
    </w:rPr>
  </w:style>
  <w:style w:type="paragraph" w:styleId="Header">
    <w:name w:val="header"/>
    <w:basedOn w:val="Normal"/>
    <w:link w:val="HeaderChar"/>
    <w:uiPriority w:val="99"/>
    <w:unhideWhenUsed/>
    <w:rsid w:val="008121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109"/>
    <w:rPr>
      <w:kern w:val="0"/>
      <w14:ligatures w14:val="none"/>
    </w:rPr>
  </w:style>
  <w:style w:type="paragraph" w:styleId="Footer">
    <w:name w:val="footer"/>
    <w:basedOn w:val="Normal"/>
    <w:link w:val="FooterChar"/>
    <w:uiPriority w:val="99"/>
    <w:unhideWhenUsed/>
    <w:rsid w:val="008121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109"/>
    <w:rPr>
      <w:kern w:val="0"/>
      <w14:ligatures w14:val="none"/>
    </w:rPr>
  </w:style>
  <w:style w:type="paragraph" w:styleId="NoSpacing">
    <w:name w:val="No Spacing"/>
    <w:uiPriority w:val="1"/>
    <w:qFormat/>
    <w:rsid w:val="00284173"/>
    <w:pPr>
      <w:spacing w:after="0" w:line="240" w:lineRule="auto"/>
    </w:pPr>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01A"/>
    <w:pPr>
      <w:spacing w:line="256" w:lineRule="auto"/>
    </w:pPr>
    <w:rPr>
      <w:kern w:val="0"/>
      <w14:ligatures w14:val="none"/>
    </w:rPr>
  </w:style>
  <w:style w:type="paragraph" w:styleId="Heading1">
    <w:name w:val="heading 1"/>
    <w:basedOn w:val="Normal"/>
    <w:next w:val="Normal"/>
    <w:link w:val="Heading1Char"/>
    <w:uiPriority w:val="9"/>
    <w:qFormat/>
    <w:rsid w:val="00647AF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47AF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47AFC"/>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47AFC"/>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7AFC"/>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7AFC"/>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7AFC"/>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7AFC"/>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7AFC"/>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AFC"/>
    <w:rPr>
      <w:rFonts w:eastAsiaTheme="majorEastAsia" w:cstheme="majorBidi"/>
      <w:color w:val="272727" w:themeColor="text1" w:themeTint="D8"/>
    </w:rPr>
  </w:style>
  <w:style w:type="paragraph" w:styleId="Title">
    <w:name w:val="Title"/>
    <w:basedOn w:val="Normal"/>
    <w:next w:val="Normal"/>
    <w:link w:val="TitleChar"/>
    <w:uiPriority w:val="10"/>
    <w:qFormat/>
    <w:rsid w:val="00647AF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7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AFC"/>
    <w:pPr>
      <w:numPr>
        <w:ilvl w:val="1"/>
      </w:numPr>
      <w:spacing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7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AFC"/>
    <w:pPr>
      <w:spacing w:before="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47AFC"/>
    <w:rPr>
      <w:i/>
      <w:iCs/>
      <w:color w:val="404040" w:themeColor="text1" w:themeTint="BF"/>
    </w:rPr>
  </w:style>
  <w:style w:type="paragraph" w:styleId="ListParagraph">
    <w:name w:val="List Paragraph"/>
    <w:basedOn w:val="Normal"/>
    <w:uiPriority w:val="34"/>
    <w:qFormat/>
    <w:rsid w:val="00647AFC"/>
    <w:pPr>
      <w:spacing w:line="259" w:lineRule="auto"/>
      <w:ind w:left="720"/>
      <w:contextualSpacing/>
    </w:pPr>
    <w:rPr>
      <w:kern w:val="2"/>
      <w14:ligatures w14:val="standardContextual"/>
    </w:rPr>
  </w:style>
  <w:style w:type="character" w:styleId="IntenseEmphasis">
    <w:name w:val="Intense Emphasis"/>
    <w:basedOn w:val="DefaultParagraphFont"/>
    <w:uiPriority w:val="21"/>
    <w:qFormat/>
    <w:rsid w:val="00647AFC"/>
    <w:rPr>
      <w:i/>
      <w:iCs/>
      <w:color w:val="2F5496" w:themeColor="accent1" w:themeShade="BF"/>
    </w:rPr>
  </w:style>
  <w:style w:type="paragraph" w:styleId="IntenseQuote">
    <w:name w:val="Intense Quote"/>
    <w:basedOn w:val="Normal"/>
    <w:next w:val="Normal"/>
    <w:link w:val="IntenseQuoteChar"/>
    <w:uiPriority w:val="30"/>
    <w:qFormat/>
    <w:rsid w:val="00647AFC"/>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647AFC"/>
    <w:rPr>
      <w:i/>
      <w:iCs/>
      <w:color w:val="2F5496" w:themeColor="accent1" w:themeShade="BF"/>
    </w:rPr>
  </w:style>
  <w:style w:type="character" w:styleId="IntenseReference">
    <w:name w:val="Intense Reference"/>
    <w:basedOn w:val="DefaultParagraphFont"/>
    <w:uiPriority w:val="32"/>
    <w:qFormat/>
    <w:rsid w:val="00647AFC"/>
    <w:rPr>
      <w:b/>
      <w:bCs/>
      <w:smallCaps/>
      <w:color w:val="2F5496" w:themeColor="accent1" w:themeShade="BF"/>
      <w:spacing w:val="5"/>
    </w:rPr>
  </w:style>
  <w:style w:type="paragraph" w:styleId="NormalWeb">
    <w:name w:val="Normal (Web)"/>
    <w:basedOn w:val="Normal"/>
    <w:uiPriority w:val="99"/>
    <w:unhideWhenUsed/>
    <w:rsid w:val="0086345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86345B"/>
    <w:rPr>
      <w:b/>
      <w:bCs/>
    </w:rPr>
  </w:style>
  <w:style w:type="paragraph" w:styleId="Header">
    <w:name w:val="header"/>
    <w:basedOn w:val="Normal"/>
    <w:link w:val="HeaderChar"/>
    <w:uiPriority w:val="99"/>
    <w:unhideWhenUsed/>
    <w:rsid w:val="008121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109"/>
    <w:rPr>
      <w:kern w:val="0"/>
      <w14:ligatures w14:val="none"/>
    </w:rPr>
  </w:style>
  <w:style w:type="paragraph" w:styleId="Footer">
    <w:name w:val="footer"/>
    <w:basedOn w:val="Normal"/>
    <w:link w:val="FooterChar"/>
    <w:uiPriority w:val="99"/>
    <w:unhideWhenUsed/>
    <w:rsid w:val="008121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109"/>
    <w:rPr>
      <w:kern w:val="0"/>
      <w14:ligatures w14:val="none"/>
    </w:rPr>
  </w:style>
  <w:style w:type="paragraph" w:styleId="NoSpacing">
    <w:name w:val="No Spacing"/>
    <w:uiPriority w:val="1"/>
    <w:qFormat/>
    <w:rsid w:val="00284173"/>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44951-12DF-48F9-A4B8-1B3234B76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Mellisa Breakfast</dc:creator>
  <cp:lastModifiedBy>JSC</cp:lastModifiedBy>
  <cp:revision>2</cp:revision>
  <dcterms:created xsi:type="dcterms:W3CDTF">2026-02-27T11:14:00Z</dcterms:created>
  <dcterms:modified xsi:type="dcterms:W3CDTF">2026-02-27T11:14:00Z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d794a97d-3299-4286-aa30-2dd90c700015</vt:lpwstr>
  </property>
</Properties>
</file>