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C98B35" w14:textId="5463A6E8" w:rsidR="00EE420D" w:rsidRPr="00CA4769" w:rsidRDefault="00EE420D" w:rsidP="00CA4769">
      <w:pPr>
        <w:spacing w:line="360" w:lineRule="auto"/>
        <w:jc w:val="both"/>
        <w:rPr>
          <w:sz w:val="24"/>
          <w:szCs w:val="24"/>
        </w:rPr>
      </w:pPr>
    </w:p>
    <w:p w14:paraId="3575EB12" w14:textId="4C9B7DB9" w:rsidR="00D15A87" w:rsidRPr="00CA4769" w:rsidRDefault="00D15A87" w:rsidP="00DF69D3">
      <w:pPr>
        <w:pStyle w:val="NormalWeb"/>
        <w:spacing w:before="0" w:beforeAutospacing="0" w:after="0" w:afterAutospacing="0"/>
        <w:jc w:val="both"/>
        <w:rPr>
          <w:color w:val="000000"/>
        </w:rPr>
      </w:pPr>
      <w:bookmarkStart w:id="0" w:name="_Hlk234829472"/>
      <w:r w:rsidRPr="00CA4769">
        <w:rPr>
          <w:color w:val="000000"/>
        </w:rPr>
        <w:t xml:space="preserve">MERCHANTMAN ENTERPRISES (PVT) LTD </w:t>
      </w:r>
    </w:p>
    <w:p w14:paraId="07C7CED6" w14:textId="489EE429" w:rsidR="00D15A87" w:rsidRPr="00CA4769" w:rsidRDefault="00DF69D3" w:rsidP="00DF69D3">
      <w:pPr>
        <w:pStyle w:val="NormalWeb"/>
        <w:spacing w:before="0" w:beforeAutospacing="0" w:after="0" w:afterAutospacing="0"/>
        <w:jc w:val="both"/>
        <w:rPr>
          <w:color w:val="000000"/>
        </w:rPr>
      </w:pPr>
      <w:proofErr w:type="gramStart"/>
      <w:r>
        <w:rPr>
          <w:color w:val="000000"/>
        </w:rPr>
        <w:t>v</w:t>
      </w:r>
      <w:r w:rsidR="00D15A87" w:rsidRPr="00CA4769">
        <w:rPr>
          <w:color w:val="000000"/>
        </w:rPr>
        <w:t>ersus</w:t>
      </w:r>
      <w:proofErr w:type="gramEnd"/>
    </w:p>
    <w:p w14:paraId="002C6D49" w14:textId="5D6EDA63" w:rsidR="00D15A87" w:rsidRDefault="00D15A87" w:rsidP="00DF69D3">
      <w:pPr>
        <w:pStyle w:val="NormalWeb"/>
        <w:spacing w:before="0" w:beforeAutospacing="0" w:after="0" w:afterAutospacing="0"/>
        <w:jc w:val="both"/>
        <w:rPr>
          <w:color w:val="000000"/>
        </w:rPr>
      </w:pPr>
      <w:r w:rsidRPr="00CA4769">
        <w:rPr>
          <w:color w:val="000000"/>
        </w:rPr>
        <w:t xml:space="preserve">PRINT CITY (PVT) LTD </w:t>
      </w:r>
    </w:p>
    <w:p w14:paraId="1A5BE12C" w14:textId="77777777" w:rsidR="00DF69D3" w:rsidRDefault="00DF69D3" w:rsidP="00DF69D3">
      <w:pPr>
        <w:pStyle w:val="NormalWeb"/>
        <w:spacing w:before="0" w:beforeAutospacing="0" w:after="0" w:afterAutospacing="0"/>
        <w:jc w:val="both"/>
        <w:rPr>
          <w:color w:val="000000"/>
        </w:rPr>
      </w:pPr>
    </w:p>
    <w:p w14:paraId="51DA1592" w14:textId="77777777" w:rsidR="00DF69D3" w:rsidRPr="00CA4769" w:rsidRDefault="00DF69D3" w:rsidP="00DF69D3">
      <w:pPr>
        <w:pStyle w:val="NormalWeb"/>
        <w:spacing w:before="0" w:beforeAutospacing="0" w:after="0" w:afterAutospacing="0"/>
        <w:jc w:val="both"/>
        <w:rPr>
          <w:color w:val="000000"/>
        </w:rPr>
      </w:pPr>
      <w:bookmarkStart w:id="1" w:name="_GoBack"/>
      <w:bookmarkEnd w:id="1"/>
    </w:p>
    <w:p w14:paraId="336143C3" w14:textId="0640D4B2" w:rsidR="00D15A87" w:rsidRPr="00CA4769" w:rsidRDefault="00D15A87" w:rsidP="00CA4769">
      <w:pPr>
        <w:pStyle w:val="NoSpacing"/>
        <w:rPr>
          <w:rFonts w:ascii="Times New Roman" w:hAnsi="Times New Roman" w:cs="Times New Roman"/>
          <w:sz w:val="24"/>
          <w:szCs w:val="24"/>
        </w:rPr>
      </w:pPr>
      <w:r w:rsidRPr="00CA4769">
        <w:rPr>
          <w:rFonts w:ascii="Times New Roman" w:hAnsi="Times New Roman" w:cs="Times New Roman"/>
          <w:sz w:val="24"/>
          <w:szCs w:val="24"/>
        </w:rPr>
        <w:t>HIGH COURT OF ZIMBABWE</w:t>
      </w:r>
    </w:p>
    <w:p w14:paraId="35715FDD" w14:textId="77777777" w:rsidR="00D15A87" w:rsidRPr="00CA4769" w:rsidRDefault="00D15A87" w:rsidP="00CA4769">
      <w:pPr>
        <w:pStyle w:val="NoSpacing"/>
        <w:rPr>
          <w:rFonts w:ascii="Times New Roman" w:hAnsi="Times New Roman" w:cs="Times New Roman"/>
          <w:sz w:val="24"/>
          <w:szCs w:val="24"/>
        </w:rPr>
      </w:pPr>
      <w:r w:rsidRPr="00CA4769">
        <w:rPr>
          <w:rFonts w:ascii="Times New Roman" w:hAnsi="Times New Roman" w:cs="Times New Roman"/>
          <w:sz w:val="24"/>
          <w:szCs w:val="24"/>
        </w:rPr>
        <w:t>COMMERCIAL DIVISION</w:t>
      </w:r>
    </w:p>
    <w:p w14:paraId="59777AD3" w14:textId="77777777" w:rsidR="00D15A87" w:rsidRPr="00CA4769" w:rsidRDefault="00D15A87" w:rsidP="00CA4769">
      <w:pPr>
        <w:pStyle w:val="NoSpacing"/>
        <w:rPr>
          <w:rFonts w:ascii="Times New Roman" w:hAnsi="Times New Roman" w:cs="Times New Roman"/>
          <w:sz w:val="24"/>
          <w:szCs w:val="24"/>
        </w:rPr>
      </w:pPr>
      <w:r w:rsidRPr="00CA4769">
        <w:rPr>
          <w:rFonts w:ascii="Times New Roman" w:hAnsi="Times New Roman" w:cs="Times New Roman"/>
          <w:sz w:val="24"/>
          <w:szCs w:val="24"/>
        </w:rPr>
        <w:t>CHILIMBE J</w:t>
      </w:r>
    </w:p>
    <w:p w14:paraId="7C153EEC" w14:textId="1F8902E7" w:rsidR="00D15A87" w:rsidRPr="00CA4769" w:rsidRDefault="00D15A87" w:rsidP="00CA4769">
      <w:pPr>
        <w:pStyle w:val="NoSpacing"/>
        <w:rPr>
          <w:color w:val="000000"/>
          <w:sz w:val="24"/>
          <w:szCs w:val="24"/>
        </w:rPr>
      </w:pPr>
      <w:r w:rsidRPr="00CA4769">
        <w:rPr>
          <w:rFonts w:ascii="Times New Roman" w:hAnsi="Times New Roman" w:cs="Times New Roman"/>
          <w:sz w:val="24"/>
          <w:szCs w:val="24"/>
        </w:rPr>
        <w:t xml:space="preserve">HARARE </w:t>
      </w:r>
      <w:r w:rsidR="00F65144" w:rsidRPr="00CA4769">
        <w:rPr>
          <w:rFonts w:ascii="Times New Roman" w:hAnsi="Times New Roman" w:cs="Times New Roman"/>
          <w:sz w:val="24"/>
          <w:szCs w:val="24"/>
        </w:rPr>
        <w:t>12 N</w:t>
      </w:r>
      <w:r w:rsidR="00CA4769">
        <w:rPr>
          <w:rFonts w:ascii="Times New Roman" w:hAnsi="Times New Roman" w:cs="Times New Roman"/>
          <w:sz w:val="24"/>
          <w:szCs w:val="24"/>
        </w:rPr>
        <w:t xml:space="preserve">ovember </w:t>
      </w:r>
      <w:r w:rsidR="00CA4769" w:rsidRPr="00CA4769">
        <w:rPr>
          <w:rFonts w:ascii="Times New Roman" w:hAnsi="Times New Roman" w:cs="Times New Roman"/>
          <w:sz w:val="24"/>
          <w:szCs w:val="24"/>
        </w:rPr>
        <w:t>2025, &amp;</w:t>
      </w:r>
      <w:r w:rsidR="00F65144" w:rsidRPr="00CA4769">
        <w:rPr>
          <w:rFonts w:ascii="Times New Roman" w:hAnsi="Times New Roman" w:cs="Times New Roman"/>
          <w:sz w:val="24"/>
          <w:szCs w:val="24"/>
        </w:rPr>
        <w:t xml:space="preserve"> </w:t>
      </w:r>
      <w:r w:rsidR="00F44641" w:rsidRPr="00CA4769">
        <w:rPr>
          <w:rFonts w:ascii="Times New Roman" w:hAnsi="Times New Roman" w:cs="Times New Roman"/>
          <w:sz w:val="24"/>
          <w:szCs w:val="24"/>
        </w:rPr>
        <w:t xml:space="preserve">13 July </w:t>
      </w:r>
      <w:r w:rsidR="00F65144" w:rsidRPr="00CA4769">
        <w:rPr>
          <w:rFonts w:ascii="Times New Roman" w:hAnsi="Times New Roman" w:cs="Times New Roman"/>
          <w:sz w:val="24"/>
          <w:szCs w:val="24"/>
        </w:rPr>
        <w:t>2026</w:t>
      </w:r>
    </w:p>
    <w:bookmarkEnd w:id="0"/>
    <w:p w14:paraId="07A8187E" w14:textId="3FF92F2F" w:rsidR="00D15A87" w:rsidRPr="00CA4769" w:rsidRDefault="00B62A77" w:rsidP="00CA4769">
      <w:pPr>
        <w:pStyle w:val="NormalWeb"/>
        <w:spacing w:line="360" w:lineRule="auto"/>
        <w:jc w:val="both"/>
        <w:rPr>
          <w:b/>
          <w:bCs/>
          <w:color w:val="000000"/>
        </w:rPr>
      </w:pPr>
      <w:r>
        <w:rPr>
          <w:b/>
          <w:bCs/>
          <w:color w:val="000000"/>
        </w:rPr>
        <w:t>Stated case</w:t>
      </w:r>
    </w:p>
    <w:p w14:paraId="5BE2626A" w14:textId="2DCE1473" w:rsidR="00D15A87" w:rsidRPr="00CA4769" w:rsidRDefault="0000494F" w:rsidP="00CA4769">
      <w:pPr>
        <w:pStyle w:val="NoSpacing"/>
        <w:rPr>
          <w:rFonts w:ascii="Times New Roman" w:hAnsi="Times New Roman" w:cs="Times New Roman"/>
          <w:sz w:val="24"/>
          <w:szCs w:val="24"/>
        </w:rPr>
      </w:pPr>
      <w:r w:rsidRPr="00CA4769">
        <w:rPr>
          <w:rFonts w:ascii="Times New Roman" w:hAnsi="Times New Roman" w:cs="Times New Roman"/>
          <w:i/>
          <w:iCs/>
          <w:sz w:val="24"/>
          <w:szCs w:val="24"/>
        </w:rPr>
        <w:t>S. Muzondiwa</w:t>
      </w:r>
      <w:r w:rsidRPr="00CA4769">
        <w:rPr>
          <w:rFonts w:ascii="Times New Roman" w:hAnsi="Times New Roman" w:cs="Times New Roman"/>
          <w:sz w:val="24"/>
          <w:szCs w:val="24"/>
        </w:rPr>
        <w:t xml:space="preserve"> </w:t>
      </w:r>
      <w:r w:rsidR="00D15A87" w:rsidRPr="00CA4769">
        <w:rPr>
          <w:rFonts w:ascii="Times New Roman" w:hAnsi="Times New Roman" w:cs="Times New Roman"/>
          <w:sz w:val="24"/>
          <w:szCs w:val="24"/>
        </w:rPr>
        <w:t xml:space="preserve">for </w:t>
      </w:r>
      <w:r w:rsidRPr="00CA4769">
        <w:rPr>
          <w:rFonts w:ascii="Times New Roman" w:hAnsi="Times New Roman" w:cs="Times New Roman"/>
          <w:sz w:val="24"/>
          <w:szCs w:val="24"/>
        </w:rPr>
        <w:t xml:space="preserve">plaintiff </w:t>
      </w:r>
    </w:p>
    <w:p w14:paraId="6F342A4B" w14:textId="66410DF0" w:rsidR="0000494F" w:rsidRPr="00CA4769" w:rsidRDefault="00D15A87" w:rsidP="00CA4769">
      <w:pPr>
        <w:pStyle w:val="NoSpacing"/>
        <w:rPr>
          <w:color w:val="000000"/>
          <w:sz w:val="24"/>
          <w:szCs w:val="24"/>
        </w:rPr>
      </w:pPr>
      <w:r w:rsidRPr="00CA4769">
        <w:rPr>
          <w:rFonts w:ascii="Times New Roman" w:hAnsi="Times New Roman" w:cs="Times New Roman"/>
          <w:i/>
          <w:iCs/>
          <w:sz w:val="24"/>
          <w:szCs w:val="24"/>
        </w:rPr>
        <w:t>M.</w:t>
      </w:r>
      <w:r w:rsidR="0000494F" w:rsidRPr="00CA4769">
        <w:rPr>
          <w:rFonts w:ascii="Times New Roman" w:hAnsi="Times New Roman" w:cs="Times New Roman"/>
          <w:i/>
          <w:iCs/>
          <w:sz w:val="24"/>
          <w:szCs w:val="24"/>
        </w:rPr>
        <w:t xml:space="preserve"> Simango</w:t>
      </w:r>
      <w:r w:rsidR="0000494F" w:rsidRPr="00CA4769">
        <w:rPr>
          <w:rFonts w:ascii="Times New Roman" w:hAnsi="Times New Roman" w:cs="Times New Roman"/>
          <w:sz w:val="24"/>
          <w:szCs w:val="24"/>
        </w:rPr>
        <w:t xml:space="preserve"> </w:t>
      </w:r>
      <w:r w:rsidRPr="00CA4769">
        <w:rPr>
          <w:rFonts w:ascii="Times New Roman" w:hAnsi="Times New Roman" w:cs="Times New Roman"/>
          <w:sz w:val="24"/>
          <w:szCs w:val="24"/>
        </w:rPr>
        <w:t xml:space="preserve">for </w:t>
      </w:r>
      <w:r w:rsidR="0000494F" w:rsidRPr="00CA4769">
        <w:rPr>
          <w:rFonts w:ascii="Times New Roman" w:hAnsi="Times New Roman" w:cs="Times New Roman"/>
          <w:sz w:val="24"/>
          <w:szCs w:val="24"/>
        </w:rPr>
        <w:t xml:space="preserve">defendant </w:t>
      </w:r>
    </w:p>
    <w:p w14:paraId="269404DE" w14:textId="77777777" w:rsidR="00F65144" w:rsidRPr="00CA4769" w:rsidRDefault="00F65144" w:rsidP="00CA4769">
      <w:pPr>
        <w:pStyle w:val="NormalWeb"/>
        <w:spacing w:line="360" w:lineRule="auto"/>
        <w:contextualSpacing/>
        <w:jc w:val="both"/>
        <w:rPr>
          <w:color w:val="000000"/>
        </w:rPr>
      </w:pPr>
    </w:p>
    <w:p w14:paraId="07D50DC2" w14:textId="77777777" w:rsidR="00D15A87" w:rsidRPr="00CA4769" w:rsidRDefault="00D15A87" w:rsidP="00CA4769">
      <w:pPr>
        <w:pStyle w:val="NormalWeb"/>
        <w:spacing w:line="360" w:lineRule="auto"/>
        <w:jc w:val="both"/>
        <w:rPr>
          <w:color w:val="000000"/>
        </w:rPr>
      </w:pPr>
      <w:r w:rsidRPr="00CA4769">
        <w:rPr>
          <w:color w:val="000000"/>
        </w:rPr>
        <w:t>CHILIMBE J</w:t>
      </w:r>
    </w:p>
    <w:p w14:paraId="227B8CB7" w14:textId="65B0A2B4" w:rsidR="00F44641" w:rsidRPr="00162D1E" w:rsidRDefault="00F44641" w:rsidP="00CA4769">
      <w:pPr>
        <w:pStyle w:val="NormalWeb"/>
        <w:spacing w:line="360" w:lineRule="auto"/>
        <w:jc w:val="both"/>
        <w:rPr>
          <w:color w:val="000000"/>
          <w:sz w:val="22"/>
          <w:szCs w:val="22"/>
        </w:rPr>
      </w:pPr>
      <w:r w:rsidRPr="00162D1E">
        <w:rPr>
          <w:color w:val="000000"/>
          <w:sz w:val="22"/>
          <w:szCs w:val="22"/>
        </w:rPr>
        <w:t>BACKGROUND</w:t>
      </w:r>
    </w:p>
    <w:p w14:paraId="7FA13CAC" w14:textId="670C307A" w:rsidR="00F44641" w:rsidRPr="00CA4769" w:rsidRDefault="00F44641" w:rsidP="00CA4769">
      <w:pPr>
        <w:pStyle w:val="NormalWeb"/>
        <w:spacing w:line="360" w:lineRule="auto"/>
        <w:jc w:val="both"/>
        <w:rPr>
          <w:color w:val="000000"/>
        </w:rPr>
      </w:pPr>
      <w:r w:rsidRPr="00CA4769">
        <w:rPr>
          <w:color w:val="000000"/>
        </w:rPr>
        <w:t xml:space="preserve">[1] This is a landlord and tenant dispute </w:t>
      </w:r>
      <w:r w:rsidR="004A3DB4" w:rsidRPr="00CA4769">
        <w:rPr>
          <w:color w:val="000000"/>
        </w:rPr>
        <w:t xml:space="preserve">in which the parties elected to proceed as a stated case in terms </w:t>
      </w:r>
      <w:r w:rsidR="00EB773E" w:rsidRPr="00CA4769">
        <w:rPr>
          <w:color w:val="000000"/>
        </w:rPr>
        <w:t>of r</w:t>
      </w:r>
      <w:r w:rsidR="004A3DB4" w:rsidRPr="00CA4769">
        <w:rPr>
          <w:color w:val="000000"/>
        </w:rPr>
        <w:t xml:space="preserve"> 52 of the High Court Rules SI 202/21 </w:t>
      </w:r>
      <w:r w:rsidR="00CA4769" w:rsidRPr="00CA4769">
        <w:rPr>
          <w:color w:val="000000"/>
        </w:rPr>
        <w:t>(“</w:t>
      </w:r>
      <w:r w:rsidR="004A3DB4" w:rsidRPr="00CA4769">
        <w:rPr>
          <w:color w:val="000000"/>
        </w:rPr>
        <w:t>the High Court Rules”) as read with r 4 (2) of the High Court (Commercial Division) Rules SI 123/20 (“the Commercial Court Rules”).</w:t>
      </w:r>
    </w:p>
    <w:p w14:paraId="4E17A764" w14:textId="18B2D3BB" w:rsidR="00CA4769" w:rsidRPr="00162D1E" w:rsidRDefault="00CA4769" w:rsidP="00CA4769">
      <w:pPr>
        <w:pStyle w:val="NormalWeb"/>
        <w:spacing w:line="360" w:lineRule="auto"/>
        <w:jc w:val="both"/>
        <w:rPr>
          <w:color w:val="000000"/>
          <w:sz w:val="22"/>
          <w:szCs w:val="22"/>
        </w:rPr>
      </w:pPr>
      <w:r w:rsidRPr="00162D1E">
        <w:rPr>
          <w:color w:val="000000"/>
          <w:sz w:val="22"/>
          <w:szCs w:val="22"/>
        </w:rPr>
        <w:t>THE AGREED FACTS AND ISSUES IN CONTENTION</w:t>
      </w:r>
    </w:p>
    <w:p w14:paraId="754CE63D" w14:textId="6405A15D" w:rsidR="00CA4769" w:rsidRPr="00CA4769" w:rsidRDefault="00CA4769" w:rsidP="00CA4769">
      <w:pPr>
        <w:pStyle w:val="NormalWeb"/>
        <w:spacing w:line="360" w:lineRule="auto"/>
        <w:jc w:val="both"/>
        <w:rPr>
          <w:color w:val="000000"/>
        </w:rPr>
      </w:pPr>
      <w:r w:rsidRPr="00CA4769">
        <w:rPr>
          <w:color w:val="000000"/>
        </w:rPr>
        <w:t>[2] The dispute between the parties is evident from the statement of agreed facts filed by the parties and in the following terms; -</w:t>
      </w:r>
    </w:p>
    <w:p w14:paraId="6EF3C7E5" w14:textId="77777777" w:rsidR="00CA4769" w:rsidRPr="00CA4769" w:rsidRDefault="00CA4769" w:rsidP="00CA4769">
      <w:pPr>
        <w:pStyle w:val="ListParagraph"/>
        <w:numPr>
          <w:ilvl w:val="0"/>
          <w:numId w:val="3"/>
        </w:numPr>
        <w:spacing w:line="360" w:lineRule="auto"/>
        <w:ind w:left="851"/>
        <w:jc w:val="both"/>
        <w:rPr>
          <w:rFonts w:ascii="Times New Roman" w:eastAsia="Aptos" w:hAnsi="Times New Roman" w:cs="Times New Roman"/>
          <w:kern w:val="2"/>
          <w:u w:val="single"/>
          <w:lang w:val="en-GB"/>
          <w14:ligatures w14:val="standardContextual"/>
        </w:rPr>
      </w:pPr>
      <w:r w:rsidRPr="00CA4769">
        <w:rPr>
          <w:rFonts w:ascii="Times New Roman" w:eastAsia="Aptos" w:hAnsi="Times New Roman" w:cs="Times New Roman"/>
          <w:kern w:val="2"/>
          <w:u w:val="single"/>
          <w:lang w:val="en-GB"/>
          <w14:ligatures w14:val="standardContextual"/>
        </w:rPr>
        <w:t>STATEMENT OF AGREED FACTS</w:t>
      </w:r>
    </w:p>
    <w:p w14:paraId="194894C1" w14:textId="77777777" w:rsidR="00CA4769" w:rsidRPr="000F2070" w:rsidRDefault="00CA4769" w:rsidP="00CA4769">
      <w:pPr>
        <w:pStyle w:val="ListParagraph"/>
        <w:numPr>
          <w:ilvl w:val="0"/>
          <w:numId w:val="3"/>
        </w:numPr>
        <w:spacing w:line="360" w:lineRule="auto"/>
        <w:ind w:left="851"/>
        <w:jc w:val="both"/>
        <w:rPr>
          <w:rFonts w:ascii="Times New Roman" w:eastAsia="Aptos" w:hAnsi="Times New Roman" w:cs="Times New Roman"/>
          <w:kern w:val="2"/>
          <w:u w:val="single"/>
          <w:lang w:val="en-GB"/>
          <w14:ligatures w14:val="standardContextual"/>
        </w:rPr>
      </w:pPr>
      <w:r w:rsidRPr="00CA4769">
        <w:rPr>
          <w:rFonts w:ascii="Times New Roman" w:eastAsia="Aptos" w:hAnsi="Times New Roman" w:cs="Times New Roman"/>
          <w:kern w:val="2"/>
          <w:lang w:val="en-GB"/>
          <w14:ligatures w14:val="standardContextual"/>
        </w:rPr>
        <w:t>Plaintiff and Defendant have been landlord and tenant and the lease agreement expired in 2019. The lease agreement was executed on the 20</w:t>
      </w:r>
      <w:r w:rsidRPr="00CA4769">
        <w:rPr>
          <w:rFonts w:ascii="Times New Roman" w:eastAsia="Aptos" w:hAnsi="Times New Roman" w:cs="Times New Roman"/>
          <w:kern w:val="2"/>
          <w:vertAlign w:val="superscript"/>
          <w:lang w:val="en-GB"/>
          <w14:ligatures w14:val="standardContextual"/>
        </w:rPr>
        <w:t>th</w:t>
      </w:r>
      <w:r w:rsidRPr="00CA4769">
        <w:rPr>
          <w:rFonts w:ascii="Times New Roman" w:eastAsia="Aptos" w:hAnsi="Times New Roman" w:cs="Times New Roman"/>
          <w:kern w:val="2"/>
          <w:lang w:val="en-GB"/>
          <w14:ligatures w14:val="standardContextual"/>
        </w:rPr>
        <w:t xml:space="preserve"> of February 2019 but commenced on the 1</w:t>
      </w:r>
      <w:r w:rsidRPr="00CA4769">
        <w:rPr>
          <w:rFonts w:ascii="Times New Roman" w:eastAsia="Aptos" w:hAnsi="Times New Roman" w:cs="Times New Roman"/>
          <w:kern w:val="2"/>
          <w:vertAlign w:val="superscript"/>
          <w:lang w:val="en-GB"/>
          <w14:ligatures w14:val="standardContextual"/>
        </w:rPr>
        <w:t>st</w:t>
      </w:r>
      <w:r w:rsidRPr="00CA4769">
        <w:rPr>
          <w:rFonts w:ascii="Times New Roman" w:eastAsia="Aptos" w:hAnsi="Times New Roman" w:cs="Times New Roman"/>
          <w:kern w:val="2"/>
          <w:lang w:val="en-GB"/>
          <w14:ligatures w14:val="standardContextual"/>
        </w:rPr>
        <w:t xml:space="preserve"> of January 2019. After the expiry of the lease agreement, the Defendant became a statutory tenant. In terms of the relationship between the parties, the Plaintiff has been leasing out to the Defendant its premises situate at shop no 2 Merchant House, 46 Robson Manyika Avenue, Harare. In terms of the expired lease, Defendant was obliged to pay a monthly rental of </w:t>
      </w:r>
      <w:r w:rsidRPr="00CA4769">
        <w:rPr>
          <w:rFonts w:ascii="Times New Roman" w:eastAsia="Aptos" w:hAnsi="Times New Roman" w:cs="Times New Roman"/>
          <w:b/>
          <w:bCs/>
          <w:kern w:val="2"/>
          <w:lang w:val="en-GB"/>
          <w14:ligatures w14:val="standardContextual"/>
        </w:rPr>
        <w:t xml:space="preserve">One Thousand Five Hundred United States Dollars (US$1 500.00) </w:t>
      </w:r>
      <w:r w:rsidRPr="00CA4769">
        <w:rPr>
          <w:rFonts w:ascii="Times New Roman" w:eastAsia="Aptos" w:hAnsi="Times New Roman" w:cs="Times New Roman"/>
          <w:kern w:val="2"/>
          <w:lang w:val="en-GB"/>
          <w14:ligatures w14:val="standardContextual"/>
        </w:rPr>
        <w:t xml:space="preserve">exclusive of rates which were as per the local authority statements, payable at the prevailing </w:t>
      </w:r>
      <w:r w:rsidRPr="00CA4769">
        <w:rPr>
          <w:rFonts w:ascii="Times New Roman" w:eastAsia="Aptos" w:hAnsi="Times New Roman" w:cs="Times New Roman"/>
          <w:kern w:val="2"/>
          <w:lang w:val="en-GB"/>
          <w14:ligatures w14:val="standardContextual"/>
        </w:rPr>
        <w:lastRenderedPageBreak/>
        <w:t xml:space="preserve">bank rate on the date of payment. The lease became operative on the date of signing was re-negotiable when the local currency was re-introduced. The rentals for the initial two months were deferred to property developments and first rental amount to be paid to the lessor in terms of the lease agreement </w:t>
      </w:r>
      <w:r w:rsidRPr="000F2070">
        <w:rPr>
          <w:rFonts w:ascii="Times New Roman" w:eastAsia="Aptos" w:hAnsi="Times New Roman" w:cs="Times New Roman"/>
          <w:kern w:val="2"/>
          <w:u w:val="single"/>
          <w:lang w:val="en-GB"/>
          <w14:ligatures w14:val="standardContextual"/>
        </w:rPr>
        <w:t>became due on the 1</w:t>
      </w:r>
      <w:r w:rsidRPr="000F2070">
        <w:rPr>
          <w:rFonts w:ascii="Times New Roman" w:eastAsia="Aptos" w:hAnsi="Times New Roman" w:cs="Times New Roman"/>
          <w:kern w:val="2"/>
          <w:u w:val="single"/>
          <w:vertAlign w:val="superscript"/>
          <w:lang w:val="en-GB"/>
          <w14:ligatures w14:val="standardContextual"/>
        </w:rPr>
        <w:t>st</w:t>
      </w:r>
      <w:r w:rsidRPr="000F2070">
        <w:rPr>
          <w:rFonts w:ascii="Times New Roman" w:eastAsia="Aptos" w:hAnsi="Times New Roman" w:cs="Times New Roman"/>
          <w:kern w:val="2"/>
          <w:u w:val="single"/>
          <w:lang w:val="en-GB"/>
          <w14:ligatures w14:val="standardContextual"/>
        </w:rPr>
        <w:t xml:space="preserve"> of March 2019 in terms of the clause 3 of the lease agreement which terms are hereby incorporated as part of this statement of agreed facts.</w:t>
      </w:r>
    </w:p>
    <w:p w14:paraId="107F6DA2" w14:textId="77777777" w:rsidR="00CA4769" w:rsidRPr="00CA4769" w:rsidRDefault="00CA4769" w:rsidP="00CA4769">
      <w:pPr>
        <w:spacing w:line="360" w:lineRule="auto"/>
        <w:ind w:left="851"/>
        <w:jc w:val="both"/>
        <w:rPr>
          <w:rFonts w:ascii="Times New Roman" w:eastAsia="Aptos" w:hAnsi="Times New Roman" w:cs="Times New Roman"/>
          <w:kern w:val="2"/>
          <w:lang w:val="en-GB"/>
          <w14:ligatures w14:val="standardContextual"/>
        </w:rPr>
      </w:pPr>
    </w:p>
    <w:p w14:paraId="039D9834" w14:textId="5AA3984A" w:rsidR="00CA4769" w:rsidRPr="00CA4769" w:rsidRDefault="00CA4769" w:rsidP="00CA4769">
      <w:pPr>
        <w:pStyle w:val="ListParagraph"/>
        <w:numPr>
          <w:ilvl w:val="0"/>
          <w:numId w:val="3"/>
        </w:numPr>
        <w:spacing w:line="360" w:lineRule="auto"/>
        <w:ind w:left="851"/>
        <w:jc w:val="both"/>
        <w:rPr>
          <w:rFonts w:ascii="Times New Roman" w:eastAsia="Aptos" w:hAnsi="Times New Roman" w:cs="Times New Roman"/>
          <w:kern w:val="2"/>
          <w:lang w:val="en-GB"/>
          <w14:ligatures w14:val="standardContextual"/>
        </w:rPr>
      </w:pPr>
      <w:r w:rsidRPr="00CA4769">
        <w:rPr>
          <w:rFonts w:ascii="Times New Roman" w:eastAsia="Aptos" w:hAnsi="Times New Roman" w:cs="Times New Roman"/>
          <w:kern w:val="2"/>
          <w:lang w:val="en-GB"/>
          <w14:ligatures w14:val="standardContextual"/>
        </w:rPr>
        <w:t>The Defendant vacated Plaintiff’s premises on the 23</w:t>
      </w:r>
      <w:r w:rsidRPr="00CA4769">
        <w:rPr>
          <w:rFonts w:ascii="Times New Roman" w:eastAsia="Aptos" w:hAnsi="Times New Roman" w:cs="Times New Roman"/>
          <w:kern w:val="2"/>
          <w:vertAlign w:val="superscript"/>
          <w:lang w:val="en-GB"/>
          <w14:ligatures w14:val="standardContextual"/>
        </w:rPr>
        <w:t>rd</w:t>
      </w:r>
      <w:r w:rsidRPr="00CA4769">
        <w:rPr>
          <w:rFonts w:ascii="Times New Roman" w:eastAsia="Aptos" w:hAnsi="Times New Roman" w:cs="Times New Roman"/>
          <w:kern w:val="2"/>
          <w:lang w:val="en-GB"/>
          <w14:ligatures w14:val="standardContextual"/>
        </w:rPr>
        <w:t xml:space="preserve"> of August 2022. Before vacating the premises, Defendant had failed to pay some of its monthly rentals on time/at all for several months. The total sum which defendant ought to have paid towards rentals for the period of his occupation was </w:t>
      </w:r>
      <w:r w:rsidRPr="00CA4769">
        <w:rPr>
          <w:rFonts w:ascii="Times New Roman" w:eastAsia="Aptos" w:hAnsi="Times New Roman" w:cs="Times New Roman"/>
          <w:b/>
          <w:bCs/>
          <w:kern w:val="2"/>
          <w:lang w:val="en-GB"/>
          <w14:ligatures w14:val="standardContextual"/>
        </w:rPr>
        <w:t xml:space="preserve">USD$48 960.00 (Forty-Eight Thousand Nine Hundred and Sixty United States Dollars) </w:t>
      </w:r>
      <w:r w:rsidRPr="00CA4769">
        <w:rPr>
          <w:rFonts w:ascii="Times New Roman" w:eastAsia="Aptos" w:hAnsi="Times New Roman" w:cs="Times New Roman"/>
          <w:kern w:val="2"/>
          <w:lang w:val="en-GB"/>
          <w14:ligatures w14:val="standardContextual"/>
        </w:rPr>
        <w:t xml:space="preserve">which currency is subject to the issues for determination outlined in paragraph (4) of this statement of agreed facts. Defendant made a payment of $13 506.00 (Thirteen Thousand Five </w:t>
      </w:r>
      <w:bookmarkStart w:id="2" w:name="_Hlk231821284"/>
      <w:r w:rsidRPr="00CA4769">
        <w:rPr>
          <w:rFonts w:ascii="Times New Roman" w:eastAsia="Aptos" w:hAnsi="Times New Roman" w:cs="Times New Roman"/>
          <w:kern w:val="2"/>
          <w:lang w:val="en-GB"/>
          <w14:ligatures w14:val="standardContextual"/>
        </w:rPr>
        <w:t xml:space="preserve">Hundred and Six United States Dollars) </w:t>
      </w:r>
      <w:bookmarkEnd w:id="2"/>
      <w:r w:rsidRPr="00CA4769">
        <w:rPr>
          <w:rFonts w:ascii="Times New Roman" w:eastAsia="Aptos" w:hAnsi="Times New Roman" w:cs="Times New Roman"/>
          <w:kern w:val="2"/>
          <w:lang w:val="en-GB"/>
          <w14:ligatures w14:val="standardContextual"/>
        </w:rPr>
        <w:t>towards rentals and rates to the Plaintiff for the period of its occupation.</w:t>
      </w:r>
    </w:p>
    <w:p w14:paraId="4FE4A6C8" w14:textId="77777777" w:rsidR="00CA4769" w:rsidRPr="00CA4769" w:rsidRDefault="00CA4769" w:rsidP="00CA4769">
      <w:pPr>
        <w:spacing w:line="360" w:lineRule="auto"/>
        <w:ind w:left="851"/>
        <w:contextualSpacing/>
        <w:jc w:val="both"/>
        <w:rPr>
          <w:rFonts w:ascii="Times New Roman" w:eastAsia="Aptos" w:hAnsi="Times New Roman" w:cs="Times New Roman"/>
          <w:kern w:val="2"/>
          <w:lang w:val="en-GB"/>
          <w14:ligatures w14:val="standardContextual"/>
        </w:rPr>
      </w:pPr>
    </w:p>
    <w:p w14:paraId="11DF20B9" w14:textId="77777777" w:rsidR="00CA4769" w:rsidRPr="00CA4769" w:rsidRDefault="00CA4769" w:rsidP="00CA4769">
      <w:pPr>
        <w:pStyle w:val="ListParagraph"/>
        <w:numPr>
          <w:ilvl w:val="0"/>
          <w:numId w:val="3"/>
        </w:numPr>
        <w:spacing w:line="360" w:lineRule="auto"/>
        <w:ind w:left="851"/>
        <w:jc w:val="both"/>
        <w:rPr>
          <w:rFonts w:ascii="Times New Roman" w:eastAsia="Aptos" w:hAnsi="Times New Roman" w:cs="Times New Roman"/>
          <w:kern w:val="2"/>
          <w:lang w:val="en-GB"/>
          <w14:ligatures w14:val="standardContextual"/>
        </w:rPr>
      </w:pPr>
      <w:r w:rsidRPr="00CA4769">
        <w:rPr>
          <w:rFonts w:ascii="Times New Roman" w:eastAsia="Aptos" w:hAnsi="Times New Roman" w:cs="Times New Roman"/>
          <w:kern w:val="2"/>
          <w:lang w:val="en-GB"/>
          <w14:ligatures w14:val="standardContextual"/>
        </w:rPr>
        <w:t xml:space="preserve">Plaintiff has issued summons claiming payment in the sum of </w:t>
      </w:r>
      <w:r w:rsidRPr="00CA4769">
        <w:rPr>
          <w:rFonts w:ascii="Times New Roman" w:eastAsia="Aptos" w:hAnsi="Times New Roman" w:cs="Times New Roman"/>
          <w:b/>
          <w:bCs/>
          <w:kern w:val="2"/>
          <w:lang w:val="en-GB"/>
          <w14:ligatures w14:val="standardContextual"/>
        </w:rPr>
        <w:t>Thirty-five Thousand Four Hundred and Fifty-Four Dollars ($35 454.00)</w:t>
      </w:r>
      <w:r w:rsidRPr="00CA4769">
        <w:rPr>
          <w:rFonts w:ascii="Times New Roman" w:eastAsia="Aptos" w:hAnsi="Times New Roman" w:cs="Times New Roman"/>
          <w:kern w:val="2"/>
          <w:lang w:val="en-GB"/>
          <w14:ligatures w14:val="standardContextual"/>
        </w:rPr>
        <w:t xml:space="preserve"> being arrear rentals. </w:t>
      </w:r>
      <w:r w:rsidRPr="000E636B">
        <w:rPr>
          <w:rFonts w:ascii="Times New Roman" w:eastAsia="Aptos" w:hAnsi="Times New Roman" w:cs="Times New Roman"/>
          <w:kern w:val="2"/>
          <w:lang w:val="en-GB"/>
          <w14:ligatures w14:val="standardContextual"/>
        </w:rPr>
        <w:t xml:space="preserve">The Defendant is of the view that the payment of </w:t>
      </w:r>
      <w:r w:rsidRPr="000E636B">
        <w:rPr>
          <w:rFonts w:ascii="Times New Roman" w:eastAsia="Aptos" w:hAnsi="Times New Roman" w:cs="Times New Roman"/>
          <w:b/>
          <w:bCs/>
          <w:kern w:val="2"/>
          <w:lang w:val="en-GB"/>
          <w14:ligatures w14:val="standardContextual"/>
        </w:rPr>
        <w:t>USD$13 506.00 (Thirteen Thousand Five Hundred and Six United States Dollars)</w:t>
      </w:r>
      <w:r w:rsidRPr="000E636B">
        <w:rPr>
          <w:rFonts w:ascii="Times New Roman" w:eastAsia="Aptos" w:hAnsi="Times New Roman" w:cs="Times New Roman"/>
          <w:kern w:val="2"/>
          <w:lang w:val="en-GB"/>
          <w14:ligatures w14:val="standardContextual"/>
        </w:rPr>
        <w:t xml:space="preserve"> covers the full rental and rates obligation from March 2019 up to August 2023.</w:t>
      </w:r>
      <w:r w:rsidRPr="00CA4769">
        <w:rPr>
          <w:rFonts w:ascii="Times New Roman" w:eastAsia="Aptos" w:hAnsi="Times New Roman" w:cs="Times New Roman"/>
          <w:kern w:val="2"/>
          <w:lang w:val="en-GB"/>
          <w14:ligatures w14:val="standardContextual"/>
        </w:rPr>
        <w:t xml:space="preserve"> </w:t>
      </w:r>
      <w:r w:rsidRPr="000E636B">
        <w:rPr>
          <w:rFonts w:ascii="Times New Roman" w:eastAsia="Aptos" w:hAnsi="Times New Roman" w:cs="Times New Roman"/>
          <w:kern w:val="2"/>
          <w:u w:val="single"/>
          <w:lang w:val="en-GB"/>
          <w14:ligatures w14:val="standardContextual"/>
        </w:rPr>
        <w:t xml:space="preserve">A detailed statement of account indicating the amounts due and the amounts attached and marked </w:t>
      </w:r>
      <w:r w:rsidRPr="000E636B">
        <w:rPr>
          <w:rFonts w:ascii="Times New Roman" w:eastAsia="Aptos" w:hAnsi="Times New Roman" w:cs="Times New Roman"/>
          <w:b/>
          <w:bCs/>
          <w:kern w:val="2"/>
          <w:u w:val="single"/>
          <w:lang w:val="en-GB"/>
          <w14:ligatures w14:val="standardContextual"/>
        </w:rPr>
        <w:t>Annexure A.</w:t>
      </w:r>
    </w:p>
    <w:p w14:paraId="37F7196C" w14:textId="77777777" w:rsidR="00CA4769" w:rsidRPr="00CA4769" w:rsidRDefault="00CA4769" w:rsidP="00CA4769">
      <w:pPr>
        <w:spacing w:line="360" w:lineRule="auto"/>
        <w:ind w:left="720"/>
        <w:contextualSpacing/>
        <w:jc w:val="both"/>
        <w:rPr>
          <w:rFonts w:ascii="Times New Roman" w:eastAsia="Aptos" w:hAnsi="Times New Roman" w:cs="Times New Roman"/>
          <w:kern w:val="2"/>
          <w:sz w:val="24"/>
          <w:szCs w:val="24"/>
          <w:lang w:val="en-GB"/>
          <w14:ligatures w14:val="standardContextual"/>
        </w:rPr>
      </w:pPr>
    </w:p>
    <w:p w14:paraId="477E06B0" w14:textId="77745435" w:rsidR="00CA4769" w:rsidRPr="00193F03" w:rsidRDefault="00CA4769" w:rsidP="00193F03">
      <w:pPr>
        <w:spacing w:line="360" w:lineRule="auto"/>
        <w:ind w:left="851"/>
        <w:contextualSpacing/>
        <w:jc w:val="both"/>
        <w:rPr>
          <w:rFonts w:ascii="Times New Roman" w:eastAsia="Aptos" w:hAnsi="Times New Roman" w:cs="Times New Roman"/>
          <w:b/>
          <w:bCs/>
          <w:kern w:val="2"/>
          <w:sz w:val="20"/>
          <w:szCs w:val="20"/>
          <w:lang w:val="en-GB"/>
          <w14:ligatures w14:val="standardContextual"/>
        </w:rPr>
      </w:pPr>
      <w:r w:rsidRPr="00193F03">
        <w:rPr>
          <w:rFonts w:ascii="Times New Roman" w:eastAsia="Aptos" w:hAnsi="Times New Roman" w:cs="Times New Roman"/>
          <w:kern w:val="2"/>
          <w:sz w:val="20"/>
          <w:szCs w:val="20"/>
          <w:u w:val="single"/>
          <w:lang w:val="en-GB"/>
          <w14:ligatures w14:val="standardContextual"/>
        </w:rPr>
        <w:t xml:space="preserve">ISSUES IN DISPUTE </w:t>
      </w:r>
    </w:p>
    <w:p w14:paraId="48D3757D" w14:textId="77777777" w:rsidR="00CA4769" w:rsidRPr="00CA4769" w:rsidRDefault="00CA4769" w:rsidP="00CA4769">
      <w:pPr>
        <w:spacing w:line="360" w:lineRule="auto"/>
        <w:ind w:left="720"/>
        <w:contextualSpacing/>
        <w:jc w:val="both"/>
        <w:rPr>
          <w:rFonts w:ascii="Times New Roman" w:eastAsia="Aptos" w:hAnsi="Times New Roman" w:cs="Times New Roman"/>
          <w:b/>
          <w:bCs/>
          <w:kern w:val="2"/>
          <w:sz w:val="24"/>
          <w:szCs w:val="24"/>
          <w:lang w:val="en-GB"/>
          <w14:ligatures w14:val="standardContextual"/>
        </w:rPr>
      </w:pPr>
    </w:p>
    <w:p w14:paraId="734F174C" w14:textId="77777777" w:rsidR="00CA4769" w:rsidRPr="00CA4769" w:rsidRDefault="00CA4769" w:rsidP="00CA4769">
      <w:pPr>
        <w:pStyle w:val="ListParagraph"/>
        <w:numPr>
          <w:ilvl w:val="0"/>
          <w:numId w:val="4"/>
        </w:numPr>
        <w:spacing w:line="360" w:lineRule="auto"/>
        <w:jc w:val="both"/>
        <w:rPr>
          <w:rFonts w:ascii="Times New Roman" w:eastAsia="Aptos" w:hAnsi="Times New Roman" w:cs="Times New Roman"/>
          <w:kern w:val="2"/>
          <w:sz w:val="24"/>
          <w:szCs w:val="24"/>
          <w:lang w:val="en-GB"/>
          <w14:ligatures w14:val="standardContextual"/>
        </w:rPr>
      </w:pPr>
      <w:r w:rsidRPr="00CA4769">
        <w:rPr>
          <w:rFonts w:ascii="Times New Roman" w:eastAsia="Aptos" w:hAnsi="Times New Roman" w:cs="Times New Roman"/>
          <w:kern w:val="2"/>
          <w:sz w:val="24"/>
          <w:szCs w:val="24"/>
          <w:lang w:val="en-GB"/>
          <w14:ligatures w14:val="standardContextual"/>
        </w:rPr>
        <w:t>Whether or not the Defendant’s rental obligation was converted to RTGS at the rate of one as to one by operation of Statutory Instrument 33 of 2019,</w:t>
      </w:r>
    </w:p>
    <w:p w14:paraId="50FC2630" w14:textId="77777777" w:rsidR="00CA4769" w:rsidRPr="00CA4769" w:rsidRDefault="00CA4769" w:rsidP="00CA4769">
      <w:pPr>
        <w:spacing w:line="360" w:lineRule="auto"/>
        <w:contextualSpacing/>
        <w:jc w:val="both"/>
        <w:rPr>
          <w:rFonts w:ascii="Times New Roman" w:eastAsia="Aptos" w:hAnsi="Times New Roman" w:cs="Times New Roman"/>
          <w:kern w:val="2"/>
          <w:sz w:val="24"/>
          <w:szCs w:val="24"/>
          <w:lang w:val="en-GB"/>
          <w14:ligatures w14:val="standardContextual"/>
        </w:rPr>
      </w:pPr>
    </w:p>
    <w:p w14:paraId="23F40F98" w14:textId="0305D195" w:rsidR="00CA4769" w:rsidRDefault="00CA4769">
      <w:pPr>
        <w:pStyle w:val="ListParagraph"/>
        <w:numPr>
          <w:ilvl w:val="0"/>
          <w:numId w:val="4"/>
        </w:numPr>
        <w:spacing w:line="360" w:lineRule="auto"/>
        <w:jc w:val="both"/>
        <w:rPr>
          <w:rFonts w:ascii="Times New Roman" w:eastAsia="Aptos" w:hAnsi="Times New Roman" w:cs="Times New Roman"/>
          <w:kern w:val="2"/>
          <w:sz w:val="24"/>
          <w:szCs w:val="24"/>
          <w:lang w:val="en-GB"/>
          <w14:ligatures w14:val="standardContextual"/>
        </w:rPr>
      </w:pPr>
      <w:r w:rsidRPr="008F276F">
        <w:rPr>
          <w:rFonts w:ascii="Times New Roman" w:eastAsia="Aptos" w:hAnsi="Times New Roman" w:cs="Times New Roman"/>
          <w:kern w:val="2"/>
          <w:sz w:val="24"/>
          <w:szCs w:val="24"/>
          <w:lang w:val="en-GB"/>
          <w14:ligatures w14:val="standardContextual"/>
        </w:rPr>
        <w:t xml:space="preserve">Whether or not Defendant’s payment of </w:t>
      </w:r>
      <w:r w:rsidRPr="008F276F">
        <w:rPr>
          <w:rFonts w:ascii="Times New Roman" w:eastAsia="Aptos" w:hAnsi="Times New Roman" w:cs="Times New Roman"/>
          <w:b/>
          <w:bCs/>
          <w:kern w:val="2"/>
          <w:sz w:val="24"/>
          <w:szCs w:val="24"/>
          <w:lang w:val="en-GB"/>
          <w14:ligatures w14:val="standardContextual"/>
        </w:rPr>
        <w:t>USD$13,506.00 (Thirteen Thousand Five Hundred and Six United States Dollars)</w:t>
      </w:r>
      <w:r w:rsidRPr="008F276F">
        <w:rPr>
          <w:rFonts w:ascii="Times New Roman" w:eastAsia="Aptos" w:hAnsi="Times New Roman" w:cs="Times New Roman"/>
          <w:kern w:val="2"/>
          <w:sz w:val="24"/>
          <w:szCs w:val="24"/>
          <w:lang w:val="en-GB"/>
          <w14:ligatures w14:val="standardContextual"/>
        </w:rPr>
        <w:t xml:space="preserve"> covers the full rental and rates obligation from March 2019 up to August 2023.</w:t>
      </w:r>
    </w:p>
    <w:p w14:paraId="212732AB" w14:textId="77777777" w:rsidR="000F2070" w:rsidRPr="000F2070" w:rsidRDefault="000F2070" w:rsidP="000F2070">
      <w:pPr>
        <w:pStyle w:val="ListParagraph"/>
        <w:rPr>
          <w:rFonts w:ascii="Times New Roman" w:eastAsia="Aptos" w:hAnsi="Times New Roman" w:cs="Times New Roman"/>
          <w:kern w:val="2"/>
          <w:sz w:val="24"/>
          <w:szCs w:val="24"/>
          <w:lang w:val="en-GB"/>
          <w14:ligatures w14:val="standardContextual"/>
        </w:rPr>
      </w:pPr>
    </w:p>
    <w:p w14:paraId="53989F61" w14:textId="6F5F3DE5" w:rsidR="000F2070" w:rsidRPr="000F2070" w:rsidRDefault="000F2070" w:rsidP="000F2070">
      <w:pPr>
        <w:spacing w:line="360" w:lineRule="auto"/>
        <w:jc w:val="both"/>
        <w:rPr>
          <w:rFonts w:ascii="Times New Roman" w:eastAsia="Aptos" w:hAnsi="Times New Roman" w:cs="Times New Roman"/>
          <w:kern w:val="2"/>
          <w:sz w:val="24"/>
          <w:szCs w:val="24"/>
          <w:lang w:val="en-GB"/>
          <w14:ligatures w14:val="standardContextual"/>
        </w:rPr>
      </w:pPr>
      <w:r>
        <w:rPr>
          <w:rFonts w:ascii="Times New Roman" w:eastAsia="Aptos" w:hAnsi="Times New Roman" w:cs="Times New Roman"/>
          <w:kern w:val="2"/>
          <w:sz w:val="24"/>
          <w:szCs w:val="24"/>
          <w:lang w:val="en-GB"/>
          <w14:ligatures w14:val="standardContextual"/>
        </w:rPr>
        <w:lastRenderedPageBreak/>
        <w:t xml:space="preserve">[3] I draw attention to the underlined </w:t>
      </w:r>
      <w:r w:rsidR="00883373">
        <w:rPr>
          <w:rFonts w:ascii="Times New Roman" w:eastAsia="Aptos" w:hAnsi="Times New Roman" w:cs="Times New Roman"/>
          <w:kern w:val="2"/>
          <w:sz w:val="24"/>
          <w:szCs w:val="24"/>
          <w:lang w:val="en-GB"/>
          <w14:ligatures w14:val="standardContextual"/>
        </w:rPr>
        <w:t>portions</w:t>
      </w:r>
      <w:r>
        <w:rPr>
          <w:rFonts w:ascii="Times New Roman" w:eastAsia="Aptos" w:hAnsi="Times New Roman" w:cs="Times New Roman"/>
          <w:kern w:val="2"/>
          <w:sz w:val="24"/>
          <w:szCs w:val="24"/>
          <w:lang w:val="en-GB"/>
          <w14:ligatures w14:val="standardContextual"/>
        </w:rPr>
        <w:t xml:space="preserve"> of the statement of agreed facts to which I will shortly return after examining the arguments submitted herein.</w:t>
      </w:r>
    </w:p>
    <w:p w14:paraId="091F8395" w14:textId="794A6A19" w:rsidR="00CA4769" w:rsidRDefault="00193F03" w:rsidP="00CA4769">
      <w:pPr>
        <w:pStyle w:val="NormalWeb"/>
        <w:spacing w:line="360" w:lineRule="auto"/>
        <w:jc w:val="both"/>
        <w:rPr>
          <w:color w:val="000000"/>
          <w:sz w:val="22"/>
          <w:szCs w:val="22"/>
          <w:lang w:val="en-GB"/>
        </w:rPr>
      </w:pPr>
      <w:r w:rsidRPr="008F276F">
        <w:rPr>
          <w:color w:val="000000"/>
          <w:sz w:val="22"/>
          <w:szCs w:val="22"/>
          <w:lang w:val="en-GB"/>
        </w:rPr>
        <w:t>ARGUMENTS BEFORE THE COURT</w:t>
      </w:r>
    </w:p>
    <w:p w14:paraId="68A1FD62" w14:textId="0EA6EBB8" w:rsidR="000F2070" w:rsidRPr="000F2070" w:rsidRDefault="000F2070" w:rsidP="00CA4769">
      <w:pPr>
        <w:pStyle w:val="NormalWeb"/>
        <w:spacing w:line="360" w:lineRule="auto"/>
        <w:jc w:val="both"/>
        <w:rPr>
          <w:i/>
          <w:iCs/>
          <w:color w:val="000000"/>
          <w:sz w:val="22"/>
          <w:szCs w:val="22"/>
          <w:lang w:val="en-GB"/>
        </w:rPr>
      </w:pPr>
      <w:r w:rsidRPr="000F2070">
        <w:rPr>
          <w:i/>
          <w:iCs/>
          <w:color w:val="000000"/>
          <w:sz w:val="22"/>
          <w:szCs w:val="22"/>
          <w:lang w:val="en-GB"/>
        </w:rPr>
        <w:t>Plaintiff`s case.</w:t>
      </w:r>
    </w:p>
    <w:p w14:paraId="2ACC8695" w14:textId="45C64A94" w:rsidR="00193F03" w:rsidRDefault="0047599E" w:rsidP="00CA4769">
      <w:pPr>
        <w:pStyle w:val="NormalWeb"/>
        <w:spacing w:line="360" w:lineRule="auto"/>
        <w:jc w:val="both"/>
      </w:pPr>
      <w:r>
        <w:rPr>
          <w:color w:val="000000"/>
          <w:lang w:val="en-GB"/>
        </w:rPr>
        <w:t>[</w:t>
      </w:r>
      <w:r w:rsidR="000F2070">
        <w:rPr>
          <w:color w:val="000000"/>
          <w:lang w:val="en-GB"/>
        </w:rPr>
        <w:t>4</w:t>
      </w:r>
      <w:r>
        <w:rPr>
          <w:color w:val="000000"/>
          <w:lang w:val="en-GB"/>
        </w:rPr>
        <w:t xml:space="preserve">] </w:t>
      </w:r>
      <w:r w:rsidR="00B922EA">
        <w:rPr>
          <w:color w:val="000000"/>
          <w:lang w:val="en-GB"/>
        </w:rPr>
        <w:t>The plaintiff</w:t>
      </w:r>
      <w:r w:rsidR="008F276F">
        <w:rPr>
          <w:color w:val="000000"/>
          <w:lang w:val="en-GB"/>
        </w:rPr>
        <w:t xml:space="preserve">`s core </w:t>
      </w:r>
      <w:r w:rsidR="00B922EA">
        <w:rPr>
          <w:color w:val="000000"/>
          <w:lang w:val="en-GB"/>
        </w:rPr>
        <w:t>argument</w:t>
      </w:r>
      <w:r w:rsidR="008F276F">
        <w:rPr>
          <w:color w:val="000000"/>
          <w:lang w:val="en-GB"/>
        </w:rPr>
        <w:t xml:space="preserve"> was that </w:t>
      </w:r>
      <w:r w:rsidR="00B922EA">
        <w:rPr>
          <w:color w:val="000000"/>
          <w:lang w:val="en-GB"/>
        </w:rPr>
        <w:t>th</w:t>
      </w:r>
      <w:r w:rsidR="00F706D3">
        <w:rPr>
          <w:color w:val="000000"/>
          <w:lang w:val="en-GB"/>
        </w:rPr>
        <w:t>e defendant’s rental</w:t>
      </w:r>
      <w:r w:rsidR="00B922EA">
        <w:rPr>
          <w:color w:val="000000"/>
          <w:lang w:val="en-GB"/>
        </w:rPr>
        <w:t xml:space="preserve"> obligations </w:t>
      </w:r>
      <w:r w:rsidR="00F706D3">
        <w:rPr>
          <w:color w:val="000000"/>
          <w:lang w:val="en-GB"/>
        </w:rPr>
        <w:t xml:space="preserve">were payable exclusively </w:t>
      </w:r>
      <w:r w:rsidR="00B922EA">
        <w:rPr>
          <w:color w:val="000000"/>
          <w:lang w:val="en-GB"/>
        </w:rPr>
        <w:t xml:space="preserve">in United States Dollars </w:t>
      </w:r>
      <w:r w:rsidR="00F706D3">
        <w:rPr>
          <w:color w:val="000000"/>
          <w:lang w:val="en-GB"/>
        </w:rPr>
        <w:t>(“</w:t>
      </w:r>
      <w:r w:rsidR="00B922EA">
        <w:rPr>
          <w:color w:val="000000"/>
          <w:lang w:val="en-GB"/>
        </w:rPr>
        <w:t xml:space="preserve">USD”). </w:t>
      </w:r>
      <w:r w:rsidR="008F276F">
        <w:rPr>
          <w:color w:val="000000"/>
          <w:lang w:val="en-GB"/>
        </w:rPr>
        <w:t>This position arose because firstly,</w:t>
      </w:r>
      <w:r w:rsidR="00EB1D5C">
        <w:rPr>
          <w:color w:val="000000"/>
          <w:lang w:val="en-GB"/>
        </w:rPr>
        <w:t xml:space="preserve"> t</w:t>
      </w:r>
      <w:r w:rsidR="00F706D3">
        <w:rPr>
          <w:color w:val="000000"/>
          <w:lang w:val="en-GB"/>
        </w:rPr>
        <w:t xml:space="preserve">he </w:t>
      </w:r>
      <w:r w:rsidR="00EB1D5C">
        <w:rPr>
          <w:color w:val="000000"/>
          <w:lang w:val="en-GB"/>
        </w:rPr>
        <w:t xml:space="preserve">rental </w:t>
      </w:r>
      <w:r w:rsidR="00F706D3">
        <w:rPr>
          <w:color w:val="000000"/>
          <w:lang w:val="en-GB"/>
        </w:rPr>
        <w:t xml:space="preserve">obligations concerned arose on 19 March </w:t>
      </w:r>
      <w:r w:rsidR="00883373">
        <w:rPr>
          <w:color w:val="000000"/>
          <w:lang w:val="en-GB"/>
        </w:rPr>
        <w:t>2019</w:t>
      </w:r>
      <w:r w:rsidR="008F276F">
        <w:rPr>
          <w:color w:val="000000"/>
          <w:lang w:val="en-GB"/>
        </w:rPr>
        <w:t>. As such</w:t>
      </w:r>
      <w:r w:rsidR="00EB1D5C">
        <w:rPr>
          <w:color w:val="000000"/>
          <w:lang w:val="en-GB"/>
        </w:rPr>
        <w:t>,</w:t>
      </w:r>
      <w:r w:rsidR="00F706D3">
        <w:rPr>
          <w:color w:val="000000"/>
          <w:lang w:val="en-GB"/>
        </w:rPr>
        <w:t xml:space="preserve"> </w:t>
      </w:r>
      <w:r w:rsidR="00883373">
        <w:rPr>
          <w:color w:val="000000"/>
          <w:lang w:val="en-GB"/>
        </w:rPr>
        <w:t xml:space="preserve">the </w:t>
      </w:r>
      <w:r w:rsidR="008F276F">
        <w:rPr>
          <w:color w:val="000000"/>
          <w:lang w:val="en-GB"/>
        </w:rPr>
        <w:t xml:space="preserve">defendant’s reliance on </w:t>
      </w:r>
      <w:r w:rsidR="00F706D3">
        <w:rPr>
          <w:color w:val="000000"/>
          <w:lang w:val="en-GB"/>
        </w:rPr>
        <w:t xml:space="preserve">the currency conversion formula </w:t>
      </w:r>
      <w:r w:rsidR="004F5DCF">
        <w:rPr>
          <w:color w:val="000000"/>
          <w:lang w:val="en-GB"/>
        </w:rPr>
        <w:t>for</w:t>
      </w:r>
      <w:r w:rsidR="00F706D3">
        <w:rPr>
          <w:color w:val="000000"/>
          <w:lang w:val="en-GB"/>
        </w:rPr>
        <w:t xml:space="preserve"> debts and obligations prescribed in </w:t>
      </w:r>
      <w:r w:rsidR="00F706D3">
        <w:t>“SI 33/19”</w:t>
      </w:r>
      <w:r w:rsidR="00F706D3">
        <w:rPr>
          <w:rStyle w:val="FootnoteReference"/>
        </w:rPr>
        <w:footnoteReference w:id="1"/>
      </w:r>
      <w:r w:rsidR="00F706D3">
        <w:t xml:space="preserve"> </w:t>
      </w:r>
      <w:r w:rsidR="008F276F">
        <w:t xml:space="preserve">was inapplicable to </w:t>
      </w:r>
      <w:r w:rsidR="00F706D3">
        <w:t>the parties` transaction.</w:t>
      </w:r>
    </w:p>
    <w:p w14:paraId="047EF52B" w14:textId="58D4DCCD" w:rsidR="00F706D3" w:rsidRDefault="00F706D3" w:rsidP="007659DE">
      <w:pPr>
        <w:autoSpaceDE w:val="0"/>
        <w:autoSpaceDN w:val="0"/>
        <w:adjustRightInd w:val="0"/>
        <w:spacing w:after="0" w:line="360" w:lineRule="auto"/>
        <w:jc w:val="both"/>
        <w:rPr>
          <w:rFonts w:ascii="Times New Roman" w:hAnsi="Times New Roman" w:cs="Times New Roman"/>
          <w:sz w:val="24"/>
          <w:szCs w:val="24"/>
        </w:rPr>
      </w:pPr>
      <w:r>
        <w:t>[</w:t>
      </w:r>
      <w:r w:rsidR="000F2070">
        <w:t>5</w:t>
      </w:r>
      <w:r w:rsidRPr="007659DE">
        <w:rPr>
          <w:rFonts w:ascii="Times New Roman" w:hAnsi="Times New Roman" w:cs="Times New Roman"/>
          <w:sz w:val="24"/>
          <w:szCs w:val="24"/>
        </w:rPr>
        <w:t xml:space="preserve">] </w:t>
      </w:r>
      <w:r w:rsidR="008F276F">
        <w:rPr>
          <w:rFonts w:ascii="Times New Roman" w:hAnsi="Times New Roman" w:cs="Times New Roman"/>
          <w:sz w:val="24"/>
          <w:szCs w:val="24"/>
        </w:rPr>
        <w:t>S</w:t>
      </w:r>
      <w:r w:rsidR="00EB1D5C">
        <w:rPr>
          <w:rFonts w:ascii="Times New Roman" w:hAnsi="Times New Roman" w:cs="Times New Roman"/>
          <w:sz w:val="24"/>
          <w:szCs w:val="24"/>
        </w:rPr>
        <w:t xml:space="preserve">imilarly, </w:t>
      </w:r>
      <w:r w:rsidRPr="007659DE">
        <w:rPr>
          <w:rFonts w:ascii="Times New Roman" w:hAnsi="Times New Roman" w:cs="Times New Roman"/>
          <w:sz w:val="24"/>
          <w:szCs w:val="24"/>
        </w:rPr>
        <w:t>the Supreme Court</w:t>
      </w:r>
      <w:r w:rsidR="008F276F">
        <w:rPr>
          <w:rFonts w:ascii="Times New Roman" w:hAnsi="Times New Roman" w:cs="Times New Roman"/>
          <w:sz w:val="24"/>
          <w:szCs w:val="24"/>
        </w:rPr>
        <w:t xml:space="preserve">, had according to plaintiff’s </w:t>
      </w:r>
      <w:r w:rsidR="00623858">
        <w:rPr>
          <w:rFonts w:ascii="Times New Roman" w:hAnsi="Times New Roman" w:cs="Times New Roman"/>
          <w:sz w:val="24"/>
          <w:szCs w:val="24"/>
        </w:rPr>
        <w:t>counsel, articulated</w:t>
      </w:r>
      <w:r w:rsidR="007659DE">
        <w:rPr>
          <w:rFonts w:ascii="Times New Roman" w:hAnsi="Times New Roman" w:cs="Times New Roman"/>
          <w:sz w:val="24"/>
          <w:szCs w:val="24"/>
        </w:rPr>
        <w:t xml:space="preserve"> SI 33/19`s </w:t>
      </w:r>
      <w:r w:rsidR="007659DE" w:rsidRPr="007659DE">
        <w:rPr>
          <w:rFonts w:ascii="Times New Roman" w:hAnsi="Times New Roman" w:cs="Times New Roman"/>
          <w:sz w:val="24"/>
          <w:szCs w:val="24"/>
        </w:rPr>
        <w:t>currency</w:t>
      </w:r>
      <w:r w:rsidRPr="007659DE">
        <w:rPr>
          <w:rFonts w:ascii="Times New Roman" w:hAnsi="Times New Roman" w:cs="Times New Roman"/>
          <w:sz w:val="24"/>
          <w:szCs w:val="24"/>
        </w:rPr>
        <w:t xml:space="preserve"> conversion formula in its decision of </w:t>
      </w:r>
      <w:r w:rsidR="007659DE" w:rsidRPr="007659DE">
        <w:rPr>
          <w:rFonts w:ascii="Times New Roman" w:hAnsi="Times New Roman" w:cs="Times New Roman"/>
          <w:i/>
          <w:iCs/>
          <w:sz w:val="24"/>
          <w:szCs w:val="24"/>
        </w:rPr>
        <w:t>Zambezi Gas (Pvt) Ltd v N. R. Barber (Pvt) Limited &amp; Ano</w:t>
      </w:r>
      <w:r w:rsidR="007659DE">
        <w:rPr>
          <w:rFonts w:ascii="Times New Roman" w:hAnsi="Times New Roman" w:cs="Times New Roman"/>
          <w:i/>
          <w:iCs/>
          <w:sz w:val="24"/>
          <w:szCs w:val="24"/>
        </w:rPr>
        <w:t xml:space="preserve">r </w:t>
      </w:r>
      <w:r w:rsidR="007659DE" w:rsidRPr="007659DE">
        <w:rPr>
          <w:rFonts w:ascii="Times New Roman" w:hAnsi="Times New Roman" w:cs="Times New Roman"/>
          <w:i/>
          <w:iCs/>
          <w:sz w:val="24"/>
          <w:szCs w:val="24"/>
        </w:rPr>
        <w:t>2020 (1) ZLR 138 (S)</w:t>
      </w:r>
      <w:r w:rsidR="007659DE">
        <w:rPr>
          <w:rFonts w:ascii="Times New Roman" w:hAnsi="Times New Roman" w:cs="Times New Roman"/>
          <w:sz w:val="24"/>
          <w:szCs w:val="24"/>
        </w:rPr>
        <w:t xml:space="preserve"> in the following passage at pages 144 D-E; -</w:t>
      </w:r>
    </w:p>
    <w:p w14:paraId="660ADA79" w14:textId="77777777" w:rsidR="007659DE" w:rsidRDefault="007659DE" w:rsidP="007659DE">
      <w:pPr>
        <w:autoSpaceDE w:val="0"/>
        <w:autoSpaceDN w:val="0"/>
        <w:adjustRightInd w:val="0"/>
        <w:spacing w:after="0" w:line="360" w:lineRule="auto"/>
        <w:jc w:val="both"/>
        <w:rPr>
          <w:rFonts w:ascii="Times New Roman" w:hAnsi="Times New Roman" w:cs="Times New Roman"/>
          <w:sz w:val="24"/>
          <w:szCs w:val="24"/>
        </w:rPr>
      </w:pPr>
    </w:p>
    <w:p w14:paraId="422AB647" w14:textId="37327DB6" w:rsidR="00193F03" w:rsidRPr="00EB1D5C" w:rsidRDefault="00EB1D5C" w:rsidP="00EB1D5C">
      <w:pPr>
        <w:autoSpaceDE w:val="0"/>
        <w:autoSpaceDN w:val="0"/>
        <w:adjustRightInd w:val="0"/>
        <w:spacing w:after="0" w:line="360" w:lineRule="auto"/>
        <w:ind w:left="851"/>
        <w:jc w:val="both"/>
        <w:rPr>
          <w:rFonts w:ascii="Times New Roman" w:hAnsi="Times New Roman" w:cs="Times New Roman"/>
          <w:color w:val="000000"/>
          <w:lang w:val="en-GB"/>
        </w:rPr>
      </w:pPr>
      <w:r w:rsidRPr="00EB1D5C">
        <w:rPr>
          <w:rFonts w:ascii="Times New Roman" w:hAnsi="Times New Roman" w:cs="Times New Roman"/>
        </w:rPr>
        <w:t xml:space="preserve">“A reading of s 4(1)(d) of S.I. 33/19 does not reveal any ambiguity in the language used by the Legislature in the expression of its intention in enacting S.I. 33/19. The purpose and object of the statute can easily be ascertained from the ordinary and grammatical meaning of the language used. 9 Judgment No. SC 3/20 Civil Appeal No. SC 437/1 9 The liabilities referred to in s 4(1) (d) of S.I. 33/19 can be in the form of judgment debts and such liabilities amount to obligations which should be settled by the judgment debtor. In interpreting s 4(1) (d), regard should be had to assets and liabilities which existed immediately before the effective date of the promulgation of S.I. 33/19. </w:t>
      </w:r>
      <w:r w:rsidRPr="00EB1D5C">
        <w:rPr>
          <w:rFonts w:ascii="Times New Roman" w:hAnsi="Times New Roman" w:cs="Times New Roman"/>
          <w:u w:val="single"/>
        </w:rPr>
        <w:t>The value of the assets and liabilities should have been expressed in United States dollars immediately before 22 February 2019 for the provisions of s 4(1)(d) of S.I. 33/19 to apply to them</w:t>
      </w:r>
      <w:r w:rsidRPr="00EB1D5C">
        <w:rPr>
          <w:rFonts w:ascii="Times New Roman" w:hAnsi="Times New Roman" w:cs="Times New Roman"/>
        </w:rPr>
        <w:t>.”</w:t>
      </w:r>
      <w:r>
        <w:rPr>
          <w:rFonts w:ascii="Times New Roman" w:hAnsi="Times New Roman" w:cs="Times New Roman"/>
        </w:rPr>
        <w:t xml:space="preserve"> [underlined for emphasis in plaintiff`s written submissions]</w:t>
      </w:r>
    </w:p>
    <w:p w14:paraId="478FACD8" w14:textId="07ECE665" w:rsidR="008F276F" w:rsidRDefault="00EB1D5C" w:rsidP="008F276F">
      <w:pPr>
        <w:autoSpaceDE w:val="0"/>
        <w:autoSpaceDN w:val="0"/>
        <w:adjustRightInd w:val="0"/>
        <w:spacing w:after="0" w:line="360" w:lineRule="auto"/>
        <w:jc w:val="both"/>
        <w:rPr>
          <w:rFonts w:ascii="Times New Roman" w:hAnsi="Times New Roman" w:cs="Times New Roman"/>
          <w:sz w:val="24"/>
          <w:szCs w:val="24"/>
        </w:rPr>
      </w:pPr>
      <w:r w:rsidRPr="008F276F">
        <w:rPr>
          <w:rFonts w:ascii="Times New Roman" w:hAnsi="Times New Roman" w:cs="Times New Roman"/>
          <w:color w:val="000000"/>
          <w:sz w:val="24"/>
          <w:szCs w:val="24"/>
        </w:rPr>
        <w:t>[</w:t>
      </w:r>
      <w:r w:rsidR="000F2070">
        <w:rPr>
          <w:rFonts w:ascii="Times New Roman" w:hAnsi="Times New Roman" w:cs="Times New Roman"/>
          <w:color w:val="000000"/>
          <w:sz w:val="24"/>
          <w:szCs w:val="24"/>
        </w:rPr>
        <w:t>6</w:t>
      </w:r>
      <w:r w:rsidRPr="008F276F">
        <w:rPr>
          <w:rFonts w:ascii="Times New Roman" w:hAnsi="Times New Roman" w:cs="Times New Roman"/>
          <w:color w:val="000000"/>
          <w:sz w:val="24"/>
          <w:szCs w:val="24"/>
        </w:rPr>
        <w:t xml:space="preserve">] </w:t>
      </w:r>
      <w:r w:rsidR="008F276F" w:rsidRPr="008F276F">
        <w:rPr>
          <w:rFonts w:ascii="Times New Roman" w:hAnsi="Times New Roman" w:cs="Times New Roman"/>
          <w:color w:val="000000"/>
          <w:sz w:val="24"/>
          <w:szCs w:val="24"/>
        </w:rPr>
        <w:t xml:space="preserve">Secondly, </w:t>
      </w:r>
      <w:r w:rsidR="004F5DCF">
        <w:rPr>
          <w:rFonts w:ascii="Times New Roman" w:hAnsi="Times New Roman" w:cs="Times New Roman"/>
          <w:color w:val="000000"/>
          <w:sz w:val="24"/>
          <w:szCs w:val="24"/>
        </w:rPr>
        <w:t xml:space="preserve">the </w:t>
      </w:r>
      <w:r w:rsidR="008F276F" w:rsidRPr="008F276F">
        <w:rPr>
          <w:rFonts w:ascii="Times New Roman" w:hAnsi="Times New Roman" w:cs="Times New Roman"/>
          <w:color w:val="000000"/>
          <w:sz w:val="24"/>
          <w:szCs w:val="24"/>
        </w:rPr>
        <w:t xml:space="preserve">plaintiff`s counsel contended that not only had the parties expressly agreed on the </w:t>
      </w:r>
      <w:r w:rsidR="008F276F" w:rsidRPr="00002AA7">
        <w:rPr>
          <w:rFonts w:ascii="Times New Roman" w:hAnsi="Times New Roman" w:cs="Times New Roman"/>
          <w:color w:val="000000"/>
        </w:rPr>
        <w:t>USD</w:t>
      </w:r>
      <w:r w:rsidR="008F276F" w:rsidRPr="008F276F">
        <w:rPr>
          <w:rFonts w:ascii="Times New Roman" w:hAnsi="Times New Roman" w:cs="Times New Roman"/>
          <w:color w:val="000000"/>
          <w:sz w:val="24"/>
          <w:szCs w:val="24"/>
        </w:rPr>
        <w:t xml:space="preserve">, as the currency of the contract, </w:t>
      </w:r>
      <w:r w:rsidR="004F5DCF">
        <w:rPr>
          <w:rFonts w:ascii="Times New Roman" w:hAnsi="Times New Roman" w:cs="Times New Roman"/>
          <w:color w:val="000000"/>
          <w:sz w:val="24"/>
          <w:szCs w:val="24"/>
        </w:rPr>
        <w:t xml:space="preserve">but </w:t>
      </w:r>
      <w:r w:rsidR="008F276F" w:rsidRPr="008F276F">
        <w:rPr>
          <w:rFonts w:ascii="Times New Roman" w:hAnsi="Times New Roman" w:cs="Times New Roman"/>
          <w:color w:val="000000"/>
          <w:sz w:val="24"/>
          <w:szCs w:val="24"/>
        </w:rPr>
        <w:t xml:space="preserve">the defendant </w:t>
      </w:r>
      <w:r w:rsidR="004F5DCF">
        <w:rPr>
          <w:rFonts w:ascii="Times New Roman" w:hAnsi="Times New Roman" w:cs="Times New Roman"/>
          <w:color w:val="000000"/>
          <w:sz w:val="24"/>
          <w:szCs w:val="24"/>
        </w:rPr>
        <w:t xml:space="preserve">had </w:t>
      </w:r>
      <w:r w:rsidR="00EB773E" w:rsidRPr="008F276F">
        <w:rPr>
          <w:rFonts w:ascii="Times New Roman" w:hAnsi="Times New Roman" w:cs="Times New Roman"/>
          <w:color w:val="000000"/>
          <w:sz w:val="24"/>
          <w:szCs w:val="24"/>
        </w:rPr>
        <w:t>itself settled</w:t>
      </w:r>
      <w:r w:rsidR="008F276F" w:rsidRPr="008F276F">
        <w:rPr>
          <w:rFonts w:ascii="Times New Roman" w:hAnsi="Times New Roman" w:cs="Times New Roman"/>
          <w:color w:val="000000"/>
          <w:sz w:val="24"/>
          <w:szCs w:val="24"/>
        </w:rPr>
        <w:t xml:space="preserve"> rentals due in that currency. </w:t>
      </w:r>
      <w:r w:rsidR="008F276F">
        <w:rPr>
          <w:rFonts w:ascii="Times New Roman" w:hAnsi="Times New Roman" w:cs="Times New Roman"/>
          <w:color w:val="000000"/>
          <w:sz w:val="24"/>
          <w:szCs w:val="24"/>
        </w:rPr>
        <w:t xml:space="preserve">Further, argued plaintiff`s </w:t>
      </w:r>
      <w:r w:rsidR="008F276F" w:rsidRPr="008F276F">
        <w:rPr>
          <w:rFonts w:ascii="Times New Roman" w:hAnsi="Times New Roman" w:cs="Times New Roman"/>
          <w:color w:val="000000"/>
          <w:sz w:val="24"/>
          <w:szCs w:val="24"/>
        </w:rPr>
        <w:t xml:space="preserve">counsel, the </w:t>
      </w:r>
      <w:r w:rsidRPr="008F276F">
        <w:rPr>
          <w:rFonts w:ascii="Times New Roman" w:hAnsi="Times New Roman" w:cs="Times New Roman"/>
          <w:color w:val="000000"/>
          <w:sz w:val="24"/>
          <w:szCs w:val="24"/>
        </w:rPr>
        <w:t xml:space="preserve">Supreme Court </w:t>
      </w:r>
      <w:r w:rsidR="008F276F" w:rsidRPr="008F276F">
        <w:rPr>
          <w:rFonts w:ascii="Times New Roman" w:hAnsi="Times New Roman" w:cs="Times New Roman"/>
          <w:color w:val="000000"/>
          <w:sz w:val="24"/>
          <w:szCs w:val="24"/>
        </w:rPr>
        <w:t>decision; -</w:t>
      </w:r>
      <w:r w:rsidR="007F59E6" w:rsidRPr="008F276F">
        <w:rPr>
          <w:rFonts w:ascii="Times New Roman" w:hAnsi="Times New Roman" w:cs="Times New Roman"/>
          <w:color w:val="000000"/>
          <w:sz w:val="24"/>
          <w:szCs w:val="24"/>
        </w:rPr>
        <w:t xml:space="preserve"> </w:t>
      </w:r>
      <w:r w:rsidR="007F59E6" w:rsidRPr="008F276F">
        <w:rPr>
          <w:rFonts w:ascii="Times New Roman" w:hAnsi="Times New Roman" w:cs="Times New Roman"/>
          <w:i/>
          <w:iCs/>
          <w:sz w:val="24"/>
          <w:szCs w:val="24"/>
        </w:rPr>
        <w:t>Breastplate Service (Pvt) Ltd</w:t>
      </w:r>
      <w:r w:rsidR="00F133D3" w:rsidRPr="008F276F">
        <w:rPr>
          <w:rFonts w:ascii="Times New Roman" w:hAnsi="Times New Roman" w:cs="Times New Roman"/>
          <w:i/>
          <w:iCs/>
          <w:sz w:val="24"/>
          <w:szCs w:val="24"/>
        </w:rPr>
        <w:t xml:space="preserve"> v</w:t>
      </w:r>
      <w:r w:rsidR="007F59E6" w:rsidRPr="008F276F">
        <w:rPr>
          <w:rFonts w:ascii="Times New Roman" w:hAnsi="Times New Roman" w:cs="Times New Roman"/>
          <w:i/>
          <w:iCs/>
          <w:sz w:val="24"/>
          <w:szCs w:val="24"/>
        </w:rPr>
        <w:t xml:space="preserve"> Cambria Africa </w:t>
      </w:r>
      <w:r w:rsidR="007F59E6" w:rsidRPr="00002AA7">
        <w:rPr>
          <w:rFonts w:ascii="Times New Roman" w:hAnsi="Times New Roman" w:cs="Times New Roman"/>
          <w:i/>
          <w:iCs/>
        </w:rPr>
        <w:t>PLC</w:t>
      </w:r>
      <w:r w:rsidR="007F59E6" w:rsidRPr="008F276F">
        <w:rPr>
          <w:rFonts w:ascii="Times New Roman" w:hAnsi="Times New Roman" w:cs="Times New Roman"/>
          <w:i/>
          <w:iCs/>
          <w:sz w:val="24"/>
          <w:szCs w:val="24"/>
        </w:rPr>
        <w:t xml:space="preserve"> </w:t>
      </w:r>
      <w:r w:rsidR="007F59E6" w:rsidRPr="008F276F">
        <w:rPr>
          <w:rFonts w:ascii="Times New Roman" w:hAnsi="Times New Roman" w:cs="Times New Roman"/>
          <w:sz w:val="24"/>
          <w:szCs w:val="24"/>
        </w:rPr>
        <w:t>SC</w:t>
      </w:r>
      <w:r w:rsidR="00F133D3" w:rsidRPr="008F276F">
        <w:rPr>
          <w:rFonts w:ascii="Times New Roman" w:hAnsi="Times New Roman" w:cs="Times New Roman"/>
          <w:sz w:val="24"/>
          <w:szCs w:val="24"/>
        </w:rPr>
        <w:t xml:space="preserve"> 2020 (2) </w:t>
      </w:r>
      <w:r w:rsidR="00F133D3" w:rsidRPr="00002AA7">
        <w:rPr>
          <w:rFonts w:ascii="Times New Roman" w:hAnsi="Times New Roman" w:cs="Times New Roman"/>
        </w:rPr>
        <w:t>ZLR</w:t>
      </w:r>
      <w:r w:rsidR="00F133D3" w:rsidRPr="008F276F">
        <w:rPr>
          <w:rFonts w:ascii="Times New Roman" w:hAnsi="Times New Roman" w:cs="Times New Roman"/>
          <w:sz w:val="24"/>
          <w:szCs w:val="24"/>
        </w:rPr>
        <w:t xml:space="preserve"> 149 (S</w:t>
      </w:r>
      <w:r w:rsidR="008F276F" w:rsidRPr="008F276F">
        <w:rPr>
          <w:rFonts w:ascii="Times New Roman" w:hAnsi="Times New Roman" w:cs="Times New Roman"/>
          <w:sz w:val="24"/>
          <w:szCs w:val="24"/>
        </w:rPr>
        <w:t xml:space="preserve">), </w:t>
      </w:r>
      <w:r w:rsidR="00623858">
        <w:rPr>
          <w:rFonts w:ascii="Times New Roman" w:hAnsi="Times New Roman" w:cs="Times New Roman"/>
          <w:sz w:val="24"/>
          <w:szCs w:val="24"/>
        </w:rPr>
        <w:t>had per</w:t>
      </w:r>
      <w:r w:rsidR="008F276F" w:rsidRPr="008F276F">
        <w:rPr>
          <w:rFonts w:ascii="Times New Roman" w:hAnsi="Times New Roman" w:cs="Times New Roman"/>
          <w:sz w:val="24"/>
          <w:szCs w:val="24"/>
        </w:rPr>
        <w:t xml:space="preserve"> </w:t>
      </w:r>
      <w:r w:rsidR="007F59E6" w:rsidRPr="00002AA7">
        <w:rPr>
          <w:rFonts w:ascii="Times New Roman" w:hAnsi="Times New Roman" w:cs="Times New Roman"/>
        </w:rPr>
        <w:t>P</w:t>
      </w:r>
      <w:r w:rsidR="008F276F" w:rsidRPr="00002AA7">
        <w:rPr>
          <w:rFonts w:ascii="Times New Roman" w:hAnsi="Times New Roman" w:cs="Times New Roman"/>
        </w:rPr>
        <w:t>ATEL JA</w:t>
      </w:r>
      <w:r w:rsidR="008F276F">
        <w:rPr>
          <w:rFonts w:ascii="Times New Roman" w:hAnsi="Times New Roman" w:cs="Times New Roman"/>
          <w:sz w:val="24"/>
          <w:szCs w:val="24"/>
        </w:rPr>
        <w:t xml:space="preserve"> (as he then was) </w:t>
      </w:r>
      <w:r w:rsidR="00623858">
        <w:rPr>
          <w:rFonts w:ascii="Times New Roman" w:hAnsi="Times New Roman" w:cs="Times New Roman"/>
          <w:sz w:val="24"/>
          <w:szCs w:val="24"/>
        </w:rPr>
        <w:t>confirmed</w:t>
      </w:r>
      <w:r w:rsidR="008F276F" w:rsidRPr="008F276F">
        <w:rPr>
          <w:rFonts w:ascii="Times New Roman" w:hAnsi="Times New Roman" w:cs="Times New Roman"/>
          <w:sz w:val="24"/>
          <w:szCs w:val="24"/>
        </w:rPr>
        <w:t xml:space="preserve"> that it was permissible for parties to resolve the question of </w:t>
      </w:r>
      <w:r w:rsidR="004F5DCF">
        <w:rPr>
          <w:rFonts w:ascii="Times New Roman" w:hAnsi="Times New Roman" w:cs="Times New Roman"/>
          <w:sz w:val="24"/>
          <w:szCs w:val="24"/>
        </w:rPr>
        <w:t xml:space="preserve">the </w:t>
      </w:r>
      <w:r w:rsidR="008F276F" w:rsidRPr="008F276F">
        <w:rPr>
          <w:rFonts w:ascii="Times New Roman" w:hAnsi="Times New Roman" w:cs="Times New Roman"/>
          <w:sz w:val="24"/>
          <w:szCs w:val="24"/>
        </w:rPr>
        <w:t>applicable currency via contractual terms.</w:t>
      </w:r>
    </w:p>
    <w:p w14:paraId="04F1095C" w14:textId="77777777" w:rsidR="000F2070" w:rsidRDefault="000F2070" w:rsidP="008F276F">
      <w:pPr>
        <w:autoSpaceDE w:val="0"/>
        <w:autoSpaceDN w:val="0"/>
        <w:adjustRightInd w:val="0"/>
        <w:spacing w:after="0" w:line="360" w:lineRule="auto"/>
        <w:jc w:val="both"/>
        <w:rPr>
          <w:rFonts w:ascii="Times New Roman" w:hAnsi="Times New Roman" w:cs="Times New Roman"/>
          <w:sz w:val="24"/>
          <w:szCs w:val="24"/>
        </w:rPr>
      </w:pPr>
    </w:p>
    <w:p w14:paraId="70770B11" w14:textId="56E43BCD" w:rsidR="000F2070" w:rsidRPr="000F2070" w:rsidRDefault="000F2070" w:rsidP="008F276F">
      <w:pPr>
        <w:autoSpaceDE w:val="0"/>
        <w:autoSpaceDN w:val="0"/>
        <w:adjustRightInd w:val="0"/>
        <w:spacing w:after="0" w:line="360" w:lineRule="auto"/>
        <w:jc w:val="both"/>
        <w:rPr>
          <w:rFonts w:ascii="Times New Roman" w:hAnsi="Times New Roman" w:cs="Times New Roman"/>
          <w:i/>
          <w:iCs/>
          <w:color w:val="000000"/>
          <w:sz w:val="24"/>
          <w:szCs w:val="24"/>
        </w:rPr>
      </w:pPr>
      <w:r w:rsidRPr="000F2070">
        <w:rPr>
          <w:rFonts w:ascii="Times New Roman" w:hAnsi="Times New Roman" w:cs="Times New Roman"/>
          <w:i/>
          <w:iCs/>
          <w:sz w:val="24"/>
          <w:szCs w:val="24"/>
        </w:rPr>
        <w:t>Defendant`s case.</w:t>
      </w:r>
    </w:p>
    <w:p w14:paraId="0B27E4F6" w14:textId="13019A16" w:rsidR="00C524B7" w:rsidRDefault="000F2070" w:rsidP="00CA4769">
      <w:pPr>
        <w:pStyle w:val="NormalWeb"/>
        <w:spacing w:line="360" w:lineRule="auto"/>
        <w:jc w:val="both"/>
        <w:rPr>
          <w:color w:val="000000"/>
        </w:rPr>
      </w:pPr>
      <w:r>
        <w:rPr>
          <w:color w:val="000000"/>
        </w:rPr>
        <w:t xml:space="preserve">[7] In the written submissions filed on its behalf, the defendant oscillated between legal and factual arguments which have a bearing on the outcome of this matter as discussed further hereunder. In essence, the defendant`s counsel contended that firstly, the parties` </w:t>
      </w:r>
      <w:r w:rsidR="00C524B7">
        <w:rPr>
          <w:color w:val="000000"/>
        </w:rPr>
        <w:t xml:space="preserve">lease agreement predated </w:t>
      </w:r>
      <w:r>
        <w:rPr>
          <w:color w:val="000000"/>
        </w:rPr>
        <w:t>SI 33/</w:t>
      </w:r>
      <w:r w:rsidR="00C524B7">
        <w:rPr>
          <w:color w:val="000000"/>
        </w:rPr>
        <w:t>19. The argument, as I understood it was that rentals due were a receivable or</w:t>
      </w:r>
      <w:r w:rsidR="000B5602">
        <w:rPr>
          <w:color w:val="000000"/>
        </w:rPr>
        <w:t xml:space="preserve"> an</w:t>
      </w:r>
      <w:r w:rsidR="00C524B7">
        <w:rPr>
          <w:color w:val="000000"/>
        </w:rPr>
        <w:t xml:space="preserve"> asset in the books of the plaintiff. The same value </w:t>
      </w:r>
      <w:r w:rsidR="006A405F">
        <w:rPr>
          <w:color w:val="000000"/>
        </w:rPr>
        <w:t>constituted</w:t>
      </w:r>
      <w:r w:rsidR="00C524B7">
        <w:rPr>
          <w:color w:val="000000"/>
        </w:rPr>
        <w:t xml:space="preserve"> a corresponding obligation or liability in the lessor/debtor/defendant`s books.</w:t>
      </w:r>
    </w:p>
    <w:p w14:paraId="51BEE727" w14:textId="74E55928" w:rsidR="00C524B7" w:rsidRDefault="00C524B7" w:rsidP="00CA4769">
      <w:pPr>
        <w:pStyle w:val="NormalWeb"/>
        <w:spacing w:line="360" w:lineRule="auto"/>
        <w:jc w:val="both"/>
        <w:rPr>
          <w:color w:val="000000"/>
        </w:rPr>
      </w:pPr>
      <w:r>
        <w:rPr>
          <w:color w:val="000000"/>
        </w:rPr>
        <w:t>[8] In that regard, as at the “effective date” of SI 33/19, the lease agreement had generated obligations or liabilities on one hand, and</w:t>
      </w:r>
      <w:r w:rsidR="0042716E">
        <w:rPr>
          <w:color w:val="000000"/>
        </w:rPr>
        <w:t xml:space="preserve"> a </w:t>
      </w:r>
      <w:r w:rsidR="00EB773E">
        <w:rPr>
          <w:color w:val="000000"/>
        </w:rPr>
        <w:t>corresponding asset</w:t>
      </w:r>
      <w:r>
        <w:rPr>
          <w:color w:val="000000"/>
        </w:rPr>
        <w:t xml:space="preserve"> on the other. Whether viewed as an asset or </w:t>
      </w:r>
      <w:r w:rsidR="0042716E">
        <w:rPr>
          <w:color w:val="000000"/>
        </w:rPr>
        <w:t xml:space="preserve">a </w:t>
      </w:r>
      <w:r>
        <w:rPr>
          <w:color w:val="000000"/>
        </w:rPr>
        <w:t xml:space="preserve">liability, the USD denominated rentals due to </w:t>
      </w:r>
      <w:r w:rsidR="0042716E">
        <w:rPr>
          <w:color w:val="000000"/>
        </w:rPr>
        <w:t xml:space="preserve">the </w:t>
      </w:r>
      <w:r>
        <w:rPr>
          <w:color w:val="000000"/>
        </w:rPr>
        <w:t>plaintiff by</w:t>
      </w:r>
      <w:r w:rsidR="0042716E">
        <w:rPr>
          <w:color w:val="000000"/>
        </w:rPr>
        <w:t xml:space="preserve"> the</w:t>
      </w:r>
      <w:r>
        <w:rPr>
          <w:color w:val="000000"/>
        </w:rPr>
        <w:t xml:space="preserve"> </w:t>
      </w:r>
      <w:r w:rsidR="00EB773E">
        <w:rPr>
          <w:color w:val="000000"/>
        </w:rPr>
        <w:t>defendant were</w:t>
      </w:r>
      <w:r>
        <w:rPr>
          <w:color w:val="000000"/>
        </w:rPr>
        <w:t xml:space="preserve"> converted to local currency by operation of law at the rate of 1:to1 per SI 33/19.Consequently, the amount of US$13,506.00 paid by </w:t>
      </w:r>
      <w:r w:rsidR="0042716E">
        <w:rPr>
          <w:color w:val="000000"/>
        </w:rPr>
        <w:t xml:space="preserve">the </w:t>
      </w:r>
      <w:r>
        <w:rPr>
          <w:color w:val="000000"/>
        </w:rPr>
        <w:t xml:space="preserve">defendant extinguished its entire obligation to </w:t>
      </w:r>
      <w:r w:rsidR="0042716E">
        <w:rPr>
          <w:color w:val="000000"/>
        </w:rPr>
        <w:t xml:space="preserve">the </w:t>
      </w:r>
      <w:r>
        <w:rPr>
          <w:color w:val="000000"/>
        </w:rPr>
        <w:t>plaintiff.</w:t>
      </w:r>
    </w:p>
    <w:p w14:paraId="568E3DB5" w14:textId="5B232C50" w:rsidR="00CA4769" w:rsidRDefault="00C524B7" w:rsidP="00CA4769">
      <w:pPr>
        <w:pStyle w:val="NormalWeb"/>
        <w:spacing w:line="360" w:lineRule="auto"/>
        <w:jc w:val="both"/>
        <w:rPr>
          <w:color w:val="000000"/>
        </w:rPr>
      </w:pPr>
      <w:r>
        <w:rPr>
          <w:color w:val="000000"/>
        </w:rPr>
        <w:t xml:space="preserve">[9] The second part of </w:t>
      </w:r>
      <w:r w:rsidR="00E64DC5">
        <w:rPr>
          <w:color w:val="000000"/>
        </w:rPr>
        <w:t xml:space="preserve">the </w:t>
      </w:r>
      <w:r w:rsidR="004A3449">
        <w:rPr>
          <w:color w:val="000000"/>
        </w:rPr>
        <w:t xml:space="preserve">plaintiff`s </w:t>
      </w:r>
      <w:r>
        <w:rPr>
          <w:color w:val="000000"/>
        </w:rPr>
        <w:t xml:space="preserve">argument was that </w:t>
      </w:r>
      <w:r w:rsidR="004A3449">
        <w:rPr>
          <w:color w:val="000000"/>
        </w:rPr>
        <w:t xml:space="preserve">in any event, SI 33/19 was </w:t>
      </w:r>
      <w:r w:rsidR="002334BC">
        <w:rPr>
          <w:color w:val="000000"/>
        </w:rPr>
        <w:t>confirmed by ss 22 and 23 of the Finance Act (</w:t>
      </w:r>
      <w:r w:rsidR="00E64DC5">
        <w:rPr>
          <w:color w:val="000000"/>
        </w:rPr>
        <w:t>No.</w:t>
      </w:r>
      <w:r w:rsidR="002334BC">
        <w:rPr>
          <w:color w:val="000000"/>
        </w:rPr>
        <w:t xml:space="preserve"> 2) of 2019 promulgated on 21 August 2019. This piece of legislation reiterated </w:t>
      </w:r>
      <w:r w:rsidR="00EB773E">
        <w:rPr>
          <w:color w:val="000000"/>
        </w:rPr>
        <w:t>that obligations</w:t>
      </w:r>
      <w:r w:rsidR="002334BC">
        <w:rPr>
          <w:color w:val="000000"/>
        </w:rPr>
        <w:t xml:space="preserve"> such as those under consideration were converted into local (</w:t>
      </w:r>
      <w:r w:rsidR="002334BC" w:rsidRPr="00E95041">
        <w:rPr>
          <w:color w:val="000000"/>
          <w:sz w:val="22"/>
          <w:szCs w:val="22"/>
        </w:rPr>
        <w:t>RTGS</w:t>
      </w:r>
      <w:r w:rsidR="002334BC">
        <w:rPr>
          <w:color w:val="000000"/>
        </w:rPr>
        <w:t xml:space="preserve">) currency at the rate of one </w:t>
      </w:r>
      <w:r w:rsidR="002334BC" w:rsidRPr="00E95041">
        <w:rPr>
          <w:color w:val="000000"/>
          <w:sz w:val="22"/>
          <w:szCs w:val="22"/>
        </w:rPr>
        <w:t xml:space="preserve">USD </w:t>
      </w:r>
      <w:r w:rsidR="002334BC">
        <w:rPr>
          <w:color w:val="000000"/>
        </w:rPr>
        <w:t xml:space="preserve">to one </w:t>
      </w:r>
      <w:r w:rsidR="002334BC" w:rsidRPr="00E95041">
        <w:rPr>
          <w:color w:val="000000"/>
          <w:sz w:val="22"/>
          <w:szCs w:val="22"/>
        </w:rPr>
        <w:t>RTGS</w:t>
      </w:r>
      <w:r w:rsidR="002334BC">
        <w:rPr>
          <w:color w:val="000000"/>
        </w:rPr>
        <w:t xml:space="preserve"> dollar.</w:t>
      </w:r>
    </w:p>
    <w:p w14:paraId="0738D172" w14:textId="59ACA32B" w:rsidR="002334BC" w:rsidRPr="00E95041" w:rsidRDefault="002334BC" w:rsidP="00CA4769">
      <w:pPr>
        <w:pStyle w:val="NormalWeb"/>
        <w:spacing w:line="360" w:lineRule="auto"/>
        <w:jc w:val="both"/>
        <w:rPr>
          <w:color w:val="000000"/>
          <w:sz w:val="22"/>
          <w:szCs w:val="22"/>
        </w:rPr>
      </w:pPr>
      <w:r w:rsidRPr="00E95041">
        <w:rPr>
          <w:color w:val="000000"/>
          <w:sz w:val="22"/>
          <w:szCs w:val="22"/>
        </w:rPr>
        <w:t>ANALYSIS OF THE ARGUMENT</w:t>
      </w:r>
      <w:r w:rsidR="00EB773E">
        <w:rPr>
          <w:color w:val="000000"/>
          <w:sz w:val="22"/>
          <w:szCs w:val="22"/>
        </w:rPr>
        <w:t>S</w:t>
      </w:r>
    </w:p>
    <w:p w14:paraId="12971688" w14:textId="5A7F9432" w:rsidR="002334BC" w:rsidRPr="00E95041" w:rsidRDefault="002334BC" w:rsidP="00CA4769">
      <w:pPr>
        <w:pStyle w:val="NormalWeb"/>
        <w:spacing w:line="360" w:lineRule="auto"/>
        <w:jc w:val="both"/>
        <w:rPr>
          <w:i/>
          <w:iCs/>
          <w:color w:val="000000"/>
        </w:rPr>
      </w:pPr>
      <w:r w:rsidRPr="00E95041">
        <w:rPr>
          <w:i/>
          <w:iCs/>
          <w:color w:val="000000"/>
        </w:rPr>
        <w:t>The law</w:t>
      </w:r>
      <w:r w:rsidR="00B72E05" w:rsidRPr="00E95041">
        <w:rPr>
          <w:i/>
          <w:iCs/>
          <w:color w:val="000000"/>
        </w:rPr>
        <w:t xml:space="preserve"> on stated cases </w:t>
      </w:r>
    </w:p>
    <w:p w14:paraId="22E02BF6" w14:textId="0683E747" w:rsidR="00504CC1" w:rsidRDefault="002334BC" w:rsidP="00CA4769">
      <w:pPr>
        <w:pStyle w:val="NormalWeb"/>
        <w:spacing w:line="360" w:lineRule="auto"/>
        <w:jc w:val="both"/>
        <w:rPr>
          <w:color w:val="000000"/>
          <w:lang w:val="en-GB"/>
        </w:rPr>
      </w:pPr>
      <w:r>
        <w:rPr>
          <w:color w:val="000000"/>
        </w:rPr>
        <w:t xml:space="preserve">[10] </w:t>
      </w:r>
      <w:r w:rsidR="00B62A77" w:rsidRPr="00BC0BF9">
        <w:rPr>
          <w:color w:val="000000"/>
          <w:lang w:val="en-GB"/>
        </w:rPr>
        <w:t xml:space="preserve">The established authorities on the subject issue the useful guidance on what stated cases </w:t>
      </w:r>
      <w:r w:rsidR="00B62A77">
        <w:rPr>
          <w:color w:val="000000"/>
          <w:lang w:val="en-GB"/>
        </w:rPr>
        <w:t xml:space="preserve">inasmuch as they also distinguish </w:t>
      </w:r>
      <w:r w:rsidR="00B62A77" w:rsidRPr="00BC0BF9">
        <w:rPr>
          <w:color w:val="000000"/>
          <w:lang w:val="en-GB"/>
        </w:rPr>
        <w:t>what stated cases are</w:t>
      </w:r>
      <w:r w:rsidR="00B62A77">
        <w:rPr>
          <w:color w:val="000000"/>
          <w:lang w:val="en-GB"/>
        </w:rPr>
        <w:t xml:space="preserve"> NOT.</w:t>
      </w:r>
      <w:r w:rsidR="00B62A77" w:rsidRPr="00BC0BF9">
        <w:rPr>
          <w:color w:val="000000"/>
          <w:lang w:val="en-GB"/>
        </w:rPr>
        <w:t xml:space="preserve"> </w:t>
      </w:r>
      <w:r w:rsidR="00B62A77">
        <w:rPr>
          <w:color w:val="000000"/>
          <w:lang w:val="en-GB"/>
        </w:rPr>
        <w:t xml:space="preserve">Such distinction </w:t>
      </w:r>
      <w:r w:rsidR="00376A31">
        <w:rPr>
          <w:color w:val="000000"/>
          <w:lang w:val="en-GB"/>
        </w:rPr>
        <w:t>is</w:t>
      </w:r>
      <w:r w:rsidR="00B62A77">
        <w:rPr>
          <w:color w:val="000000"/>
          <w:lang w:val="en-GB"/>
        </w:rPr>
        <w:t xml:space="preserve"> critical. There </w:t>
      </w:r>
      <w:r w:rsidR="00376A31">
        <w:rPr>
          <w:color w:val="000000"/>
          <w:lang w:val="en-GB"/>
        </w:rPr>
        <w:t>is,</w:t>
      </w:r>
      <w:r w:rsidR="00B62A77">
        <w:rPr>
          <w:color w:val="000000"/>
          <w:lang w:val="en-GB"/>
        </w:rPr>
        <w:t xml:space="preserve"> after all, </w:t>
      </w:r>
      <w:r w:rsidR="00376A31">
        <w:rPr>
          <w:color w:val="000000"/>
          <w:lang w:val="en-GB"/>
        </w:rPr>
        <w:t>a purpose</w:t>
      </w:r>
      <w:r w:rsidR="00B62A77">
        <w:rPr>
          <w:color w:val="000000"/>
          <w:lang w:val="en-GB"/>
        </w:rPr>
        <w:t xml:space="preserve"> behind stated cases; -a speedy disposal of matters without resorting to </w:t>
      </w:r>
      <w:r w:rsidR="00376A31">
        <w:rPr>
          <w:color w:val="000000"/>
          <w:lang w:val="en-GB"/>
        </w:rPr>
        <w:t>trial. This</w:t>
      </w:r>
      <w:r w:rsidR="00B62A77">
        <w:rPr>
          <w:color w:val="000000"/>
          <w:lang w:val="en-GB"/>
        </w:rPr>
        <w:t xml:space="preserve"> principle must be borne in mind at all times by </w:t>
      </w:r>
      <w:r w:rsidR="00376A31">
        <w:rPr>
          <w:color w:val="000000"/>
          <w:lang w:val="en-GB"/>
        </w:rPr>
        <w:t xml:space="preserve">the court and </w:t>
      </w:r>
      <w:r w:rsidR="00E64DC5">
        <w:rPr>
          <w:color w:val="000000"/>
          <w:lang w:val="en-GB"/>
        </w:rPr>
        <w:t>the</w:t>
      </w:r>
      <w:r w:rsidR="00376A31">
        <w:rPr>
          <w:color w:val="000000"/>
          <w:lang w:val="en-GB"/>
        </w:rPr>
        <w:t xml:space="preserve"> litigants.</w:t>
      </w:r>
      <w:r w:rsidR="00B62A77">
        <w:rPr>
          <w:color w:val="000000"/>
          <w:lang w:val="en-GB"/>
        </w:rPr>
        <w:t xml:space="preserve"> </w:t>
      </w:r>
    </w:p>
    <w:p w14:paraId="0D163C64" w14:textId="0D4C4379" w:rsidR="00711AF9" w:rsidRDefault="00504CC1" w:rsidP="00CA4769">
      <w:pPr>
        <w:pStyle w:val="NormalWeb"/>
        <w:spacing w:line="360" w:lineRule="auto"/>
        <w:jc w:val="both"/>
        <w:rPr>
          <w:rFonts w:eastAsia="Calibri"/>
          <w:lang w:val="en-GB"/>
        </w:rPr>
      </w:pPr>
      <w:r>
        <w:rPr>
          <w:color w:val="000000"/>
          <w:lang w:val="en-GB"/>
        </w:rPr>
        <w:t xml:space="preserve">[11] </w:t>
      </w:r>
      <w:r w:rsidR="00B62A77">
        <w:rPr>
          <w:color w:val="000000"/>
          <w:lang w:val="en-GB"/>
        </w:rPr>
        <w:t xml:space="preserve">Such </w:t>
      </w:r>
      <w:r w:rsidR="00376A31">
        <w:rPr>
          <w:color w:val="000000"/>
          <w:lang w:val="en-GB"/>
        </w:rPr>
        <w:t>quest</w:t>
      </w:r>
      <w:r w:rsidR="00B62A77">
        <w:rPr>
          <w:color w:val="000000"/>
          <w:lang w:val="en-GB"/>
        </w:rPr>
        <w:t xml:space="preserve"> can only be attained if indeed the stated case meets the simple requirements set </w:t>
      </w:r>
      <w:r w:rsidR="00711AF9">
        <w:rPr>
          <w:color w:val="000000"/>
          <w:lang w:val="en-GB"/>
        </w:rPr>
        <w:t xml:space="preserve">out </w:t>
      </w:r>
      <w:r w:rsidR="00B62A77">
        <w:rPr>
          <w:color w:val="000000"/>
          <w:lang w:val="en-GB"/>
        </w:rPr>
        <w:t>in rule 5</w:t>
      </w:r>
      <w:r w:rsidR="000A4EAF">
        <w:rPr>
          <w:color w:val="000000"/>
          <w:lang w:val="en-GB"/>
        </w:rPr>
        <w:t>2</w:t>
      </w:r>
      <w:r w:rsidR="00B62A77">
        <w:rPr>
          <w:color w:val="000000"/>
          <w:lang w:val="en-GB"/>
        </w:rPr>
        <w:t xml:space="preserve"> of the High Court </w:t>
      </w:r>
      <w:r w:rsidR="00E64DC5">
        <w:rPr>
          <w:color w:val="000000"/>
          <w:lang w:val="en-GB"/>
        </w:rPr>
        <w:t>R</w:t>
      </w:r>
      <w:r w:rsidR="00376A31">
        <w:rPr>
          <w:color w:val="000000"/>
          <w:lang w:val="en-GB"/>
        </w:rPr>
        <w:t>ules; -</w:t>
      </w:r>
      <w:r w:rsidR="00B62A77">
        <w:rPr>
          <w:color w:val="000000"/>
          <w:lang w:val="en-GB"/>
        </w:rPr>
        <w:t xml:space="preserve"> namely, to distil the agreed facts and define the legal issues for the court’s </w:t>
      </w:r>
      <w:r w:rsidR="00711AF9">
        <w:rPr>
          <w:color w:val="000000"/>
          <w:lang w:val="en-GB"/>
        </w:rPr>
        <w:t>resolution.</w:t>
      </w:r>
      <w:r w:rsidR="00B62A77">
        <w:rPr>
          <w:color w:val="000000"/>
          <w:lang w:val="en-GB"/>
        </w:rPr>
        <w:t xml:space="preserve"> </w:t>
      </w:r>
      <w:r w:rsidR="00B62A77" w:rsidRPr="00BC0BF9">
        <w:rPr>
          <w:rFonts w:eastAsia="Calibri"/>
          <w:lang w:val="en-GB"/>
        </w:rPr>
        <w:t xml:space="preserve">In </w:t>
      </w:r>
      <w:r w:rsidR="00B62A77">
        <w:rPr>
          <w:rFonts w:eastAsia="Calibri"/>
          <w:lang w:val="en-GB"/>
        </w:rPr>
        <w:t xml:space="preserve">the result that it becomes a misdirection for a court </w:t>
      </w:r>
      <w:r w:rsidR="00B62A77">
        <w:rPr>
          <w:rFonts w:eastAsia="Calibri"/>
          <w:lang w:val="en-GB"/>
        </w:rPr>
        <w:lastRenderedPageBreak/>
        <w:t>to proceed with a matter as a stated case where such matter fails the test of what a stated case is</w:t>
      </w:r>
      <w:r w:rsidR="00711AF9">
        <w:rPr>
          <w:rFonts w:eastAsia="Calibri"/>
          <w:lang w:val="en-GB"/>
        </w:rPr>
        <w:t xml:space="preserve">. </w:t>
      </w:r>
    </w:p>
    <w:p w14:paraId="7B3E1BF9" w14:textId="3CBB9EDE" w:rsidR="00711AF9" w:rsidRPr="00504CC1" w:rsidRDefault="00504CC1" w:rsidP="00711AF9">
      <w:pPr>
        <w:spacing w:after="0" w:line="360" w:lineRule="auto"/>
        <w:jc w:val="both"/>
        <w:rPr>
          <w:rFonts w:ascii="Times New Roman" w:eastAsia="Calibri" w:hAnsi="Times New Roman" w:cs="Times New Roman"/>
          <w:sz w:val="24"/>
          <w:szCs w:val="24"/>
          <w:lang w:val="en-GB"/>
        </w:rPr>
      </w:pPr>
      <w:r w:rsidRPr="00504CC1">
        <w:rPr>
          <w:rFonts w:ascii="Times New Roman" w:eastAsia="Calibri" w:hAnsi="Times New Roman" w:cs="Times New Roman"/>
          <w:sz w:val="24"/>
          <w:szCs w:val="24"/>
          <w:lang w:val="en-GB"/>
        </w:rPr>
        <w:t xml:space="preserve">[12] </w:t>
      </w:r>
      <w:r w:rsidR="00711AF9" w:rsidRPr="00504CC1">
        <w:rPr>
          <w:rFonts w:ascii="Times New Roman" w:eastAsia="Calibri" w:hAnsi="Times New Roman" w:cs="Times New Roman"/>
          <w:sz w:val="24"/>
          <w:szCs w:val="24"/>
          <w:lang w:val="en-GB"/>
        </w:rPr>
        <w:t xml:space="preserve">A useful starting point is the Supreme Court decision </w:t>
      </w:r>
      <w:r w:rsidR="00E64DC5">
        <w:rPr>
          <w:rFonts w:ascii="Times New Roman" w:eastAsia="Calibri" w:hAnsi="Times New Roman" w:cs="Times New Roman"/>
          <w:sz w:val="24"/>
          <w:szCs w:val="24"/>
          <w:lang w:val="en-GB"/>
        </w:rPr>
        <w:t>in</w:t>
      </w:r>
      <w:r w:rsidR="00711AF9" w:rsidRPr="00504CC1">
        <w:rPr>
          <w:rFonts w:ascii="Times New Roman" w:eastAsia="Calibri" w:hAnsi="Times New Roman" w:cs="Times New Roman"/>
          <w:sz w:val="24"/>
          <w:szCs w:val="24"/>
          <w:lang w:val="en-GB"/>
        </w:rPr>
        <w:t xml:space="preserve"> </w:t>
      </w:r>
      <w:r w:rsidR="00B72E05" w:rsidRPr="00504CC1">
        <w:rPr>
          <w:rFonts w:ascii="Times New Roman" w:hAnsi="Times New Roman" w:cs="Times New Roman"/>
          <w:i/>
          <w:iCs/>
          <w:color w:val="000000"/>
          <w:sz w:val="24"/>
          <w:szCs w:val="24"/>
        </w:rPr>
        <w:t>Leathout Investments (Pvt) Ltd v Murivirimi &amp; Anor</w:t>
      </w:r>
      <w:r w:rsidR="00B72E05" w:rsidRPr="00504CC1">
        <w:rPr>
          <w:rFonts w:ascii="Times New Roman" w:hAnsi="Times New Roman" w:cs="Times New Roman"/>
          <w:color w:val="000000"/>
          <w:sz w:val="24"/>
          <w:szCs w:val="24"/>
        </w:rPr>
        <w:t xml:space="preserve"> SC  </w:t>
      </w:r>
      <w:r w:rsidR="00E95041" w:rsidRPr="00504CC1">
        <w:rPr>
          <w:rFonts w:ascii="Times New Roman" w:hAnsi="Times New Roman" w:cs="Times New Roman"/>
          <w:color w:val="000000"/>
          <w:sz w:val="24"/>
          <w:szCs w:val="24"/>
        </w:rPr>
        <w:t xml:space="preserve">60-21, </w:t>
      </w:r>
      <w:r w:rsidR="00711AF9" w:rsidRPr="00504CC1">
        <w:rPr>
          <w:rFonts w:ascii="Times New Roman" w:hAnsi="Times New Roman" w:cs="Times New Roman"/>
          <w:color w:val="000000"/>
          <w:sz w:val="24"/>
          <w:szCs w:val="24"/>
        </w:rPr>
        <w:t xml:space="preserve">where </w:t>
      </w:r>
      <w:r w:rsidR="00E95041" w:rsidRPr="00504CC1">
        <w:rPr>
          <w:rFonts w:ascii="Times New Roman" w:hAnsi="Times New Roman" w:cs="Times New Roman"/>
          <w:color w:val="000000"/>
        </w:rPr>
        <w:t>GOWORA JA</w:t>
      </w:r>
      <w:r w:rsidR="00E95041" w:rsidRPr="00504CC1">
        <w:rPr>
          <w:rFonts w:ascii="Times New Roman" w:hAnsi="Times New Roman" w:cs="Times New Roman"/>
          <w:color w:val="000000"/>
          <w:sz w:val="24"/>
          <w:szCs w:val="24"/>
        </w:rPr>
        <w:t xml:space="preserve"> (as she then was) </w:t>
      </w:r>
      <w:r w:rsidR="00EB773E" w:rsidRPr="00504CC1">
        <w:rPr>
          <w:rFonts w:ascii="Times New Roman" w:hAnsi="Times New Roman" w:cs="Times New Roman"/>
          <w:color w:val="000000"/>
          <w:sz w:val="24"/>
          <w:szCs w:val="24"/>
        </w:rPr>
        <w:t>cited at</w:t>
      </w:r>
      <w:r w:rsidRPr="00504CC1">
        <w:rPr>
          <w:rFonts w:ascii="Times New Roman" w:hAnsi="Times New Roman" w:cs="Times New Roman"/>
          <w:color w:val="000000"/>
          <w:sz w:val="24"/>
          <w:szCs w:val="24"/>
        </w:rPr>
        <w:t xml:space="preserve"> page 8, the</w:t>
      </w:r>
      <w:r w:rsidR="00711AF9" w:rsidRPr="00504CC1">
        <w:rPr>
          <w:rFonts w:ascii="Times New Roman" w:hAnsi="Times New Roman" w:cs="Times New Roman"/>
          <w:color w:val="000000"/>
          <w:sz w:val="24"/>
          <w:szCs w:val="24"/>
        </w:rPr>
        <w:t xml:space="preserve"> South African Supreme Court of Appeal`s remarks in </w:t>
      </w:r>
      <w:r w:rsidR="00711AF9" w:rsidRPr="00504CC1">
        <w:rPr>
          <w:rFonts w:ascii="Times New Roman" w:eastAsia="Calibri" w:hAnsi="Times New Roman" w:cs="Times New Roman"/>
          <w:i/>
          <w:sz w:val="24"/>
          <w:szCs w:val="24"/>
          <w:lang w:val="en-GB"/>
        </w:rPr>
        <w:t>Bane v D’Ambrisio</w:t>
      </w:r>
      <w:r w:rsidR="00711AF9" w:rsidRPr="00504CC1">
        <w:rPr>
          <w:rFonts w:ascii="Times New Roman" w:eastAsia="Calibri" w:hAnsi="Times New Roman" w:cs="Times New Roman"/>
          <w:sz w:val="24"/>
          <w:szCs w:val="24"/>
          <w:lang w:val="en-GB"/>
        </w:rPr>
        <w:t xml:space="preserve"> 2010(2) SA 539 (SCA) </w:t>
      </w:r>
      <w:r w:rsidRPr="00504CC1">
        <w:rPr>
          <w:rFonts w:ascii="Times New Roman" w:eastAsia="Calibri" w:hAnsi="Times New Roman" w:cs="Times New Roman"/>
          <w:sz w:val="24"/>
          <w:szCs w:val="24"/>
          <w:lang w:val="en-GB"/>
        </w:rPr>
        <w:t xml:space="preserve">which </w:t>
      </w:r>
      <w:r w:rsidR="00711AF9" w:rsidRPr="00504CC1">
        <w:rPr>
          <w:rFonts w:ascii="Times New Roman" w:eastAsia="Calibri" w:hAnsi="Times New Roman" w:cs="Times New Roman"/>
          <w:sz w:val="24"/>
          <w:szCs w:val="24"/>
          <w:lang w:val="en-GB"/>
        </w:rPr>
        <w:t>held as follows at 543E-G; -</w:t>
      </w:r>
    </w:p>
    <w:p w14:paraId="18C42C53" w14:textId="77777777" w:rsidR="00711AF9" w:rsidRPr="00BC0BF9" w:rsidRDefault="00711AF9" w:rsidP="00711AF9">
      <w:pPr>
        <w:spacing w:after="0" w:line="360" w:lineRule="auto"/>
        <w:jc w:val="both"/>
        <w:rPr>
          <w:rFonts w:ascii="Times New Roman" w:eastAsia="Calibri" w:hAnsi="Times New Roman" w:cs="Times New Roman"/>
          <w:sz w:val="24"/>
          <w:szCs w:val="24"/>
          <w:lang w:val="en-GB"/>
        </w:rPr>
      </w:pPr>
    </w:p>
    <w:p w14:paraId="6C255D0B" w14:textId="58651EB1" w:rsidR="00504CC1" w:rsidRPr="00504CC1" w:rsidRDefault="00711AF9" w:rsidP="00711AF9">
      <w:pPr>
        <w:spacing w:after="0" w:line="360" w:lineRule="auto"/>
        <w:ind w:left="851"/>
        <w:jc w:val="both"/>
        <w:rPr>
          <w:rFonts w:ascii="Times New Roman" w:eastAsia="Calibri" w:hAnsi="Times New Roman" w:cs="Times New Roman"/>
          <w:b/>
          <w:bCs/>
          <w:sz w:val="24"/>
          <w:szCs w:val="24"/>
          <w:u w:val="single"/>
          <w:lang w:val="en-GB"/>
        </w:rPr>
      </w:pPr>
      <w:r w:rsidRPr="00BC0BF9">
        <w:rPr>
          <w:rFonts w:ascii="Times New Roman" w:eastAsia="Calibri" w:hAnsi="Times New Roman" w:cs="Times New Roman"/>
          <w:sz w:val="20"/>
          <w:szCs w:val="20"/>
          <w:lang w:val="en-GB"/>
        </w:rPr>
        <w:t xml:space="preserve">“Rules 33(1) and 33(2) make it clear that the resolution of </w:t>
      </w:r>
      <w:r w:rsidRPr="00504CC1">
        <w:rPr>
          <w:rFonts w:ascii="Times New Roman" w:eastAsia="Calibri" w:hAnsi="Times New Roman" w:cs="Times New Roman"/>
          <w:b/>
          <w:bCs/>
          <w:sz w:val="20"/>
          <w:szCs w:val="20"/>
          <w:u w:val="single"/>
          <w:lang w:val="en-GB"/>
        </w:rPr>
        <w:t>a stated case proceeds upon the basis of a statement of agreed facts.</w:t>
      </w:r>
      <w:r w:rsidRPr="00BC0BF9">
        <w:rPr>
          <w:rFonts w:ascii="Times New Roman" w:eastAsia="Calibri" w:hAnsi="Times New Roman" w:cs="Times New Roman"/>
          <w:sz w:val="20"/>
          <w:szCs w:val="20"/>
          <w:lang w:val="en-GB"/>
        </w:rPr>
        <w:t xml:space="preserve"> </w:t>
      </w:r>
      <w:r w:rsidRPr="00504CC1">
        <w:rPr>
          <w:rFonts w:ascii="Times New Roman" w:eastAsia="Calibri" w:hAnsi="Times New Roman" w:cs="Times New Roman"/>
          <w:b/>
          <w:bCs/>
          <w:sz w:val="20"/>
          <w:szCs w:val="20"/>
          <w:u w:val="single"/>
          <w:lang w:val="en-GB"/>
        </w:rPr>
        <w:t>It is, after all, seen as a means of disposing of a case</w:t>
      </w:r>
      <w:r w:rsidRPr="00BC0BF9">
        <w:rPr>
          <w:rFonts w:ascii="Times New Roman" w:eastAsia="Calibri" w:hAnsi="Times New Roman" w:cs="Times New Roman"/>
          <w:sz w:val="20"/>
          <w:szCs w:val="20"/>
          <w:lang w:val="en-GB"/>
        </w:rPr>
        <w:t xml:space="preserve"> without the necessity of leading evidence. </w:t>
      </w:r>
      <w:r w:rsidRPr="00711AF9">
        <w:rPr>
          <w:rFonts w:ascii="Times New Roman" w:eastAsia="Calibri" w:hAnsi="Times New Roman" w:cs="Times New Roman"/>
          <w:sz w:val="20"/>
          <w:szCs w:val="20"/>
          <w:lang w:val="en-GB"/>
        </w:rPr>
        <w:t xml:space="preserve">The case drafted by the parties, with both of them reserving their positions with regard to the factual assumptions, was plainly contrary to the basic object of the rule and the procedure of asking the court to rule on issues thus defined </w:t>
      </w:r>
      <w:r w:rsidRPr="00504CC1">
        <w:rPr>
          <w:rFonts w:ascii="Times New Roman" w:eastAsia="Calibri" w:hAnsi="Times New Roman" w:cs="Times New Roman"/>
          <w:b/>
          <w:bCs/>
          <w:sz w:val="20"/>
          <w:szCs w:val="20"/>
          <w:u w:val="single"/>
          <w:lang w:val="en-GB"/>
        </w:rPr>
        <w:t xml:space="preserve">was tantamount to asking the court to give advice on possibly abstract questions.”  </w:t>
      </w:r>
    </w:p>
    <w:p w14:paraId="5B718922" w14:textId="0120F2E9" w:rsidR="002334BC" w:rsidRPr="003969AD" w:rsidRDefault="00504CC1" w:rsidP="00CA4769">
      <w:pPr>
        <w:pStyle w:val="NormalWeb"/>
        <w:spacing w:line="360" w:lineRule="auto"/>
        <w:jc w:val="both"/>
        <w:rPr>
          <w:color w:val="000000"/>
        </w:rPr>
      </w:pPr>
      <w:r w:rsidRPr="003969AD">
        <w:rPr>
          <w:color w:val="000000"/>
          <w:lang w:val="en-GB"/>
        </w:rPr>
        <w:t xml:space="preserve">[13] Further, the </w:t>
      </w:r>
      <w:r w:rsidR="003969AD" w:rsidRPr="003969AD">
        <w:rPr>
          <w:color w:val="000000"/>
          <w:lang w:val="en-GB"/>
        </w:rPr>
        <w:t>Supreme C</w:t>
      </w:r>
      <w:r w:rsidRPr="003969AD">
        <w:rPr>
          <w:color w:val="000000"/>
          <w:lang w:val="en-GB"/>
        </w:rPr>
        <w:t xml:space="preserve">ourt </w:t>
      </w:r>
      <w:r w:rsidR="00E95041" w:rsidRPr="003969AD">
        <w:rPr>
          <w:color w:val="000000"/>
        </w:rPr>
        <w:t>at pages 8-9</w:t>
      </w:r>
      <w:r w:rsidRPr="003969AD">
        <w:rPr>
          <w:color w:val="000000"/>
        </w:rPr>
        <w:t xml:space="preserve"> in </w:t>
      </w:r>
      <w:r w:rsidRPr="003969AD">
        <w:rPr>
          <w:i/>
          <w:iCs/>
          <w:color w:val="000000"/>
        </w:rPr>
        <w:t>Leathout v Muvirimi</w:t>
      </w:r>
      <w:r w:rsidR="003969AD" w:rsidRPr="003969AD">
        <w:rPr>
          <w:color w:val="000000"/>
        </w:rPr>
        <w:t xml:space="preserve"> quoted in extenso, cited its earlier guidance in </w:t>
      </w:r>
      <w:r w:rsidR="003969AD" w:rsidRPr="003969AD">
        <w:rPr>
          <w:rFonts w:eastAsia="Calibri"/>
          <w:i/>
          <w:lang w:val="en-GB"/>
        </w:rPr>
        <w:t>Kunonga v The Church of Central Africa</w:t>
      </w:r>
      <w:r w:rsidR="003969AD" w:rsidRPr="003969AD">
        <w:rPr>
          <w:rFonts w:eastAsia="Calibri"/>
          <w:lang w:val="en-GB"/>
        </w:rPr>
        <w:t xml:space="preserve"> SC 25/17. I replicate GOWORA JA`s remarks and reference to </w:t>
      </w:r>
      <w:r w:rsidR="003969AD" w:rsidRPr="000A4EAF">
        <w:rPr>
          <w:rFonts w:eastAsia="Calibri"/>
          <w:i/>
          <w:iCs/>
          <w:lang w:val="en-GB"/>
        </w:rPr>
        <w:t>Kunonga</w:t>
      </w:r>
      <w:r w:rsidR="003969AD" w:rsidRPr="003969AD">
        <w:rPr>
          <w:rFonts w:eastAsia="Calibri"/>
          <w:lang w:val="en-GB"/>
        </w:rPr>
        <w:t xml:space="preserve">, emphasising the areas marked in bold and underline; - </w:t>
      </w:r>
    </w:p>
    <w:p w14:paraId="6AEE3B09" w14:textId="77777777" w:rsidR="00E95041" w:rsidRPr="00504CC1" w:rsidRDefault="00E95041" w:rsidP="00504CC1">
      <w:pPr>
        <w:spacing w:after="0" w:line="360" w:lineRule="auto"/>
        <w:ind w:left="851"/>
        <w:jc w:val="both"/>
        <w:rPr>
          <w:rFonts w:ascii="Times New Roman" w:eastAsia="Calibri" w:hAnsi="Times New Roman" w:cs="Times New Roman"/>
          <w:sz w:val="20"/>
          <w:szCs w:val="20"/>
          <w:lang w:val="en-GB"/>
        </w:rPr>
      </w:pPr>
      <w:r w:rsidRPr="00504CC1">
        <w:rPr>
          <w:rFonts w:ascii="Times New Roman" w:hAnsi="Times New Roman" w:cs="Times New Roman"/>
          <w:color w:val="000000"/>
          <w:sz w:val="20"/>
          <w:szCs w:val="20"/>
        </w:rPr>
        <w:t>“</w:t>
      </w:r>
      <w:r w:rsidRPr="00504CC1">
        <w:rPr>
          <w:rFonts w:ascii="Times New Roman" w:eastAsia="Calibri" w:hAnsi="Times New Roman" w:cs="Times New Roman"/>
          <w:b/>
          <w:bCs/>
          <w:sz w:val="20"/>
          <w:szCs w:val="20"/>
          <w:u w:val="single"/>
          <w:lang w:val="en-GB"/>
        </w:rPr>
        <w:t>It is trite that a statement in a special case must set forth the facts agreed upon, the question of law surrounding the dispute, and the issue for determination by the court</w:t>
      </w:r>
      <w:r w:rsidRPr="00504CC1">
        <w:rPr>
          <w:rFonts w:ascii="Times New Roman" w:eastAsia="Calibri" w:hAnsi="Times New Roman" w:cs="Times New Roman"/>
          <w:sz w:val="20"/>
          <w:szCs w:val="20"/>
          <w:u w:val="single"/>
          <w:lang w:val="en-GB"/>
        </w:rPr>
        <w:t>.</w:t>
      </w:r>
      <w:r w:rsidRPr="00504CC1">
        <w:rPr>
          <w:rFonts w:ascii="Times New Roman" w:eastAsia="Calibri" w:hAnsi="Times New Roman" w:cs="Times New Roman"/>
          <w:sz w:val="20"/>
          <w:szCs w:val="20"/>
          <w:lang w:val="en-GB"/>
        </w:rPr>
        <w:t xml:space="preserve"> In this jurisdiction, the </w:t>
      </w:r>
      <w:r w:rsidRPr="00504CC1">
        <w:rPr>
          <w:rFonts w:ascii="Times New Roman" w:eastAsia="Calibri" w:hAnsi="Times New Roman" w:cs="Times New Roman"/>
          <w:i/>
          <w:sz w:val="20"/>
          <w:szCs w:val="20"/>
          <w:lang w:val="en-GB"/>
        </w:rPr>
        <w:t>locus classicus</w:t>
      </w:r>
      <w:r w:rsidRPr="00504CC1">
        <w:rPr>
          <w:rFonts w:ascii="Times New Roman" w:eastAsia="Calibri" w:hAnsi="Times New Roman" w:cs="Times New Roman"/>
          <w:sz w:val="20"/>
          <w:szCs w:val="20"/>
          <w:lang w:val="en-GB"/>
        </w:rPr>
        <w:t xml:space="preserve"> on the requisites of a stated case is </w:t>
      </w:r>
      <w:r w:rsidRPr="00504CC1">
        <w:rPr>
          <w:rFonts w:ascii="Times New Roman" w:eastAsia="Calibri" w:hAnsi="Times New Roman" w:cs="Times New Roman"/>
          <w:i/>
          <w:sz w:val="20"/>
          <w:szCs w:val="20"/>
          <w:lang w:val="en-GB"/>
        </w:rPr>
        <w:t>Kunonga v The Church of Central Africa</w:t>
      </w:r>
      <w:r w:rsidRPr="00504CC1">
        <w:rPr>
          <w:rFonts w:ascii="Times New Roman" w:eastAsia="Calibri" w:hAnsi="Times New Roman" w:cs="Times New Roman"/>
          <w:sz w:val="20"/>
          <w:szCs w:val="20"/>
          <w:lang w:val="en-GB"/>
        </w:rPr>
        <w:t xml:space="preserve"> SC 25/17. GARWE JA set out the requisites to be the following:</w:t>
      </w:r>
    </w:p>
    <w:p w14:paraId="505BC660" w14:textId="77777777" w:rsidR="00E95041" w:rsidRPr="00504CC1" w:rsidRDefault="00E95041" w:rsidP="00504CC1">
      <w:pPr>
        <w:spacing w:after="0" w:line="360" w:lineRule="auto"/>
        <w:ind w:left="851"/>
        <w:jc w:val="both"/>
        <w:rPr>
          <w:rFonts w:ascii="Times New Roman" w:eastAsia="Calibri" w:hAnsi="Times New Roman" w:cs="Times New Roman"/>
          <w:sz w:val="20"/>
          <w:szCs w:val="20"/>
          <w:lang w:val="en-GB"/>
        </w:rPr>
      </w:pPr>
      <w:r w:rsidRPr="00504CC1">
        <w:rPr>
          <w:rFonts w:ascii="Times New Roman" w:eastAsia="Calibri" w:hAnsi="Times New Roman" w:cs="Times New Roman"/>
          <w:sz w:val="20"/>
          <w:szCs w:val="20"/>
          <w:lang w:val="en-GB"/>
        </w:rPr>
        <w:t>“</w:t>
      </w:r>
      <w:r w:rsidRPr="00504CC1">
        <w:rPr>
          <w:rFonts w:ascii="Times New Roman" w:eastAsia="Calibri" w:hAnsi="Times New Roman" w:cs="Times New Roman"/>
          <w:i/>
          <w:sz w:val="20"/>
          <w:szCs w:val="20"/>
          <w:lang w:val="en-GB"/>
        </w:rPr>
        <w:t>WHAT IS A STATED CASE</w:t>
      </w:r>
    </w:p>
    <w:p w14:paraId="6BD61F53" w14:textId="6158ED62" w:rsidR="00E95041" w:rsidRPr="00504CC1" w:rsidRDefault="00E95041" w:rsidP="00504CC1">
      <w:pPr>
        <w:spacing w:after="0" w:line="360" w:lineRule="auto"/>
        <w:ind w:left="851"/>
        <w:jc w:val="both"/>
        <w:rPr>
          <w:rFonts w:ascii="Times New Roman" w:eastAsia="Calibri" w:hAnsi="Times New Roman" w:cs="Times New Roman"/>
          <w:sz w:val="20"/>
          <w:szCs w:val="20"/>
          <w:lang w:val="en-GB"/>
        </w:rPr>
      </w:pPr>
      <w:r w:rsidRPr="00504CC1">
        <w:rPr>
          <w:rFonts w:ascii="Times New Roman" w:eastAsia="Calibri" w:hAnsi="Times New Roman" w:cs="Times New Roman"/>
          <w:sz w:val="20"/>
          <w:szCs w:val="20"/>
          <w:lang w:val="en-GB"/>
        </w:rPr>
        <w:t>[</w:t>
      </w:r>
      <w:r w:rsidR="00711AF9" w:rsidRPr="00504CC1">
        <w:rPr>
          <w:rFonts w:ascii="Times New Roman" w:eastAsia="Calibri" w:hAnsi="Times New Roman" w:cs="Times New Roman"/>
          <w:sz w:val="20"/>
          <w:szCs w:val="20"/>
          <w:lang w:val="en-GB"/>
        </w:rPr>
        <w:t>14] The</w:t>
      </w:r>
      <w:r w:rsidRPr="00504CC1">
        <w:rPr>
          <w:rFonts w:ascii="Times New Roman" w:eastAsia="Calibri" w:hAnsi="Times New Roman" w:cs="Times New Roman"/>
          <w:sz w:val="20"/>
          <w:szCs w:val="20"/>
          <w:lang w:val="en-GB"/>
        </w:rPr>
        <w:t xml:space="preserve"> rules of court of most countries make provision for the reference of a matter as a stated case.  </w:t>
      </w:r>
      <w:r w:rsidRPr="00504CC1">
        <w:rPr>
          <w:rFonts w:ascii="Times New Roman" w:eastAsia="Calibri" w:hAnsi="Times New Roman" w:cs="Times New Roman"/>
          <w:b/>
          <w:bCs/>
          <w:sz w:val="20"/>
          <w:szCs w:val="20"/>
          <w:u w:val="single"/>
          <w:lang w:val="en-GB"/>
        </w:rPr>
        <w:t>But what is a stated case?  It is a case that is brought upon the agreement of the parties who submit a statement of undisputed facts to the court but who take adversarial positions as to the legal ramifications of the facts, thereby requiring a judge to decide the question of law presente</w:t>
      </w:r>
      <w:r w:rsidRPr="00504CC1">
        <w:rPr>
          <w:rFonts w:ascii="Times New Roman" w:eastAsia="Calibri" w:hAnsi="Times New Roman" w:cs="Times New Roman"/>
          <w:b/>
          <w:bCs/>
          <w:sz w:val="20"/>
          <w:szCs w:val="20"/>
          <w:lang w:val="en-GB"/>
        </w:rPr>
        <w:t>d</w:t>
      </w:r>
      <w:r w:rsidRPr="00504CC1">
        <w:rPr>
          <w:rFonts w:ascii="Times New Roman" w:eastAsia="Calibri" w:hAnsi="Times New Roman" w:cs="Times New Roman"/>
          <w:sz w:val="20"/>
          <w:szCs w:val="20"/>
          <w:lang w:val="en-GB"/>
        </w:rPr>
        <w:t xml:space="preserve"> (</w:t>
      </w:r>
      <w:r w:rsidRPr="00504CC1">
        <w:rPr>
          <w:rFonts w:ascii="Times New Roman" w:eastAsia="Calibri" w:hAnsi="Times New Roman" w:cs="Times New Roman"/>
          <w:i/>
          <w:sz w:val="20"/>
          <w:szCs w:val="20"/>
          <w:lang w:val="en-GB"/>
        </w:rPr>
        <w:t>Legal dictionary. The free dictionary.com</w:t>
      </w:r>
      <w:r w:rsidRPr="00504CC1">
        <w:rPr>
          <w:rFonts w:ascii="Times New Roman" w:eastAsia="Calibri" w:hAnsi="Times New Roman" w:cs="Times New Roman"/>
          <w:sz w:val="20"/>
          <w:szCs w:val="20"/>
          <w:lang w:val="en-GB"/>
        </w:rPr>
        <w:t>).  Put another way, it is a formal written statement of the facts in a case, which is submitted to the court by the parties, jointly, so that a decision may be rendered without trial</w:t>
      </w:r>
      <w:r w:rsidRPr="00504CC1">
        <w:rPr>
          <w:rFonts w:ascii="Times New Roman" w:eastAsia="Calibri" w:hAnsi="Times New Roman" w:cs="Times New Roman"/>
          <w:b/>
          <w:bCs/>
          <w:sz w:val="20"/>
          <w:szCs w:val="20"/>
          <w:lang w:val="en-GB"/>
        </w:rPr>
        <w:t xml:space="preserve">.  </w:t>
      </w:r>
      <w:r w:rsidRPr="00504CC1">
        <w:rPr>
          <w:rFonts w:ascii="Times New Roman" w:eastAsia="Calibri" w:hAnsi="Times New Roman" w:cs="Times New Roman"/>
          <w:b/>
          <w:bCs/>
          <w:sz w:val="20"/>
          <w:szCs w:val="20"/>
          <w:u w:val="single"/>
          <w:lang w:val="en-GB"/>
        </w:rPr>
        <w:t>The facts being thus ascertained, it is left for the court to decide the question of law presented.</w:t>
      </w:r>
      <w:r w:rsidRPr="00504CC1">
        <w:rPr>
          <w:rFonts w:ascii="Times New Roman" w:eastAsia="Calibri" w:hAnsi="Times New Roman" w:cs="Times New Roman"/>
          <w:sz w:val="20"/>
          <w:szCs w:val="20"/>
          <w:lang w:val="en-GB"/>
        </w:rPr>
        <w:t xml:space="preserve">  A stated case is also called a special case, an amicable action, a case agreed, or a friendly suit (</w:t>
      </w:r>
      <w:r w:rsidRPr="00504CC1">
        <w:rPr>
          <w:rFonts w:ascii="Times New Roman" w:eastAsia="Calibri" w:hAnsi="Times New Roman" w:cs="Times New Roman"/>
          <w:i/>
          <w:sz w:val="20"/>
          <w:szCs w:val="20"/>
          <w:lang w:val="en-GB"/>
        </w:rPr>
        <w:t>US Legal, Inc</w:t>
      </w:r>
      <w:r w:rsidRPr="00504CC1">
        <w:rPr>
          <w:rFonts w:ascii="Times New Roman" w:eastAsia="Calibri" w:hAnsi="Times New Roman" w:cs="Times New Roman"/>
          <w:sz w:val="20"/>
          <w:szCs w:val="20"/>
          <w:lang w:val="en-GB"/>
        </w:rPr>
        <w:t>.)”</w:t>
      </w:r>
    </w:p>
    <w:p w14:paraId="4D227DEB" w14:textId="77777777"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p>
    <w:p w14:paraId="31EC6608" w14:textId="26A4B3F3"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r w:rsidRPr="00504CC1">
        <w:rPr>
          <w:rFonts w:ascii="Times New Roman" w:eastAsia="Calibri" w:hAnsi="Times New Roman" w:cs="Times New Roman"/>
          <w:sz w:val="20"/>
          <w:szCs w:val="20"/>
          <w:lang w:val="en-GB"/>
        </w:rPr>
        <w:t>[</w:t>
      </w:r>
      <w:r w:rsidR="00504CC1" w:rsidRPr="00504CC1">
        <w:rPr>
          <w:rFonts w:ascii="Times New Roman" w:eastAsia="Calibri" w:hAnsi="Times New Roman" w:cs="Times New Roman"/>
          <w:sz w:val="20"/>
          <w:szCs w:val="20"/>
          <w:lang w:val="en-GB"/>
        </w:rPr>
        <w:t>15] In</w:t>
      </w:r>
      <w:r w:rsidRPr="00504CC1">
        <w:rPr>
          <w:rFonts w:ascii="Times New Roman" w:eastAsia="Calibri" w:hAnsi="Times New Roman" w:cs="Times New Roman"/>
          <w:sz w:val="20"/>
          <w:szCs w:val="20"/>
          <w:lang w:val="en-GB"/>
        </w:rPr>
        <w:t xml:space="preserve"> the case of </w:t>
      </w:r>
      <w:r w:rsidRPr="00504CC1">
        <w:rPr>
          <w:rFonts w:ascii="Times New Roman" w:eastAsia="Calibri" w:hAnsi="Times New Roman" w:cs="Times New Roman"/>
          <w:i/>
          <w:sz w:val="20"/>
          <w:szCs w:val="20"/>
          <w:lang w:val="en-GB"/>
        </w:rPr>
        <w:t>Elizabeth Mambus v Motor Vehicle Accident Fund</w:t>
      </w:r>
      <w:r w:rsidRPr="00504CC1">
        <w:rPr>
          <w:rFonts w:ascii="Times New Roman" w:eastAsia="Calibri" w:hAnsi="Times New Roman" w:cs="Times New Roman"/>
          <w:sz w:val="20"/>
          <w:szCs w:val="20"/>
          <w:lang w:val="en-GB"/>
        </w:rPr>
        <w:t xml:space="preserve"> Case No. SA 4/2013, a majority decision of the Supreme Court of Namibia, handed down on 11 February 2015, the court noted:</w:t>
      </w:r>
    </w:p>
    <w:p w14:paraId="55130CBC" w14:textId="77777777"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r w:rsidRPr="00504CC1">
        <w:rPr>
          <w:rFonts w:ascii="Times New Roman" w:eastAsia="Calibri" w:hAnsi="Times New Roman" w:cs="Times New Roman"/>
          <w:sz w:val="20"/>
          <w:szCs w:val="20"/>
          <w:lang w:val="en-GB"/>
        </w:rPr>
        <w:lastRenderedPageBreak/>
        <w:t xml:space="preserve">“… the intention is that the stated case </w:t>
      </w:r>
      <w:r w:rsidRPr="00504CC1">
        <w:rPr>
          <w:rFonts w:ascii="Times New Roman" w:eastAsia="Calibri" w:hAnsi="Times New Roman" w:cs="Times New Roman"/>
          <w:b/>
          <w:bCs/>
          <w:sz w:val="20"/>
          <w:szCs w:val="20"/>
          <w:u w:val="single"/>
          <w:lang w:val="en-GB"/>
        </w:rPr>
        <w:t>will adjudicate the whole of the dispute as stated in the case that exists between the parties</w:t>
      </w:r>
      <w:r w:rsidRPr="00504CC1">
        <w:rPr>
          <w:rFonts w:ascii="Times New Roman" w:eastAsia="Calibri" w:hAnsi="Times New Roman" w:cs="Times New Roman"/>
          <w:sz w:val="20"/>
          <w:szCs w:val="20"/>
          <w:lang w:val="en-GB"/>
        </w:rPr>
        <w:t xml:space="preserve"> and that this is ideally done by setting out the facts agreed to, the questions of law in dispute, and the contentions of the parties.  The parties may also require a court to decide an issue of law on the basis of alleged facts </w:t>
      </w:r>
      <w:r w:rsidRPr="00504CC1">
        <w:rPr>
          <w:rFonts w:ascii="Times New Roman" w:eastAsia="Calibri" w:hAnsi="Times New Roman" w:cs="Times New Roman"/>
          <w:i/>
          <w:sz w:val="20"/>
          <w:szCs w:val="20"/>
          <w:lang w:val="en-GB"/>
        </w:rPr>
        <w:t>as if agreed</w:t>
      </w:r>
      <w:r w:rsidRPr="00504CC1">
        <w:rPr>
          <w:rFonts w:ascii="Times New Roman" w:eastAsia="Calibri" w:hAnsi="Times New Roman" w:cs="Times New Roman"/>
          <w:sz w:val="20"/>
          <w:szCs w:val="20"/>
          <w:lang w:val="en-GB"/>
        </w:rPr>
        <w:t>.”</w:t>
      </w:r>
    </w:p>
    <w:p w14:paraId="56DC5B3E" w14:textId="77777777"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p>
    <w:p w14:paraId="5EA53648" w14:textId="2AD31D8F"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r w:rsidRPr="00504CC1">
        <w:rPr>
          <w:rFonts w:ascii="Times New Roman" w:eastAsia="Calibri" w:hAnsi="Times New Roman" w:cs="Times New Roman"/>
          <w:sz w:val="20"/>
          <w:szCs w:val="20"/>
          <w:lang w:val="en-GB"/>
        </w:rPr>
        <w:t xml:space="preserve">[16] The court further cited with approval remarks made by the Irish Supreme Court in </w:t>
      </w:r>
      <w:r w:rsidRPr="00504CC1">
        <w:rPr>
          <w:rFonts w:ascii="Times New Roman" w:eastAsia="Calibri" w:hAnsi="Times New Roman" w:cs="Times New Roman"/>
          <w:i/>
          <w:sz w:val="20"/>
          <w:szCs w:val="20"/>
          <w:lang w:val="en-GB"/>
        </w:rPr>
        <w:t>Simon McGinley v The Deciding Officer – Criminal Assets Bureau</w:t>
      </w:r>
      <w:r w:rsidRPr="00504CC1">
        <w:rPr>
          <w:rFonts w:ascii="Times New Roman" w:eastAsia="Calibri" w:hAnsi="Times New Roman" w:cs="Times New Roman"/>
          <w:sz w:val="20"/>
          <w:szCs w:val="20"/>
          <w:lang w:val="en-GB"/>
        </w:rPr>
        <w:t xml:space="preserve"> [2001] IESC 49 that:</w:t>
      </w:r>
    </w:p>
    <w:p w14:paraId="71CF1C53" w14:textId="195118AB"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r w:rsidRPr="00504CC1">
        <w:rPr>
          <w:rFonts w:ascii="Times New Roman" w:eastAsia="Calibri" w:hAnsi="Times New Roman" w:cs="Times New Roman"/>
          <w:sz w:val="20"/>
          <w:szCs w:val="20"/>
          <w:lang w:val="en-GB"/>
        </w:rPr>
        <w:t xml:space="preserve">“The case should set out clearly the judge’s findings of fact, and should also set out any inferences or conclusions of fact which he drew from those </w:t>
      </w:r>
      <w:r w:rsidR="00504CC1" w:rsidRPr="00504CC1">
        <w:rPr>
          <w:rFonts w:ascii="Times New Roman" w:eastAsia="Calibri" w:hAnsi="Times New Roman" w:cs="Times New Roman"/>
          <w:sz w:val="20"/>
          <w:szCs w:val="20"/>
          <w:lang w:val="en-GB"/>
        </w:rPr>
        <w:t>findings. What</w:t>
      </w:r>
      <w:r w:rsidRPr="00504CC1">
        <w:rPr>
          <w:rFonts w:ascii="Times New Roman" w:eastAsia="Calibri" w:hAnsi="Times New Roman" w:cs="Times New Roman"/>
          <w:sz w:val="20"/>
          <w:szCs w:val="20"/>
          <w:lang w:val="en-GB"/>
        </w:rPr>
        <w:t xml:space="preserve"> is required in the case stated is a finding by the Judge of the facts and not a recital of the evidence.  Except for the purpose of elucidating the findings of fact, it will rarely be necessary to set out any evidence in the case stated save in the one type of case where the question of law intended to be submitted is whether there was evidence before the Judge which would justify him deciding as he did. … </w:t>
      </w:r>
      <w:r w:rsidRPr="00504CC1">
        <w:rPr>
          <w:rFonts w:ascii="Times New Roman" w:eastAsia="Calibri" w:hAnsi="Times New Roman" w:cs="Times New Roman"/>
          <w:b/>
          <w:bCs/>
          <w:sz w:val="20"/>
          <w:szCs w:val="20"/>
          <w:u w:val="single"/>
          <w:lang w:val="en-GB"/>
        </w:rPr>
        <w:t>This court should not be required to go outside the case to some other document in order to discover them.</w:t>
      </w:r>
      <w:r w:rsidRPr="00504CC1">
        <w:rPr>
          <w:rFonts w:ascii="Times New Roman" w:eastAsia="Calibri" w:hAnsi="Times New Roman" w:cs="Times New Roman"/>
          <w:sz w:val="20"/>
          <w:szCs w:val="20"/>
          <w:lang w:val="en-GB"/>
        </w:rPr>
        <w:t xml:space="preserve"> The same principle applies to the contention of the parties, the inferences to be drawn from the primary facts, and the Tribunal’s determination.  </w:t>
      </w:r>
      <w:r w:rsidRPr="00504CC1">
        <w:rPr>
          <w:rFonts w:ascii="Times New Roman" w:eastAsia="Calibri" w:hAnsi="Times New Roman" w:cs="Times New Roman"/>
          <w:b/>
          <w:bCs/>
          <w:sz w:val="20"/>
          <w:szCs w:val="20"/>
          <w:u w:val="single"/>
          <w:lang w:val="en-GB"/>
        </w:rPr>
        <w:t>All these must be found within the case, not in documents annexed …”</w:t>
      </w:r>
    </w:p>
    <w:p w14:paraId="317E8F02" w14:textId="77777777"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p>
    <w:p w14:paraId="5F411BD0" w14:textId="77777777"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r w:rsidRPr="00504CC1">
        <w:rPr>
          <w:rFonts w:ascii="Times New Roman" w:eastAsia="Calibri" w:hAnsi="Times New Roman" w:cs="Times New Roman"/>
          <w:sz w:val="20"/>
          <w:szCs w:val="20"/>
          <w:lang w:val="en-GB"/>
        </w:rPr>
        <w:t>[17]</w:t>
      </w:r>
      <w:r w:rsidRPr="00504CC1">
        <w:rPr>
          <w:rFonts w:ascii="Times New Roman" w:eastAsia="Calibri" w:hAnsi="Times New Roman" w:cs="Times New Roman"/>
          <w:sz w:val="20"/>
          <w:szCs w:val="20"/>
          <w:lang w:val="en-GB"/>
        </w:rPr>
        <w:tab/>
        <w:t xml:space="preserve">Once the facts are agreed, the court should proceed to determine the particular question of law that arises and not delve into the correctness or otherwise of the facts.  It is bound to take those facts as correctly representing the agreed position and to thereafter determine any issues of law that may arise therefrom.  It is not open to the parties to the stated case to seek to re-open the agreed factual position or to contradict such position.  Nor can either party seek to ignore existing legal principles or findings of fact made in connection with the same matter by another court.  Of course, either party has a remedy at common law, to withdraw any concession made in a stated case owing to </w:t>
      </w:r>
      <w:r w:rsidRPr="00504CC1">
        <w:rPr>
          <w:rFonts w:ascii="Times New Roman" w:eastAsia="Calibri" w:hAnsi="Times New Roman" w:cs="Times New Roman"/>
          <w:i/>
          <w:sz w:val="20"/>
          <w:szCs w:val="20"/>
          <w:lang w:val="en-GB"/>
        </w:rPr>
        <w:t>justus</w:t>
      </w:r>
      <w:r w:rsidRPr="00504CC1">
        <w:rPr>
          <w:rFonts w:ascii="Times New Roman" w:eastAsia="Calibri" w:hAnsi="Times New Roman" w:cs="Times New Roman"/>
          <w:sz w:val="20"/>
          <w:szCs w:val="20"/>
          <w:lang w:val="en-GB"/>
        </w:rPr>
        <w:t xml:space="preserve"> </w:t>
      </w:r>
      <w:r w:rsidRPr="00504CC1">
        <w:rPr>
          <w:rFonts w:ascii="Times New Roman" w:eastAsia="Calibri" w:hAnsi="Times New Roman" w:cs="Times New Roman"/>
          <w:i/>
          <w:sz w:val="20"/>
          <w:szCs w:val="20"/>
          <w:lang w:val="en-GB"/>
        </w:rPr>
        <w:t>error</w:t>
      </w:r>
      <w:r w:rsidRPr="00504CC1">
        <w:rPr>
          <w:rFonts w:ascii="Times New Roman" w:eastAsia="Calibri" w:hAnsi="Times New Roman" w:cs="Times New Roman"/>
          <w:sz w:val="20"/>
          <w:szCs w:val="20"/>
          <w:lang w:val="en-GB"/>
        </w:rPr>
        <w:t>, fraud, mistake, or any other valid ground.</w:t>
      </w:r>
    </w:p>
    <w:p w14:paraId="5FD4DD77" w14:textId="77777777" w:rsidR="00711AF9" w:rsidRPr="00504CC1" w:rsidRDefault="00711AF9" w:rsidP="00504CC1">
      <w:pPr>
        <w:spacing w:after="0" w:line="360" w:lineRule="auto"/>
        <w:ind w:left="851" w:hanging="709"/>
        <w:jc w:val="both"/>
        <w:rPr>
          <w:rFonts w:ascii="Times New Roman" w:eastAsia="Calibri" w:hAnsi="Times New Roman" w:cs="Times New Roman"/>
          <w:sz w:val="20"/>
          <w:szCs w:val="20"/>
          <w:lang w:val="en-GB"/>
        </w:rPr>
      </w:pPr>
    </w:p>
    <w:p w14:paraId="04411572" w14:textId="23E0BC47"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r w:rsidRPr="00504CC1">
        <w:rPr>
          <w:rFonts w:ascii="Times New Roman" w:eastAsia="Calibri" w:hAnsi="Times New Roman" w:cs="Times New Roman"/>
          <w:sz w:val="20"/>
          <w:szCs w:val="20"/>
          <w:lang w:val="en-GB"/>
        </w:rPr>
        <w:t>[</w:t>
      </w:r>
      <w:r w:rsidR="00504CC1" w:rsidRPr="00504CC1">
        <w:rPr>
          <w:rFonts w:ascii="Times New Roman" w:eastAsia="Calibri" w:hAnsi="Times New Roman" w:cs="Times New Roman"/>
          <w:sz w:val="20"/>
          <w:szCs w:val="20"/>
          <w:lang w:val="en-GB"/>
        </w:rPr>
        <w:t>18] It</w:t>
      </w:r>
      <w:r w:rsidRPr="00504CC1">
        <w:rPr>
          <w:rFonts w:ascii="Times New Roman" w:eastAsia="Calibri" w:hAnsi="Times New Roman" w:cs="Times New Roman"/>
          <w:sz w:val="20"/>
          <w:szCs w:val="20"/>
          <w:lang w:val="en-GB"/>
        </w:rPr>
        <w:t xml:space="preserve"> has become necessary to restate what a stated case is owing to the fact that in some instances, the appellant, in this case, has made submissions contrary to the stated case brought before the court.  The appellant has also ignored in part the decision of this Court on which the stated case is predicated.  It bears stating that if this happens, a party will be kept strictly to the terms of the agreed facts, as it is on the basis of those facts that the court would have been invited to make a determination on some specific question of law.” </w:t>
      </w:r>
    </w:p>
    <w:p w14:paraId="4FE06984" w14:textId="77777777" w:rsidR="00711AF9" w:rsidRPr="00504CC1" w:rsidRDefault="00711AF9" w:rsidP="00504CC1">
      <w:pPr>
        <w:spacing w:after="0" w:line="360" w:lineRule="auto"/>
        <w:ind w:left="851" w:firstLine="1134"/>
        <w:jc w:val="both"/>
        <w:rPr>
          <w:rFonts w:ascii="Times New Roman" w:eastAsia="Calibri" w:hAnsi="Times New Roman" w:cs="Times New Roman"/>
          <w:sz w:val="20"/>
          <w:szCs w:val="20"/>
          <w:lang w:val="en-GB"/>
        </w:rPr>
      </w:pPr>
    </w:p>
    <w:p w14:paraId="6F3CC225" w14:textId="77777777"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r w:rsidRPr="00504CC1">
        <w:rPr>
          <w:rFonts w:ascii="Times New Roman" w:eastAsia="Calibri" w:hAnsi="Times New Roman" w:cs="Times New Roman"/>
          <w:sz w:val="20"/>
          <w:szCs w:val="20"/>
          <w:lang w:val="en-GB"/>
        </w:rPr>
        <w:t xml:space="preserve">The court </w:t>
      </w:r>
      <w:r w:rsidRPr="00504CC1">
        <w:rPr>
          <w:rFonts w:ascii="Times New Roman" w:eastAsia="Calibri" w:hAnsi="Times New Roman" w:cs="Times New Roman"/>
          <w:i/>
          <w:sz w:val="20"/>
          <w:szCs w:val="20"/>
          <w:lang w:val="en-GB"/>
        </w:rPr>
        <w:t>a quo</w:t>
      </w:r>
      <w:r w:rsidRPr="00504CC1">
        <w:rPr>
          <w:rFonts w:ascii="Times New Roman" w:eastAsia="Calibri" w:hAnsi="Times New Roman" w:cs="Times New Roman"/>
          <w:sz w:val="20"/>
          <w:szCs w:val="20"/>
          <w:lang w:val="en-GB"/>
        </w:rPr>
        <w:t xml:space="preserve"> relied on </w:t>
      </w:r>
      <w:r w:rsidRPr="000A4EAF">
        <w:rPr>
          <w:rFonts w:ascii="Times New Roman" w:eastAsia="Calibri" w:hAnsi="Times New Roman" w:cs="Times New Roman"/>
          <w:i/>
          <w:iCs/>
          <w:sz w:val="20"/>
          <w:szCs w:val="20"/>
          <w:lang w:val="en-GB"/>
        </w:rPr>
        <w:t>Kunonga</w:t>
      </w:r>
      <w:r w:rsidRPr="00504CC1">
        <w:rPr>
          <w:rFonts w:ascii="Times New Roman" w:eastAsia="Calibri" w:hAnsi="Times New Roman" w:cs="Times New Roman"/>
          <w:sz w:val="20"/>
          <w:szCs w:val="20"/>
          <w:lang w:val="en-GB"/>
        </w:rPr>
        <w:t xml:space="preserve">’s case in deciding whether or not to grant the application for directions. The learned judge reasoned as follows: </w:t>
      </w:r>
    </w:p>
    <w:p w14:paraId="1EB7DC0B" w14:textId="7FA3A37D"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r w:rsidRPr="00504CC1">
        <w:rPr>
          <w:rFonts w:ascii="Times New Roman" w:eastAsia="Calibri" w:hAnsi="Times New Roman" w:cs="Times New Roman"/>
          <w:sz w:val="20"/>
          <w:szCs w:val="20"/>
          <w:lang w:val="en-GB"/>
        </w:rPr>
        <w:t xml:space="preserve">“What in essence this Court is being asked to determine is </w:t>
      </w:r>
      <w:r w:rsidRPr="00504CC1">
        <w:rPr>
          <w:rFonts w:ascii="Times New Roman" w:eastAsia="Calibri" w:hAnsi="Times New Roman" w:cs="Times New Roman"/>
          <w:b/>
          <w:bCs/>
          <w:sz w:val="20"/>
          <w:szCs w:val="20"/>
          <w:u w:val="single"/>
          <w:lang w:val="en-GB"/>
        </w:rPr>
        <w:t>if it can resolve the dispute between the parties based on the stated case</w:t>
      </w:r>
      <w:r w:rsidRPr="00504CC1">
        <w:rPr>
          <w:rFonts w:ascii="Times New Roman" w:eastAsia="Calibri" w:hAnsi="Times New Roman" w:cs="Times New Roman"/>
          <w:sz w:val="20"/>
          <w:szCs w:val="20"/>
          <w:lang w:val="en-GB"/>
        </w:rPr>
        <w:t xml:space="preserve">. Para1.1 of the stated case states that the respondent is the registered owner of the property. In para 1.4 of the special case, the parties recognize that the applicants’ primary defense to the </w:t>
      </w:r>
      <w:r w:rsidRPr="00504CC1">
        <w:rPr>
          <w:rFonts w:ascii="Times New Roman" w:eastAsia="Calibri" w:hAnsi="Times New Roman" w:cs="Times New Roman"/>
          <w:i/>
          <w:sz w:val="20"/>
          <w:szCs w:val="20"/>
          <w:lang w:val="en-GB"/>
        </w:rPr>
        <w:t>rei vindicatio</w:t>
      </w:r>
      <w:r w:rsidRPr="00504CC1">
        <w:rPr>
          <w:rFonts w:ascii="Times New Roman" w:eastAsia="Calibri" w:hAnsi="Times New Roman" w:cs="Times New Roman"/>
          <w:sz w:val="20"/>
          <w:szCs w:val="20"/>
          <w:lang w:val="en-GB"/>
        </w:rPr>
        <w:t xml:space="preserve"> is that plaintiff’s ownership of the property is tainted with fraud and illegality. The parties recognize that the applicants have a defense to the claim having </w:t>
      </w:r>
      <w:r w:rsidRPr="00504CC1">
        <w:rPr>
          <w:rFonts w:ascii="Times New Roman" w:eastAsia="Calibri" w:hAnsi="Times New Roman" w:cs="Times New Roman"/>
          <w:sz w:val="20"/>
          <w:szCs w:val="20"/>
          <w:lang w:val="en-GB"/>
        </w:rPr>
        <w:lastRenderedPageBreak/>
        <w:t>filed a challenge to the respondent’s title. An attempt to settle the matter failed after the withdrawal of a deed of settlement. The claim has since been reinstituted. It is not surprising that the stated case has attracted so much controversy. The stated case states two mutually exclusive situations, one of which cannot be correct. The statement that the plaintiff is the registered owner of the property cannot be accepted on the face of it especially in the face of indications to the contrary in the stated case. The presumption of ownership can only be rebutted by evidence.</w:t>
      </w:r>
    </w:p>
    <w:p w14:paraId="10DA1E8E" w14:textId="77777777"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p>
    <w:p w14:paraId="1AD2DEBE" w14:textId="77777777"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r w:rsidRPr="00504CC1">
        <w:rPr>
          <w:rFonts w:ascii="Times New Roman" w:eastAsia="Calibri" w:hAnsi="Times New Roman" w:cs="Times New Roman"/>
          <w:sz w:val="20"/>
          <w:szCs w:val="20"/>
          <w:lang w:val="en-GB"/>
        </w:rPr>
        <w:t xml:space="preserve">Mention is made of a fraudulent power of attorney used to support the transfer.  The stated case records that the respondent disputes the allegations of fraud. The stated case discloses a material dispute of fact over ownership of the property between the parties that cannot be resolved on the papers. The fact that the parties previously agreed that the matter should be dealt with as a special case in a case where there are glaring material disputes of fact that require to be ventilated at a trial has no effect of binding the court to such an arrangement. Resort to the special case procedure for the relief of a </w:t>
      </w:r>
      <w:r w:rsidRPr="00504CC1">
        <w:rPr>
          <w:rFonts w:ascii="Times New Roman" w:eastAsia="Calibri" w:hAnsi="Times New Roman" w:cs="Times New Roman"/>
          <w:i/>
          <w:sz w:val="20"/>
          <w:szCs w:val="20"/>
          <w:lang w:val="en-GB"/>
        </w:rPr>
        <w:t>rei vindicatio</w:t>
      </w:r>
      <w:r w:rsidRPr="00504CC1">
        <w:rPr>
          <w:rFonts w:ascii="Times New Roman" w:eastAsia="Calibri" w:hAnsi="Times New Roman" w:cs="Times New Roman"/>
          <w:sz w:val="20"/>
          <w:szCs w:val="20"/>
          <w:lang w:val="en-GB"/>
        </w:rPr>
        <w:t xml:space="preserve"> in the face of the disputes existent on the papers is inappropriate. Where a special case discloses substantial disputes of fact, the court cannot simply rubberstamp it and accede to insistence on dealing with the case as a special case because the parties agreed on a statement of agreed facts. Whenever a material dispute of fact appears on the face of a stated case, which cannot be resolved on the papers filed, that dispute will require full ventilation. The applicants raise a defense of claim of right. An allegation of fraud cannot be proved in the absence of the documents allegedly used to commit the fraud. The best course to take is to allow the applicants to call evidence to substantiate their claim of fraud. I am not persuaded by the respondent’s argument that the defendants are bound by the stated case.</w:t>
      </w:r>
    </w:p>
    <w:p w14:paraId="26B7D87F" w14:textId="77777777"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p>
    <w:p w14:paraId="75F93FD3" w14:textId="77777777" w:rsidR="00711AF9" w:rsidRPr="00504CC1" w:rsidRDefault="00711AF9" w:rsidP="00504CC1">
      <w:pPr>
        <w:spacing w:after="0" w:line="360" w:lineRule="auto"/>
        <w:ind w:left="851"/>
        <w:jc w:val="both"/>
        <w:rPr>
          <w:rFonts w:ascii="Times New Roman" w:eastAsia="Calibri" w:hAnsi="Times New Roman" w:cs="Times New Roman"/>
          <w:sz w:val="20"/>
          <w:szCs w:val="20"/>
          <w:lang w:val="en-GB"/>
        </w:rPr>
      </w:pPr>
      <w:r w:rsidRPr="00504CC1">
        <w:rPr>
          <w:rFonts w:ascii="Times New Roman" w:eastAsia="Calibri" w:hAnsi="Times New Roman" w:cs="Times New Roman"/>
          <w:b/>
          <w:bCs/>
          <w:sz w:val="20"/>
          <w:szCs w:val="20"/>
          <w:u w:val="single"/>
          <w:lang w:val="en-GB"/>
        </w:rPr>
        <w:t>The stated case does not clearly or correctly articulate the issues to be dealt with</w:t>
      </w:r>
      <w:r w:rsidRPr="00504CC1">
        <w:rPr>
          <w:rFonts w:ascii="Times New Roman" w:eastAsia="Calibri" w:hAnsi="Times New Roman" w:cs="Times New Roman"/>
          <w:sz w:val="20"/>
          <w:szCs w:val="20"/>
          <w:lang w:val="en-GB"/>
        </w:rPr>
        <w:t>. An issue arises regarding whether the respondent acquired valid title from the applicants. What the parties ought to have done is to request the court to determine who the owner of the property is, hence asking the court to determine the issue of ownership. Instead, the court was asked to determine,</w:t>
      </w:r>
      <w:r w:rsidRPr="00504CC1">
        <w:rPr>
          <w:rFonts w:ascii="Times New Roman" w:eastAsia="Calibri" w:hAnsi="Times New Roman" w:cs="Times New Roman"/>
          <w:i/>
          <w:sz w:val="20"/>
          <w:szCs w:val="20"/>
          <w:lang w:val="en-GB"/>
        </w:rPr>
        <w:t xml:space="preserve"> “whether or not ownership of the immovable property is in dispute”</w:t>
      </w:r>
      <w:r w:rsidRPr="00504CC1">
        <w:rPr>
          <w:rFonts w:ascii="Times New Roman" w:eastAsia="Calibri" w:hAnsi="Times New Roman" w:cs="Times New Roman"/>
          <w:sz w:val="20"/>
          <w:szCs w:val="20"/>
          <w:lang w:val="en-GB"/>
        </w:rPr>
        <w:t xml:space="preserve">. What the court is being asked to do is just to make a declaration regarding the existence of a dispute over the property. </w:t>
      </w:r>
      <w:r w:rsidRPr="00504CC1">
        <w:rPr>
          <w:rFonts w:ascii="Times New Roman" w:eastAsia="Calibri" w:hAnsi="Times New Roman" w:cs="Times New Roman"/>
          <w:sz w:val="20"/>
          <w:szCs w:val="20"/>
          <w:u w:val="single"/>
          <w:lang w:val="en-GB"/>
        </w:rPr>
        <w:t>If the court determines that ownership is in dispute</w:t>
      </w:r>
      <w:r w:rsidRPr="00504CC1">
        <w:rPr>
          <w:rFonts w:ascii="Times New Roman" w:eastAsia="Calibri" w:hAnsi="Times New Roman" w:cs="Times New Roman"/>
          <w:b/>
          <w:bCs/>
          <w:sz w:val="20"/>
          <w:szCs w:val="20"/>
          <w:u w:val="single"/>
          <w:lang w:val="en-GB"/>
        </w:rPr>
        <w:t xml:space="preserve"> then what?</w:t>
      </w:r>
      <w:r w:rsidRPr="00504CC1">
        <w:rPr>
          <w:rFonts w:ascii="Times New Roman" w:eastAsia="Calibri" w:hAnsi="Times New Roman" w:cs="Times New Roman"/>
          <w:sz w:val="20"/>
          <w:szCs w:val="20"/>
          <w:lang w:val="en-GB"/>
        </w:rPr>
        <w:t xml:space="preserve"> </w:t>
      </w:r>
      <w:r w:rsidRPr="00504CC1">
        <w:rPr>
          <w:rFonts w:ascii="Times New Roman" w:eastAsia="Calibri" w:hAnsi="Times New Roman" w:cs="Times New Roman"/>
          <w:b/>
          <w:bCs/>
          <w:sz w:val="20"/>
          <w:szCs w:val="20"/>
          <w:u w:val="single"/>
          <w:lang w:val="en-GB"/>
        </w:rPr>
        <w:t>That determination does not dispose of the dispute between the parties. The court ought to have been asked to resolve the real dispute between the parties.</w:t>
      </w:r>
      <w:r w:rsidRPr="00504CC1">
        <w:rPr>
          <w:rFonts w:ascii="Times New Roman" w:eastAsia="Calibri" w:hAnsi="Times New Roman" w:cs="Times New Roman"/>
          <w:sz w:val="20"/>
          <w:szCs w:val="20"/>
          <w:lang w:val="en-GB"/>
        </w:rPr>
        <w:t xml:space="preserve"> The issue could have been worded along the following lines, “</w:t>
      </w:r>
      <w:r w:rsidRPr="00504CC1">
        <w:rPr>
          <w:rFonts w:ascii="Times New Roman" w:eastAsia="Calibri" w:hAnsi="Times New Roman" w:cs="Times New Roman"/>
          <w:i/>
          <w:sz w:val="20"/>
          <w:szCs w:val="20"/>
          <w:lang w:val="en-GB"/>
        </w:rPr>
        <w:t>whether the respondent acquired valid title from the applicants</w:t>
      </w:r>
      <w:r w:rsidRPr="00504CC1">
        <w:rPr>
          <w:rFonts w:ascii="Times New Roman" w:eastAsia="Calibri" w:hAnsi="Times New Roman" w:cs="Times New Roman"/>
          <w:sz w:val="20"/>
          <w:szCs w:val="20"/>
          <w:lang w:val="en-GB"/>
        </w:rPr>
        <w:t>”. That is the issue disclosed by the agreed facts. This way, the trial court is equipped to make a determination over the ownership of the property and dispose of the dispute.”</w:t>
      </w:r>
    </w:p>
    <w:p w14:paraId="493AE888" w14:textId="77777777" w:rsidR="00020278" w:rsidRDefault="00020278" w:rsidP="002231CD">
      <w:pPr>
        <w:spacing w:after="0" w:line="360" w:lineRule="auto"/>
        <w:jc w:val="both"/>
        <w:rPr>
          <w:rFonts w:ascii="Times New Roman" w:hAnsi="Times New Roman" w:cs="Times New Roman"/>
          <w:color w:val="000000"/>
          <w:sz w:val="24"/>
          <w:szCs w:val="24"/>
          <w:lang w:val="en-GB"/>
        </w:rPr>
      </w:pPr>
    </w:p>
    <w:p w14:paraId="37B7323A" w14:textId="43EA2963" w:rsidR="00403AE5" w:rsidRPr="00FF1B88" w:rsidRDefault="00E95041" w:rsidP="002231CD">
      <w:pPr>
        <w:spacing w:after="0" w:line="360" w:lineRule="auto"/>
        <w:jc w:val="both"/>
        <w:rPr>
          <w:rFonts w:ascii="Times New Roman" w:hAnsi="Times New Roman" w:cs="Times New Roman"/>
          <w:color w:val="000000"/>
          <w:sz w:val="24"/>
          <w:szCs w:val="24"/>
          <w:lang w:val="en-GB"/>
        </w:rPr>
      </w:pPr>
      <w:r w:rsidRPr="00BC0BF9">
        <w:rPr>
          <w:rFonts w:ascii="Times New Roman" w:hAnsi="Times New Roman" w:cs="Times New Roman"/>
          <w:color w:val="000000"/>
          <w:sz w:val="24"/>
          <w:szCs w:val="24"/>
          <w:lang w:val="en-GB"/>
        </w:rPr>
        <w:t>[</w:t>
      </w:r>
      <w:r w:rsidRPr="00FF1B88">
        <w:rPr>
          <w:rFonts w:ascii="Times New Roman" w:hAnsi="Times New Roman" w:cs="Times New Roman"/>
          <w:color w:val="000000"/>
          <w:sz w:val="24"/>
          <w:szCs w:val="24"/>
          <w:lang w:val="en-GB"/>
        </w:rPr>
        <w:t>1</w:t>
      </w:r>
      <w:r w:rsidR="00403AE5" w:rsidRPr="00FF1B88">
        <w:rPr>
          <w:rFonts w:ascii="Times New Roman" w:hAnsi="Times New Roman" w:cs="Times New Roman"/>
          <w:color w:val="000000"/>
          <w:sz w:val="24"/>
          <w:szCs w:val="24"/>
          <w:lang w:val="en-GB"/>
        </w:rPr>
        <w:t>4</w:t>
      </w:r>
      <w:r w:rsidRPr="00FF1B88">
        <w:rPr>
          <w:rFonts w:ascii="Times New Roman" w:hAnsi="Times New Roman" w:cs="Times New Roman"/>
          <w:color w:val="000000"/>
          <w:sz w:val="24"/>
          <w:szCs w:val="24"/>
          <w:lang w:val="en-GB"/>
        </w:rPr>
        <w:t>]</w:t>
      </w:r>
      <w:r w:rsidR="002231CD" w:rsidRPr="00FF1B88">
        <w:rPr>
          <w:rFonts w:ascii="Times New Roman" w:hAnsi="Times New Roman" w:cs="Times New Roman"/>
          <w:color w:val="000000"/>
          <w:sz w:val="24"/>
          <w:szCs w:val="24"/>
          <w:lang w:val="en-GB"/>
        </w:rPr>
        <w:t xml:space="preserve"> Based on the prescriptions in </w:t>
      </w:r>
      <w:r w:rsidR="003969AD" w:rsidRPr="00FF1B88">
        <w:rPr>
          <w:rFonts w:ascii="Times New Roman" w:hAnsi="Times New Roman" w:cs="Times New Roman"/>
          <w:color w:val="000000"/>
          <w:sz w:val="24"/>
          <w:szCs w:val="24"/>
          <w:lang w:val="en-GB"/>
        </w:rPr>
        <w:t>r 5</w:t>
      </w:r>
      <w:r w:rsidR="002231CD" w:rsidRPr="00FF1B88">
        <w:rPr>
          <w:rFonts w:ascii="Times New Roman" w:hAnsi="Times New Roman" w:cs="Times New Roman"/>
          <w:color w:val="000000"/>
          <w:sz w:val="24"/>
          <w:szCs w:val="24"/>
          <w:lang w:val="en-GB"/>
        </w:rPr>
        <w:t xml:space="preserve">2 </w:t>
      </w:r>
      <w:r w:rsidR="003969AD" w:rsidRPr="00FF1B88">
        <w:rPr>
          <w:rFonts w:ascii="Times New Roman" w:hAnsi="Times New Roman" w:cs="Times New Roman"/>
          <w:color w:val="000000"/>
          <w:sz w:val="24"/>
          <w:szCs w:val="24"/>
          <w:lang w:val="en-GB"/>
        </w:rPr>
        <w:t xml:space="preserve">of the High Court Rules </w:t>
      </w:r>
      <w:r w:rsidR="002231CD" w:rsidRPr="00FF1B88">
        <w:rPr>
          <w:rFonts w:ascii="Times New Roman" w:hAnsi="Times New Roman" w:cs="Times New Roman"/>
          <w:color w:val="000000"/>
          <w:sz w:val="24"/>
          <w:szCs w:val="24"/>
          <w:lang w:val="en-GB"/>
        </w:rPr>
        <w:t>as read against the guidance in the above authorities</w:t>
      </w:r>
      <w:r w:rsidR="00403AE5" w:rsidRPr="00FF1B88">
        <w:rPr>
          <w:rFonts w:ascii="Times New Roman" w:hAnsi="Times New Roman" w:cs="Times New Roman"/>
          <w:color w:val="000000"/>
          <w:sz w:val="24"/>
          <w:szCs w:val="24"/>
          <w:lang w:val="en-GB"/>
        </w:rPr>
        <w:t>.</w:t>
      </w:r>
      <w:r w:rsidR="00635512" w:rsidRPr="00FF1B88">
        <w:rPr>
          <w:rFonts w:ascii="Times New Roman" w:hAnsi="Times New Roman" w:cs="Times New Roman"/>
          <w:color w:val="000000"/>
          <w:sz w:val="24"/>
          <w:szCs w:val="24"/>
          <w:lang w:val="en-GB"/>
        </w:rPr>
        <w:t xml:space="preserve"> The statement of agreed facts </w:t>
      </w:r>
      <w:r w:rsidR="00403AE5" w:rsidRPr="00FF1B88">
        <w:rPr>
          <w:rFonts w:ascii="Times New Roman" w:hAnsi="Times New Roman" w:cs="Times New Roman"/>
          <w:color w:val="000000"/>
          <w:sz w:val="24"/>
          <w:szCs w:val="24"/>
          <w:lang w:val="en-GB"/>
        </w:rPr>
        <w:t xml:space="preserve">before me offends the requirements of concision and precision prescribed in r 52 (3). I reach the above conclusion based on the following. The parties filed </w:t>
      </w:r>
      <w:r w:rsidR="005E60DF">
        <w:rPr>
          <w:rFonts w:ascii="Times New Roman" w:hAnsi="Times New Roman" w:cs="Times New Roman"/>
          <w:color w:val="000000"/>
          <w:sz w:val="24"/>
          <w:szCs w:val="24"/>
          <w:lang w:val="en-GB"/>
        </w:rPr>
        <w:t>four</w:t>
      </w:r>
      <w:r w:rsidR="00403AE5" w:rsidRPr="00FF1B88">
        <w:rPr>
          <w:rFonts w:ascii="Times New Roman" w:hAnsi="Times New Roman" w:cs="Times New Roman"/>
          <w:color w:val="000000"/>
          <w:sz w:val="24"/>
          <w:szCs w:val="24"/>
          <w:lang w:val="en-GB"/>
        </w:rPr>
        <w:t xml:space="preserve"> bulky paragraphs carrying a </w:t>
      </w:r>
      <w:r w:rsidR="005E60DF">
        <w:rPr>
          <w:rFonts w:ascii="Times New Roman" w:hAnsi="Times New Roman" w:cs="Times New Roman"/>
          <w:color w:val="000000"/>
          <w:sz w:val="24"/>
          <w:szCs w:val="24"/>
          <w:lang w:val="en-GB"/>
        </w:rPr>
        <w:t>conglomeration</w:t>
      </w:r>
      <w:r w:rsidR="00403AE5" w:rsidRPr="00FF1B88">
        <w:rPr>
          <w:rFonts w:ascii="Times New Roman" w:hAnsi="Times New Roman" w:cs="Times New Roman"/>
          <w:color w:val="000000"/>
          <w:sz w:val="24"/>
          <w:szCs w:val="24"/>
          <w:lang w:val="en-GB"/>
        </w:rPr>
        <w:t xml:space="preserve"> of issues. Rule </w:t>
      </w:r>
      <w:r w:rsidR="00403AE5" w:rsidRPr="00FF1B88">
        <w:rPr>
          <w:rFonts w:ascii="Times New Roman" w:hAnsi="Times New Roman" w:cs="Times New Roman"/>
          <w:color w:val="000000"/>
          <w:sz w:val="24"/>
          <w:szCs w:val="24"/>
          <w:lang w:val="en-GB"/>
        </w:rPr>
        <w:lastRenderedPageBreak/>
        <w:t>5</w:t>
      </w:r>
      <w:r w:rsidR="000A4EAF">
        <w:rPr>
          <w:rFonts w:ascii="Times New Roman" w:hAnsi="Times New Roman" w:cs="Times New Roman"/>
          <w:color w:val="000000"/>
          <w:sz w:val="24"/>
          <w:szCs w:val="24"/>
          <w:lang w:val="en-GB"/>
        </w:rPr>
        <w:t>2</w:t>
      </w:r>
      <w:r w:rsidR="00403AE5" w:rsidRPr="00FF1B88">
        <w:rPr>
          <w:rFonts w:ascii="Times New Roman" w:hAnsi="Times New Roman" w:cs="Times New Roman"/>
          <w:color w:val="000000"/>
          <w:sz w:val="24"/>
          <w:szCs w:val="24"/>
          <w:lang w:val="en-GB"/>
        </w:rPr>
        <w:t xml:space="preserve"> (3) requires, a stated case to be reduced to numbered paragraphs the implication being that issues are packaged logically relative to each other.</w:t>
      </w:r>
    </w:p>
    <w:p w14:paraId="702B2CBB" w14:textId="77777777" w:rsidR="00403AE5" w:rsidRPr="00FF1B88" w:rsidRDefault="00403AE5" w:rsidP="002231CD">
      <w:pPr>
        <w:spacing w:after="0" w:line="360" w:lineRule="auto"/>
        <w:jc w:val="both"/>
        <w:rPr>
          <w:rFonts w:ascii="Times New Roman" w:hAnsi="Times New Roman" w:cs="Times New Roman"/>
          <w:color w:val="000000"/>
          <w:sz w:val="24"/>
          <w:szCs w:val="24"/>
          <w:lang w:val="en-GB"/>
        </w:rPr>
      </w:pPr>
    </w:p>
    <w:p w14:paraId="4806A19B" w14:textId="5A257693" w:rsidR="00AC000F" w:rsidRPr="00FF1B88" w:rsidRDefault="00403AE5" w:rsidP="002231CD">
      <w:pPr>
        <w:spacing w:after="0" w:line="360" w:lineRule="auto"/>
        <w:jc w:val="both"/>
        <w:rPr>
          <w:rFonts w:ascii="Times New Roman" w:hAnsi="Times New Roman" w:cs="Times New Roman"/>
          <w:color w:val="000000"/>
          <w:sz w:val="24"/>
          <w:szCs w:val="24"/>
          <w:lang w:val="en-GB"/>
        </w:rPr>
      </w:pPr>
      <w:r w:rsidRPr="00FF1B88">
        <w:rPr>
          <w:rFonts w:ascii="Times New Roman" w:hAnsi="Times New Roman" w:cs="Times New Roman"/>
          <w:color w:val="000000"/>
          <w:sz w:val="24"/>
          <w:szCs w:val="24"/>
          <w:lang w:val="en-GB"/>
        </w:rPr>
        <w:t xml:space="preserve">[15] The imprecision borne out in the statement of agreed facts goes beyond mere inelegance. The landlord and tenant relationship </w:t>
      </w:r>
      <w:r w:rsidR="00AD3E91">
        <w:rPr>
          <w:rFonts w:ascii="Times New Roman" w:hAnsi="Times New Roman" w:cs="Times New Roman"/>
          <w:color w:val="000000"/>
          <w:sz w:val="24"/>
          <w:szCs w:val="24"/>
          <w:lang w:val="en-GB"/>
        </w:rPr>
        <w:t>requires effort to be extracted</w:t>
      </w:r>
      <w:r w:rsidRPr="00FF1B88">
        <w:rPr>
          <w:rFonts w:ascii="Times New Roman" w:hAnsi="Times New Roman" w:cs="Times New Roman"/>
          <w:color w:val="000000"/>
          <w:sz w:val="24"/>
          <w:szCs w:val="24"/>
          <w:lang w:val="en-GB"/>
        </w:rPr>
        <w:t xml:space="preserve">. It was not sequentially set out. Similarly, the dispute essentially devolved </w:t>
      </w:r>
      <w:r w:rsidR="00AD3E91">
        <w:rPr>
          <w:rFonts w:ascii="Times New Roman" w:hAnsi="Times New Roman" w:cs="Times New Roman"/>
          <w:color w:val="000000"/>
          <w:sz w:val="24"/>
          <w:szCs w:val="24"/>
          <w:lang w:val="en-GB"/>
        </w:rPr>
        <w:t>in</w:t>
      </w:r>
      <w:r w:rsidRPr="00FF1B88">
        <w:rPr>
          <w:rFonts w:ascii="Times New Roman" w:hAnsi="Times New Roman" w:cs="Times New Roman"/>
          <w:color w:val="000000"/>
          <w:sz w:val="24"/>
          <w:szCs w:val="24"/>
          <w:lang w:val="en-GB"/>
        </w:rPr>
        <w:t xml:space="preserve">to a reconciliation exercise. The statement of agreed facts shied away from the accounting or arithmetic factors necessary to aid the court in reaching a </w:t>
      </w:r>
      <w:r w:rsidR="00AD3E91">
        <w:rPr>
          <w:rFonts w:ascii="Times New Roman" w:hAnsi="Times New Roman" w:cs="Times New Roman"/>
          <w:color w:val="000000"/>
          <w:sz w:val="24"/>
          <w:szCs w:val="24"/>
          <w:lang w:val="en-GB"/>
        </w:rPr>
        <w:t>determination</w:t>
      </w:r>
      <w:r w:rsidRPr="00FF1B88">
        <w:rPr>
          <w:rFonts w:ascii="Times New Roman" w:hAnsi="Times New Roman" w:cs="Times New Roman"/>
          <w:color w:val="000000"/>
          <w:sz w:val="24"/>
          <w:szCs w:val="24"/>
          <w:lang w:val="en-GB"/>
        </w:rPr>
        <w:t xml:space="preserve"> on the </w:t>
      </w:r>
      <w:r w:rsidR="00AC000F" w:rsidRPr="00FF1B88">
        <w:rPr>
          <w:rFonts w:ascii="Times New Roman" w:hAnsi="Times New Roman" w:cs="Times New Roman"/>
          <w:color w:val="000000"/>
          <w:sz w:val="24"/>
          <w:szCs w:val="24"/>
          <w:lang w:val="en-GB"/>
        </w:rPr>
        <w:t xml:space="preserve">issues. The rentals due as at March 2019 were not stipulated. </w:t>
      </w:r>
    </w:p>
    <w:p w14:paraId="6633CE13" w14:textId="77777777" w:rsidR="00AC000F" w:rsidRPr="00FF1B88" w:rsidRDefault="00AC000F" w:rsidP="002231CD">
      <w:pPr>
        <w:spacing w:after="0" w:line="360" w:lineRule="auto"/>
        <w:jc w:val="both"/>
        <w:rPr>
          <w:rFonts w:ascii="Times New Roman" w:hAnsi="Times New Roman" w:cs="Times New Roman"/>
          <w:color w:val="000000"/>
          <w:sz w:val="24"/>
          <w:szCs w:val="24"/>
          <w:lang w:val="en-GB"/>
        </w:rPr>
      </w:pPr>
    </w:p>
    <w:p w14:paraId="33E73703" w14:textId="6A42DA5D" w:rsidR="00AC000F" w:rsidRPr="00FF1B88" w:rsidRDefault="00AC000F" w:rsidP="002231CD">
      <w:pPr>
        <w:spacing w:after="0" w:line="360" w:lineRule="auto"/>
        <w:jc w:val="both"/>
        <w:rPr>
          <w:rFonts w:ascii="Times New Roman" w:hAnsi="Times New Roman" w:cs="Times New Roman"/>
          <w:color w:val="000000"/>
          <w:sz w:val="24"/>
          <w:szCs w:val="24"/>
          <w:lang w:val="en-GB"/>
        </w:rPr>
      </w:pPr>
      <w:r w:rsidRPr="00FF1B88">
        <w:rPr>
          <w:rFonts w:ascii="Times New Roman" w:hAnsi="Times New Roman" w:cs="Times New Roman"/>
          <w:color w:val="000000"/>
          <w:sz w:val="24"/>
          <w:szCs w:val="24"/>
          <w:lang w:val="en-GB"/>
        </w:rPr>
        <w:t>[16] Perhaps the parties intended to rely on Annexure A referred to in paragraph 4 of the statement of agreed facts. Three issues emerge from that point. Firstly, the statement ought to have been preceded by a statement of fact, secondly the statement itself was omitted from the papers and thirdly, care must be taken, according</w:t>
      </w:r>
      <w:r w:rsidR="00630465">
        <w:rPr>
          <w:rFonts w:ascii="Times New Roman" w:hAnsi="Times New Roman" w:cs="Times New Roman"/>
          <w:color w:val="000000"/>
          <w:sz w:val="24"/>
          <w:szCs w:val="24"/>
          <w:lang w:val="en-GB"/>
        </w:rPr>
        <w:t xml:space="preserve"> to</w:t>
      </w:r>
      <w:r w:rsidRPr="00FF1B88">
        <w:rPr>
          <w:rFonts w:ascii="Times New Roman" w:hAnsi="Times New Roman" w:cs="Times New Roman"/>
          <w:color w:val="000000"/>
          <w:sz w:val="24"/>
          <w:szCs w:val="24"/>
          <w:lang w:val="en-GB"/>
        </w:rPr>
        <w:t xml:space="preserve">  </w:t>
      </w:r>
      <w:r w:rsidRPr="000A4EAF">
        <w:rPr>
          <w:rFonts w:ascii="Times New Roman" w:hAnsi="Times New Roman" w:cs="Times New Roman"/>
          <w:i/>
          <w:iCs/>
          <w:color w:val="000000"/>
          <w:sz w:val="24"/>
          <w:szCs w:val="24"/>
          <w:lang w:val="en-GB"/>
        </w:rPr>
        <w:t>Kunonga</w:t>
      </w:r>
      <w:r w:rsidR="006E7F99">
        <w:rPr>
          <w:rFonts w:ascii="Times New Roman" w:hAnsi="Times New Roman" w:cs="Times New Roman"/>
          <w:color w:val="000000"/>
          <w:sz w:val="24"/>
          <w:szCs w:val="24"/>
          <w:lang w:val="en-GB"/>
        </w:rPr>
        <w:t xml:space="preserve"> v </w:t>
      </w:r>
      <w:r w:rsidR="006E7F99" w:rsidRPr="003969AD">
        <w:rPr>
          <w:rFonts w:ascii="Times New Roman" w:eastAsia="Calibri" w:hAnsi="Times New Roman" w:cs="Times New Roman"/>
          <w:i/>
          <w:sz w:val="24"/>
          <w:szCs w:val="24"/>
          <w:lang w:val="en-GB"/>
        </w:rPr>
        <w:t>The Church of Central Africa</w:t>
      </w:r>
      <w:r w:rsidRPr="00FF1B88">
        <w:rPr>
          <w:rFonts w:ascii="Times New Roman" w:hAnsi="Times New Roman" w:cs="Times New Roman"/>
          <w:color w:val="000000"/>
          <w:sz w:val="24"/>
          <w:szCs w:val="24"/>
          <w:lang w:val="en-GB"/>
        </w:rPr>
        <w:t>, in referring to extra documentation as provided for in rr 52(3) and 52 (6) of the High Court Rules. The latter provides that; -</w:t>
      </w:r>
    </w:p>
    <w:p w14:paraId="6DCA564C" w14:textId="77777777" w:rsidR="00AC000F" w:rsidRPr="00FF1B88" w:rsidRDefault="00AC000F" w:rsidP="002231CD">
      <w:pPr>
        <w:spacing w:after="0" w:line="360" w:lineRule="auto"/>
        <w:jc w:val="both"/>
        <w:rPr>
          <w:rFonts w:ascii="Times New Roman" w:hAnsi="Times New Roman" w:cs="Times New Roman"/>
          <w:color w:val="000000"/>
          <w:sz w:val="24"/>
          <w:szCs w:val="24"/>
          <w:lang w:val="en-GB"/>
        </w:rPr>
      </w:pPr>
    </w:p>
    <w:p w14:paraId="4B16F316" w14:textId="7E719096" w:rsidR="00AC000F" w:rsidRPr="00FF1B88" w:rsidRDefault="00AC000F" w:rsidP="00AC000F">
      <w:pPr>
        <w:spacing w:after="0" w:line="360" w:lineRule="auto"/>
        <w:ind w:left="851"/>
        <w:jc w:val="both"/>
        <w:rPr>
          <w:rFonts w:ascii="Times New Roman" w:hAnsi="Times New Roman" w:cs="Times New Roman"/>
          <w:color w:val="000000"/>
          <w:sz w:val="24"/>
          <w:szCs w:val="24"/>
          <w:lang w:val="en-GB"/>
        </w:rPr>
      </w:pPr>
      <w:r w:rsidRPr="00FF1B88">
        <w:rPr>
          <w:rFonts w:ascii="Times New Roman" w:hAnsi="Times New Roman" w:cs="Times New Roman"/>
          <w:sz w:val="24"/>
          <w:szCs w:val="24"/>
        </w:rPr>
        <w:t>52 (6) Upon the argument of such case, the court and the parties shall be at liberty to refer to the whole contents of such documents, and the court shall be at liberty to draw from the facts and documents stated in any such special case any inference, whether of fact or law, which might have been drawn therefrom if proved at a trial.</w:t>
      </w:r>
    </w:p>
    <w:p w14:paraId="66133FE3" w14:textId="77777777" w:rsidR="00AC000F" w:rsidRPr="00FF1B88" w:rsidRDefault="00AC000F" w:rsidP="002231CD">
      <w:pPr>
        <w:spacing w:after="0" w:line="360" w:lineRule="auto"/>
        <w:jc w:val="both"/>
        <w:rPr>
          <w:rFonts w:ascii="Times New Roman" w:hAnsi="Times New Roman" w:cs="Times New Roman"/>
          <w:color w:val="000000"/>
          <w:sz w:val="24"/>
          <w:szCs w:val="24"/>
          <w:lang w:val="en-GB"/>
        </w:rPr>
      </w:pPr>
    </w:p>
    <w:p w14:paraId="3591C664" w14:textId="3F99C238" w:rsidR="00E95041" w:rsidRPr="00FF1B88" w:rsidRDefault="00AC000F" w:rsidP="002231CD">
      <w:pPr>
        <w:spacing w:after="0" w:line="360" w:lineRule="auto"/>
        <w:jc w:val="both"/>
        <w:rPr>
          <w:rFonts w:ascii="Times New Roman" w:hAnsi="Times New Roman" w:cs="Times New Roman"/>
          <w:color w:val="000000"/>
          <w:sz w:val="24"/>
          <w:szCs w:val="24"/>
          <w:lang w:val="en-GB"/>
        </w:rPr>
      </w:pPr>
      <w:r w:rsidRPr="00FF1B88">
        <w:rPr>
          <w:rFonts w:ascii="Times New Roman" w:hAnsi="Times New Roman" w:cs="Times New Roman"/>
          <w:color w:val="000000"/>
          <w:sz w:val="24"/>
          <w:szCs w:val="24"/>
          <w:lang w:val="en-GB"/>
        </w:rPr>
        <w:t xml:space="preserve">[17] </w:t>
      </w:r>
      <w:r w:rsidR="00020278" w:rsidRPr="00FF1B88">
        <w:rPr>
          <w:rFonts w:ascii="Times New Roman" w:hAnsi="Times New Roman" w:cs="Times New Roman"/>
          <w:color w:val="000000"/>
          <w:sz w:val="24"/>
          <w:szCs w:val="24"/>
          <w:lang w:val="en-GB"/>
        </w:rPr>
        <w:t>T</w:t>
      </w:r>
      <w:r w:rsidRPr="00FF1B88">
        <w:rPr>
          <w:rFonts w:ascii="Times New Roman" w:hAnsi="Times New Roman" w:cs="Times New Roman"/>
          <w:color w:val="000000"/>
          <w:sz w:val="24"/>
          <w:szCs w:val="24"/>
          <w:lang w:val="en-GB"/>
        </w:rPr>
        <w:t xml:space="preserve">he latitude extended to the court under r 52 (6) is subject to obvious circumscriptions. In particular, the court must be limited to the issues raised by the parties based on the statement of agreed facts filed. This conclusion is confluent with the trite position set out in </w:t>
      </w:r>
      <w:r w:rsidRPr="00FF1B88">
        <w:rPr>
          <w:rFonts w:ascii="Times New Roman" w:hAnsi="Times New Roman" w:cs="Times New Roman"/>
          <w:i/>
          <w:iCs/>
          <w:color w:val="000000"/>
          <w:sz w:val="24"/>
          <w:szCs w:val="24"/>
          <w:lang w:val="en-GB"/>
        </w:rPr>
        <w:t xml:space="preserve">Nzara </w:t>
      </w:r>
      <w:r w:rsidR="00020278" w:rsidRPr="00FF1B88">
        <w:rPr>
          <w:rFonts w:ascii="Times New Roman" w:hAnsi="Times New Roman" w:cs="Times New Roman"/>
          <w:i/>
          <w:iCs/>
          <w:color w:val="000000"/>
          <w:sz w:val="24"/>
          <w:szCs w:val="24"/>
          <w:lang w:val="en-GB"/>
        </w:rPr>
        <w:t xml:space="preserve">&amp; Ors </w:t>
      </w:r>
      <w:r w:rsidRPr="00FF1B88">
        <w:rPr>
          <w:rFonts w:ascii="Times New Roman" w:hAnsi="Times New Roman" w:cs="Times New Roman"/>
          <w:i/>
          <w:iCs/>
          <w:color w:val="000000"/>
          <w:sz w:val="24"/>
          <w:szCs w:val="24"/>
          <w:lang w:val="en-GB"/>
        </w:rPr>
        <w:t xml:space="preserve">v Kashumba </w:t>
      </w:r>
      <w:r w:rsidR="00020278" w:rsidRPr="00FF1B88">
        <w:rPr>
          <w:rFonts w:ascii="Times New Roman" w:hAnsi="Times New Roman" w:cs="Times New Roman"/>
          <w:i/>
          <w:iCs/>
          <w:color w:val="000000"/>
          <w:sz w:val="24"/>
          <w:szCs w:val="24"/>
          <w:lang w:val="en-GB"/>
        </w:rPr>
        <w:t>NO &amp; Ors</w:t>
      </w:r>
      <w:r w:rsidR="00020278" w:rsidRPr="00FF1B88">
        <w:rPr>
          <w:rFonts w:ascii="Times New Roman" w:hAnsi="Times New Roman" w:cs="Times New Roman"/>
          <w:color w:val="000000"/>
          <w:sz w:val="24"/>
          <w:szCs w:val="24"/>
          <w:lang w:val="en-GB"/>
        </w:rPr>
        <w:t xml:space="preserve"> SC 18-18 and kindred authorities. </w:t>
      </w:r>
    </w:p>
    <w:p w14:paraId="37CA8E79" w14:textId="21C01062" w:rsidR="00E50998" w:rsidRPr="00FF1B88" w:rsidRDefault="000E636B" w:rsidP="00E95041">
      <w:pPr>
        <w:pStyle w:val="NormalWeb"/>
        <w:spacing w:line="360" w:lineRule="auto"/>
        <w:jc w:val="both"/>
        <w:rPr>
          <w:shd w:val="clear" w:color="auto" w:fill="FFFFFF"/>
        </w:rPr>
      </w:pPr>
      <w:r w:rsidRPr="00FF1B88">
        <w:rPr>
          <w:color w:val="000000"/>
          <w:lang w:val="en-GB"/>
        </w:rPr>
        <w:t>[1</w:t>
      </w:r>
      <w:r w:rsidR="00020278" w:rsidRPr="00FF1B88">
        <w:rPr>
          <w:color w:val="000000"/>
          <w:lang w:val="en-GB"/>
        </w:rPr>
        <w:t>8</w:t>
      </w:r>
      <w:r w:rsidRPr="00FF1B88">
        <w:rPr>
          <w:color w:val="000000"/>
          <w:lang w:val="en-GB"/>
        </w:rPr>
        <w:t xml:space="preserve">] </w:t>
      </w:r>
      <w:r w:rsidR="00E6010C">
        <w:rPr>
          <w:color w:val="000000"/>
          <w:lang w:val="en-GB"/>
        </w:rPr>
        <w:t>This</w:t>
      </w:r>
      <w:r w:rsidR="00020278" w:rsidRPr="00FF1B88">
        <w:rPr>
          <w:color w:val="000000"/>
          <w:lang w:val="en-GB"/>
        </w:rPr>
        <w:t xml:space="preserve"> also brings me to the incorporation of the terms</w:t>
      </w:r>
      <w:r w:rsidR="00E50998" w:rsidRPr="00FF1B88">
        <w:rPr>
          <w:color w:val="000000"/>
          <w:lang w:val="en-GB"/>
        </w:rPr>
        <w:t xml:space="preserve"> of the lease agreement </w:t>
      </w:r>
      <w:r w:rsidR="00020278" w:rsidRPr="00FF1B88">
        <w:rPr>
          <w:color w:val="000000"/>
          <w:lang w:val="en-GB"/>
        </w:rPr>
        <w:t xml:space="preserve">into the statement of agreed facts by the parties. The terms concerned were </w:t>
      </w:r>
      <w:r w:rsidR="00E50998" w:rsidRPr="00FF1B88">
        <w:rPr>
          <w:color w:val="000000"/>
          <w:lang w:val="en-GB"/>
        </w:rPr>
        <w:t xml:space="preserve">recorded in a 32-clause memorandum. To begin with, it was neither apparent from the facts, issues nor arguments why these terms were incorporated into the statement of agreed facts. More importantly, it must be remembered, per the authority of </w:t>
      </w:r>
      <w:r w:rsidR="00E50998" w:rsidRPr="00FF1B88">
        <w:rPr>
          <w:i/>
          <w:iCs/>
          <w:color w:val="000000"/>
          <w:lang w:val="en-GB"/>
        </w:rPr>
        <w:t>Magodora &amp; Ors v Care International Zimbabwe</w:t>
      </w:r>
      <w:r w:rsidR="00E50998" w:rsidRPr="00FF1B88">
        <w:rPr>
          <w:color w:val="000000"/>
          <w:lang w:val="en-GB"/>
        </w:rPr>
        <w:t xml:space="preserve"> </w:t>
      </w:r>
      <w:r w:rsidR="00E50998" w:rsidRPr="00FF1B88">
        <w:rPr>
          <w:shd w:val="clear" w:color="auto" w:fill="FFFFFF"/>
        </w:rPr>
        <w:t xml:space="preserve">2014 (1) ZLR 397 (S) that the function of the court is to interpret the parties` contract. </w:t>
      </w:r>
    </w:p>
    <w:p w14:paraId="77CF1C96" w14:textId="604136F9" w:rsidR="00CB522F" w:rsidRPr="00FF1B88" w:rsidRDefault="00E50998" w:rsidP="00E95041">
      <w:pPr>
        <w:pStyle w:val="NormalWeb"/>
        <w:spacing w:line="360" w:lineRule="auto"/>
        <w:jc w:val="both"/>
        <w:rPr>
          <w:shd w:val="clear" w:color="auto" w:fill="FFFFFF"/>
        </w:rPr>
      </w:pPr>
      <w:r w:rsidRPr="00FF1B88">
        <w:rPr>
          <w:shd w:val="clear" w:color="auto" w:fill="FFFFFF"/>
        </w:rPr>
        <w:lastRenderedPageBreak/>
        <w:t>[1</w:t>
      </w:r>
      <w:r w:rsidR="00020278" w:rsidRPr="00FF1B88">
        <w:rPr>
          <w:shd w:val="clear" w:color="auto" w:fill="FFFFFF"/>
        </w:rPr>
        <w:t>9</w:t>
      </w:r>
      <w:r w:rsidRPr="00FF1B88">
        <w:rPr>
          <w:shd w:val="clear" w:color="auto" w:fill="FFFFFF"/>
        </w:rPr>
        <w:t xml:space="preserve">] In that respect, it would have been more helpful for the parties to refer to specific clauses </w:t>
      </w:r>
      <w:r w:rsidR="00F12D85" w:rsidRPr="00FF1B88">
        <w:rPr>
          <w:shd w:val="clear" w:color="auto" w:fill="FFFFFF"/>
        </w:rPr>
        <w:t xml:space="preserve">in the lease agreement, </w:t>
      </w:r>
      <w:r w:rsidRPr="00FF1B88">
        <w:rPr>
          <w:shd w:val="clear" w:color="auto" w:fill="FFFFFF"/>
        </w:rPr>
        <w:t xml:space="preserve">as well as the issues in respect of which the court`s interpretation was sought. The parties did refer to clause 3 specifically but firstly, did not identify the issue arising therefrom nor secondly, explain why the rest of the clauses were included in the statement of the agreed facts. </w:t>
      </w:r>
      <w:r w:rsidR="00F12D85" w:rsidRPr="00FF1B88">
        <w:rPr>
          <w:shd w:val="clear" w:color="auto" w:fill="FFFFFF"/>
        </w:rPr>
        <w:t xml:space="preserve">Additional to the above anomalies, paragraph 4 of the statement of agreed facts </w:t>
      </w:r>
      <w:r w:rsidR="00E6010C">
        <w:rPr>
          <w:shd w:val="clear" w:color="auto" w:fill="FFFFFF"/>
        </w:rPr>
        <w:t>contained</w:t>
      </w:r>
      <w:r w:rsidR="00F12D85" w:rsidRPr="00FF1B88">
        <w:rPr>
          <w:shd w:val="clear" w:color="auto" w:fill="FFFFFF"/>
        </w:rPr>
        <w:t xml:space="preserve"> the following </w:t>
      </w:r>
      <w:r w:rsidR="007F333D" w:rsidRPr="00FF1B88">
        <w:rPr>
          <w:shd w:val="clear" w:color="auto" w:fill="FFFFFF"/>
        </w:rPr>
        <w:t>line</w:t>
      </w:r>
      <w:r w:rsidR="007F333D" w:rsidRPr="00FF1B88">
        <w:rPr>
          <w:rFonts w:eastAsia="Aptos"/>
          <w:kern w:val="2"/>
          <w:lang w:val="en-GB"/>
          <w14:ligatures w14:val="standardContextual"/>
        </w:rPr>
        <w:t xml:space="preserve"> which, not being an agreed fact, was clearly misplaced;</w:t>
      </w:r>
      <w:r w:rsidR="00F12D85" w:rsidRPr="00FF1B88">
        <w:rPr>
          <w:shd w:val="clear" w:color="auto" w:fill="FFFFFF"/>
        </w:rPr>
        <w:t xml:space="preserve"> -</w:t>
      </w:r>
    </w:p>
    <w:p w14:paraId="1505F3BB" w14:textId="77777777" w:rsidR="00CB522F" w:rsidRPr="00FF1B88" w:rsidRDefault="00F12D85" w:rsidP="00CB522F">
      <w:pPr>
        <w:pStyle w:val="NormalWeb"/>
        <w:spacing w:line="360" w:lineRule="auto"/>
        <w:ind w:left="851"/>
        <w:jc w:val="both"/>
        <w:rPr>
          <w:rFonts w:eastAsia="Aptos"/>
          <w:kern w:val="2"/>
          <w:lang w:val="en-GB"/>
          <w14:ligatures w14:val="standardContextual"/>
        </w:rPr>
      </w:pPr>
      <w:r w:rsidRPr="00FF1B88">
        <w:rPr>
          <w:shd w:val="clear" w:color="auto" w:fill="FFFFFF"/>
        </w:rPr>
        <w:t xml:space="preserve"> “</w:t>
      </w:r>
      <w:r w:rsidRPr="00FF1B88">
        <w:rPr>
          <w:rFonts w:eastAsia="Aptos"/>
          <w:kern w:val="2"/>
          <w:lang w:val="en-GB"/>
          <w14:ligatures w14:val="standardContextual"/>
        </w:rPr>
        <w:t xml:space="preserve">The Defendant is of the view that the payment of USD$13 506.00 (Thirteen Thousand Five Hundred and Six United States Dollars) covers the full rental and rates obligation from March 2019 up to August 2023.” </w:t>
      </w:r>
    </w:p>
    <w:p w14:paraId="4E27E257" w14:textId="7A6DDF23" w:rsidR="007F333D" w:rsidRPr="00FF1B88" w:rsidRDefault="007F333D" w:rsidP="007F333D">
      <w:pPr>
        <w:pStyle w:val="NormalWeb"/>
        <w:spacing w:line="360" w:lineRule="auto"/>
        <w:jc w:val="both"/>
        <w:rPr>
          <w:color w:val="000000"/>
        </w:rPr>
      </w:pPr>
      <w:r w:rsidRPr="00FF1B88">
        <w:rPr>
          <w:i/>
          <w:iCs/>
          <w:color w:val="000000"/>
        </w:rPr>
        <w:t>The issues before the court.</w:t>
      </w:r>
    </w:p>
    <w:p w14:paraId="63365450" w14:textId="128DF7A3" w:rsidR="00CA4769" w:rsidRPr="00FF1B88" w:rsidRDefault="007F333D" w:rsidP="007F333D">
      <w:pPr>
        <w:pStyle w:val="NormalWeb"/>
        <w:spacing w:line="360" w:lineRule="auto"/>
        <w:jc w:val="both"/>
        <w:rPr>
          <w:color w:val="000000"/>
        </w:rPr>
      </w:pPr>
      <w:r w:rsidRPr="00FF1B88">
        <w:rPr>
          <w:color w:val="000000"/>
        </w:rPr>
        <w:t>[</w:t>
      </w:r>
      <w:r w:rsidR="00020278" w:rsidRPr="00FF1B88">
        <w:rPr>
          <w:color w:val="000000"/>
        </w:rPr>
        <w:t>20</w:t>
      </w:r>
      <w:r w:rsidRPr="00FF1B88">
        <w:rPr>
          <w:color w:val="000000"/>
        </w:rPr>
        <w:t xml:space="preserve">] The </w:t>
      </w:r>
      <w:r w:rsidR="00020278" w:rsidRPr="00FF1B88">
        <w:rPr>
          <w:color w:val="000000"/>
        </w:rPr>
        <w:t>defects in the statement of agreed facts were compounded by the issues</w:t>
      </w:r>
      <w:r w:rsidR="00830646">
        <w:rPr>
          <w:color w:val="000000"/>
        </w:rPr>
        <w:t xml:space="preserve"> before the court, which were</w:t>
      </w:r>
      <w:r w:rsidR="00020278" w:rsidRPr="00FF1B88">
        <w:rPr>
          <w:color w:val="000000"/>
        </w:rPr>
        <w:t xml:space="preserve"> flagged for resolution and evidenced by the arguments advanced by both parties. I start with the issues and in doing so, recognise </w:t>
      </w:r>
      <w:r w:rsidR="00EB773E" w:rsidRPr="00FF1B88">
        <w:rPr>
          <w:color w:val="000000"/>
        </w:rPr>
        <w:t>that before</w:t>
      </w:r>
      <w:r w:rsidR="00020278" w:rsidRPr="00FF1B88">
        <w:rPr>
          <w:color w:val="000000"/>
        </w:rPr>
        <w:t xml:space="preserve"> the court is a landlord and tenant dispute over rentals which the court must </w:t>
      </w:r>
      <w:r w:rsidR="00C563F4" w:rsidRPr="00FF1B88">
        <w:rPr>
          <w:color w:val="000000"/>
        </w:rPr>
        <w:t>resolve. The</w:t>
      </w:r>
      <w:r w:rsidR="00020278" w:rsidRPr="00FF1B88">
        <w:rPr>
          <w:color w:val="000000"/>
        </w:rPr>
        <w:t xml:space="preserve"> court is not about an academic or </w:t>
      </w:r>
      <w:r w:rsidR="00C563F4" w:rsidRPr="00FF1B88">
        <w:rPr>
          <w:color w:val="000000"/>
        </w:rPr>
        <w:t xml:space="preserve">futile exercise. Nor should it pursue a legal argument and leave it </w:t>
      </w:r>
      <w:r w:rsidR="00830646">
        <w:rPr>
          <w:color w:val="000000"/>
        </w:rPr>
        <w:t>unresolved</w:t>
      </w:r>
      <w:r w:rsidR="00C563F4" w:rsidRPr="00FF1B88">
        <w:rPr>
          <w:color w:val="000000"/>
        </w:rPr>
        <w:t xml:space="preserve">. </w:t>
      </w:r>
      <w:r w:rsidR="00FF1B88" w:rsidRPr="00FF1B88">
        <w:rPr>
          <w:color w:val="000000"/>
        </w:rPr>
        <w:t>(See</w:t>
      </w:r>
      <w:r w:rsidR="00C563F4" w:rsidRPr="00FF1B88">
        <w:rPr>
          <w:color w:val="000000"/>
        </w:rPr>
        <w:t xml:space="preserve"> the above excerpts from </w:t>
      </w:r>
      <w:r w:rsidR="00C563F4" w:rsidRPr="00FF1B88">
        <w:rPr>
          <w:i/>
          <w:iCs/>
          <w:color w:val="000000"/>
        </w:rPr>
        <w:t>Kunonga</w:t>
      </w:r>
      <w:r w:rsidR="006E7F99">
        <w:rPr>
          <w:i/>
          <w:iCs/>
          <w:color w:val="000000"/>
        </w:rPr>
        <w:t xml:space="preserve"> v </w:t>
      </w:r>
      <w:r w:rsidR="006E7F99" w:rsidRPr="003969AD">
        <w:rPr>
          <w:rFonts w:eastAsia="Calibri"/>
          <w:i/>
          <w:lang w:val="en-GB"/>
        </w:rPr>
        <w:t>The Church of Central Africa</w:t>
      </w:r>
      <w:r w:rsidR="00C563F4" w:rsidRPr="00FF1B88">
        <w:rPr>
          <w:i/>
          <w:iCs/>
          <w:color w:val="000000"/>
        </w:rPr>
        <w:t>)</w:t>
      </w:r>
      <w:r w:rsidR="00C563F4" w:rsidRPr="00FF1B88">
        <w:rPr>
          <w:color w:val="000000"/>
        </w:rPr>
        <w:t>.</w:t>
      </w:r>
    </w:p>
    <w:p w14:paraId="41AA6BD5" w14:textId="1C3ACD81" w:rsidR="007F333D" w:rsidRPr="00162D1E" w:rsidRDefault="00E6408E" w:rsidP="007F333D">
      <w:pPr>
        <w:pStyle w:val="NormalWeb"/>
        <w:spacing w:line="360" w:lineRule="auto"/>
        <w:jc w:val="both"/>
        <w:rPr>
          <w:i/>
          <w:iCs/>
          <w:color w:val="000000"/>
          <w:u w:val="single"/>
        </w:rPr>
      </w:pPr>
      <w:r w:rsidRPr="00162D1E">
        <w:rPr>
          <w:i/>
          <w:iCs/>
          <w:color w:val="000000"/>
          <w:u w:val="single"/>
        </w:rPr>
        <w:t>Issue 1: -</w:t>
      </w:r>
      <w:r w:rsidR="007F333D" w:rsidRPr="00162D1E">
        <w:rPr>
          <w:i/>
          <w:iCs/>
          <w:color w:val="000000"/>
          <w:u w:val="single"/>
        </w:rPr>
        <w:t>Did the rental obligations convert to RTGS at the rate of one-is-to-one per SI 33/19?</w:t>
      </w:r>
    </w:p>
    <w:p w14:paraId="6C0C33C9" w14:textId="5C572589" w:rsidR="00C563F4" w:rsidRPr="00FF1B88" w:rsidRDefault="007F333D" w:rsidP="009F0903">
      <w:pPr>
        <w:pStyle w:val="NormalWeb"/>
        <w:spacing w:line="360" w:lineRule="auto"/>
        <w:jc w:val="both"/>
        <w:rPr>
          <w:color w:val="000000"/>
        </w:rPr>
      </w:pPr>
      <w:r w:rsidRPr="00FF1B88">
        <w:rPr>
          <w:color w:val="000000"/>
        </w:rPr>
        <w:t>[</w:t>
      </w:r>
      <w:r w:rsidR="00020278" w:rsidRPr="00FF1B88">
        <w:rPr>
          <w:color w:val="000000"/>
        </w:rPr>
        <w:t>21</w:t>
      </w:r>
      <w:r w:rsidR="009F0903" w:rsidRPr="00FF1B88">
        <w:rPr>
          <w:color w:val="000000"/>
        </w:rPr>
        <w:t xml:space="preserve">] This question generates a number of difficulties. </w:t>
      </w:r>
      <w:r w:rsidR="00C563F4" w:rsidRPr="00FF1B88">
        <w:rPr>
          <w:color w:val="000000"/>
        </w:rPr>
        <w:t xml:space="preserve">The primary dispute requires the court to conduct a reconciliation exercise based on currency conversions prescribed by the applicable legislative or regulatory instruments. It is common cause that the matter retraces its roots to the jurisdiction`s multi-currency regime. </w:t>
      </w:r>
      <w:r w:rsidR="009F0903" w:rsidRPr="00FF1B88">
        <w:rPr>
          <w:color w:val="000000"/>
        </w:rPr>
        <w:t xml:space="preserve">The monetary and currency regime in Zimbabwe </w:t>
      </w:r>
      <w:r w:rsidR="00880599">
        <w:rPr>
          <w:color w:val="000000"/>
        </w:rPr>
        <w:t>from</w:t>
      </w:r>
      <w:r w:rsidR="009F0903" w:rsidRPr="00FF1B88">
        <w:rPr>
          <w:color w:val="000000"/>
        </w:rPr>
        <w:t xml:space="preserve"> 2009 to date </w:t>
      </w:r>
      <w:r w:rsidR="00FF1B88" w:rsidRPr="00FF1B88">
        <w:rPr>
          <w:color w:val="000000"/>
        </w:rPr>
        <w:t>has been</w:t>
      </w:r>
      <w:r w:rsidR="009F0903" w:rsidRPr="00FF1B88">
        <w:rPr>
          <w:color w:val="000000"/>
        </w:rPr>
        <w:t xml:space="preserve"> characterised by ebullience. </w:t>
      </w:r>
    </w:p>
    <w:p w14:paraId="6CE30AF4" w14:textId="25FC9464" w:rsidR="00C563F4" w:rsidRPr="00FF1B88" w:rsidRDefault="00C563F4" w:rsidP="00FF1B88">
      <w:pPr>
        <w:pStyle w:val="FootnoteText"/>
        <w:spacing w:line="360" w:lineRule="auto"/>
        <w:jc w:val="both"/>
        <w:rPr>
          <w:rFonts w:ascii="Times New Roman" w:hAnsi="Times New Roman" w:cs="Times New Roman"/>
          <w:color w:val="000000"/>
          <w:sz w:val="24"/>
          <w:szCs w:val="24"/>
        </w:rPr>
      </w:pPr>
      <w:r w:rsidRPr="00FF1B88">
        <w:rPr>
          <w:rFonts w:ascii="Times New Roman" w:hAnsi="Times New Roman" w:cs="Times New Roman"/>
          <w:color w:val="000000"/>
          <w:sz w:val="24"/>
          <w:szCs w:val="24"/>
        </w:rPr>
        <w:t xml:space="preserve">[22] </w:t>
      </w:r>
      <w:r w:rsidR="009F0903" w:rsidRPr="00FF1B88">
        <w:rPr>
          <w:rFonts w:ascii="Times New Roman" w:hAnsi="Times New Roman" w:cs="Times New Roman"/>
          <w:color w:val="000000"/>
          <w:sz w:val="24"/>
          <w:szCs w:val="24"/>
        </w:rPr>
        <w:t xml:space="preserve">A suite of </w:t>
      </w:r>
      <w:r w:rsidR="00FF1B88" w:rsidRPr="00FF1B88">
        <w:rPr>
          <w:rFonts w:ascii="Times New Roman" w:hAnsi="Times New Roman" w:cs="Times New Roman"/>
          <w:color w:val="000000"/>
          <w:sz w:val="24"/>
          <w:szCs w:val="24"/>
        </w:rPr>
        <w:t xml:space="preserve">Acts of Parliament (commencing with </w:t>
      </w:r>
      <w:r w:rsidR="00FF1B88" w:rsidRPr="00FF1B88">
        <w:rPr>
          <w:rFonts w:ascii="Times New Roman" w:eastAsia="Calibri" w:hAnsi="Times New Roman" w:cs="Times New Roman"/>
          <w:sz w:val="24"/>
          <w:szCs w:val="24"/>
          <w:lang w:val="en-US"/>
        </w:rPr>
        <w:t>the Finance (No. 2) Act No. 5 of 2009), statutory</w:t>
      </w:r>
      <w:r w:rsidR="00FF1B88" w:rsidRPr="00FF1B88">
        <w:rPr>
          <w:rFonts w:ascii="Times New Roman" w:hAnsi="Times New Roman" w:cs="Times New Roman"/>
          <w:color w:val="000000"/>
          <w:sz w:val="24"/>
          <w:szCs w:val="24"/>
        </w:rPr>
        <w:t xml:space="preserve"> instruments,</w:t>
      </w:r>
      <w:r w:rsidR="009F0903" w:rsidRPr="00FF1B88">
        <w:rPr>
          <w:rFonts w:ascii="Times New Roman" w:hAnsi="Times New Roman" w:cs="Times New Roman"/>
          <w:color w:val="000000"/>
          <w:sz w:val="24"/>
          <w:szCs w:val="24"/>
        </w:rPr>
        <w:t xml:space="preserve"> and judicial decisions </w:t>
      </w:r>
      <w:r w:rsidR="00D13086">
        <w:rPr>
          <w:rFonts w:ascii="Times New Roman" w:hAnsi="Times New Roman" w:cs="Times New Roman"/>
          <w:color w:val="000000"/>
          <w:sz w:val="24"/>
          <w:szCs w:val="24"/>
        </w:rPr>
        <w:t xml:space="preserve">has </w:t>
      </w:r>
      <w:r w:rsidR="00FF1B88" w:rsidRPr="00FF1B88">
        <w:rPr>
          <w:rFonts w:ascii="Times New Roman" w:hAnsi="Times New Roman" w:cs="Times New Roman"/>
          <w:color w:val="000000"/>
          <w:sz w:val="24"/>
          <w:szCs w:val="24"/>
        </w:rPr>
        <w:t>shaped the currency and monetary regime from 2009 to date.</w:t>
      </w:r>
      <w:r w:rsidRPr="00FF1B88">
        <w:rPr>
          <w:rFonts w:ascii="Times New Roman" w:hAnsi="Times New Roman" w:cs="Times New Roman"/>
          <w:color w:val="000000"/>
          <w:sz w:val="24"/>
          <w:szCs w:val="24"/>
        </w:rPr>
        <w:t xml:space="preserve"> </w:t>
      </w:r>
      <w:r w:rsidR="009F0903" w:rsidRPr="00FF1B88">
        <w:rPr>
          <w:rFonts w:ascii="Times New Roman" w:hAnsi="Times New Roman" w:cs="Times New Roman"/>
          <w:color w:val="000000"/>
          <w:sz w:val="24"/>
          <w:szCs w:val="24"/>
        </w:rPr>
        <w:t>See</w:t>
      </w:r>
      <w:r w:rsidR="00FF1B88" w:rsidRPr="00FF1B88">
        <w:rPr>
          <w:rFonts w:ascii="Times New Roman" w:hAnsi="Times New Roman" w:cs="Times New Roman"/>
          <w:color w:val="000000"/>
          <w:sz w:val="24"/>
          <w:szCs w:val="24"/>
        </w:rPr>
        <w:t xml:space="preserve"> the discussion on the historical development of that regime and</w:t>
      </w:r>
      <w:r w:rsidR="00D13086">
        <w:rPr>
          <w:rFonts w:ascii="Times New Roman" w:hAnsi="Times New Roman" w:cs="Times New Roman"/>
          <w:color w:val="000000"/>
          <w:sz w:val="24"/>
          <w:szCs w:val="24"/>
        </w:rPr>
        <w:t xml:space="preserve"> the</w:t>
      </w:r>
      <w:r w:rsidR="00FF1B88" w:rsidRPr="00FF1B88">
        <w:rPr>
          <w:rFonts w:ascii="Times New Roman" w:hAnsi="Times New Roman" w:cs="Times New Roman"/>
          <w:color w:val="000000"/>
          <w:sz w:val="24"/>
          <w:szCs w:val="24"/>
        </w:rPr>
        <w:t xml:space="preserve"> survey of authorities in </w:t>
      </w:r>
      <w:r w:rsidR="00FF1B88" w:rsidRPr="00EF0744">
        <w:rPr>
          <w:rFonts w:ascii="Times New Roman" w:hAnsi="Times New Roman" w:cs="Times New Roman"/>
          <w:i/>
          <w:iCs/>
          <w:color w:val="000000"/>
          <w:sz w:val="24"/>
          <w:szCs w:val="24"/>
        </w:rPr>
        <w:t>Stone &amp; Anor v CABS &amp; 2 Ors</w:t>
      </w:r>
      <w:r w:rsidR="00FF1B88" w:rsidRPr="00FF1B88">
        <w:rPr>
          <w:rFonts w:ascii="Times New Roman" w:hAnsi="Times New Roman" w:cs="Times New Roman"/>
          <w:color w:val="000000"/>
          <w:sz w:val="24"/>
          <w:szCs w:val="24"/>
        </w:rPr>
        <w:t xml:space="preserve"> HH 118-23</w:t>
      </w:r>
      <w:r w:rsidR="00EF0744">
        <w:rPr>
          <w:rFonts w:ascii="Times New Roman" w:hAnsi="Times New Roman" w:cs="Times New Roman"/>
          <w:color w:val="000000"/>
          <w:sz w:val="24"/>
          <w:szCs w:val="24"/>
        </w:rPr>
        <w:t xml:space="preserve"> and </w:t>
      </w:r>
      <w:r w:rsidR="00FF1B88" w:rsidRPr="00EF0744">
        <w:rPr>
          <w:rFonts w:ascii="Times New Roman" w:hAnsi="Times New Roman" w:cs="Times New Roman"/>
          <w:i/>
          <w:iCs/>
          <w:color w:val="000000"/>
          <w:sz w:val="24"/>
          <w:szCs w:val="24"/>
        </w:rPr>
        <w:t>Baishun</w:t>
      </w:r>
      <w:r w:rsidR="009F0903" w:rsidRPr="00EF0744">
        <w:rPr>
          <w:rFonts w:ascii="Times New Roman" w:hAnsi="Times New Roman" w:cs="Times New Roman"/>
          <w:i/>
          <w:iCs/>
          <w:color w:val="000000"/>
          <w:sz w:val="24"/>
          <w:szCs w:val="24"/>
        </w:rPr>
        <w:t xml:space="preserve"> M</w:t>
      </w:r>
      <w:r w:rsidR="009F0903" w:rsidRPr="00FF1B88">
        <w:rPr>
          <w:rFonts w:ascii="Times New Roman" w:hAnsi="Times New Roman" w:cs="Times New Roman"/>
          <w:i/>
          <w:iCs/>
          <w:color w:val="000000"/>
          <w:sz w:val="24"/>
          <w:szCs w:val="24"/>
        </w:rPr>
        <w:t>ining Company (Pvt) Ltd v Chinda Resources (Pvt) Ltd</w:t>
      </w:r>
      <w:r w:rsidR="009F0903" w:rsidRPr="00FF1B88">
        <w:rPr>
          <w:rFonts w:ascii="Times New Roman" w:hAnsi="Times New Roman" w:cs="Times New Roman"/>
          <w:color w:val="000000"/>
          <w:sz w:val="24"/>
          <w:szCs w:val="24"/>
        </w:rPr>
        <w:t xml:space="preserve"> HH 499-23</w:t>
      </w:r>
      <w:r w:rsidR="00FF1B88" w:rsidRPr="00FF1B88">
        <w:rPr>
          <w:rFonts w:ascii="Times New Roman" w:hAnsi="Times New Roman" w:cs="Times New Roman"/>
          <w:color w:val="000000"/>
          <w:sz w:val="24"/>
          <w:szCs w:val="24"/>
        </w:rPr>
        <w:t xml:space="preserve"> a</w:t>
      </w:r>
      <w:r w:rsidR="00EF0744">
        <w:rPr>
          <w:rFonts w:ascii="Times New Roman" w:hAnsi="Times New Roman" w:cs="Times New Roman"/>
          <w:color w:val="000000"/>
          <w:sz w:val="24"/>
          <w:szCs w:val="24"/>
        </w:rPr>
        <w:t>mong many other decisions</w:t>
      </w:r>
      <w:r w:rsidR="00FF1B88" w:rsidRPr="00FF1B88">
        <w:rPr>
          <w:rFonts w:ascii="Times New Roman" w:hAnsi="Times New Roman" w:cs="Times New Roman"/>
          <w:color w:val="000000"/>
          <w:sz w:val="24"/>
          <w:szCs w:val="24"/>
        </w:rPr>
        <w:t>.</w:t>
      </w:r>
      <w:r w:rsidR="009F0903" w:rsidRPr="00FF1B88">
        <w:rPr>
          <w:rFonts w:ascii="Times New Roman" w:hAnsi="Times New Roman" w:cs="Times New Roman"/>
          <w:color w:val="000000"/>
          <w:sz w:val="24"/>
          <w:szCs w:val="24"/>
        </w:rPr>
        <w:t xml:space="preserve"> </w:t>
      </w:r>
    </w:p>
    <w:p w14:paraId="119B8D8C" w14:textId="0B0B1929" w:rsidR="00C563F4" w:rsidRPr="00FF1B88" w:rsidRDefault="00C563F4" w:rsidP="00FF1B88">
      <w:pPr>
        <w:pStyle w:val="NormalWeb"/>
        <w:spacing w:line="360" w:lineRule="auto"/>
        <w:jc w:val="both"/>
        <w:rPr>
          <w:color w:val="000000"/>
        </w:rPr>
      </w:pPr>
      <w:r w:rsidRPr="00FF1B88">
        <w:rPr>
          <w:color w:val="000000"/>
        </w:rPr>
        <w:lastRenderedPageBreak/>
        <w:t xml:space="preserve"> </w:t>
      </w:r>
      <w:r w:rsidR="009F0903" w:rsidRPr="00FF1B88">
        <w:rPr>
          <w:color w:val="000000"/>
        </w:rPr>
        <w:t xml:space="preserve">In that regard, </w:t>
      </w:r>
      <w:r w:rsidR="00EF0744">
        <w:rPr>
          <w:color w:val="000000"/>
        </w:rPr>
        <w:t>Zimbabwe has witnessed several instances of</w:t>
      </w:r>
      <w:r w:rsidR="00D13086">
        <w:rPr>
          <w:color w:val="000000"/>
        </w:rPr>
        <w:t xml:space="preserve"> the</w:t>
      </w:r>
      <w:r w:rsidR="00EF0744">
        <w:rPr>
          <w:color w:val="000000"/>
        </w:rPr>
        <w:t xml:space="preserve"> introduction, recalibration, revaluation, exchange-rate prescriptions and demonetisation of currency since 2009. The nation</w:t>
      </w:r>
      <w:r w:rsidR="00D13086">
        <w:rPr>
          <w:color w:val="000000"/>
        </w:rPr>
        <w:t xml:space="preserve"> has</w:t>
      </w:r>
      <w:r w:rsidR="00EF0744">
        <w:rPr>
          <w:color w:val="000000"/>
        </w:rPr>
        <w:t xml:space="preserve"> had local currency versions ranging from the old Zimbabwe Dollar, RTGS, ZWL, and current ZiG. The SI 33/19 referred to by the parties being but one out of a long list.</w:t>
      </w:r>
    </w:p>
    <w:p w14:paraId="21F6E3F7" w14:textId="5B9885A7" w:rsidR="009F0903" w:rsidRPr="003D7482" w:rsidRDefault="00C563F4" w:rsidP="00FF1B88">
      <w:pPr>
        <w:pStyle w:val="NormalWeb"/>
        <w:spacing w:line="360" w:lineRule="auto"/>
        <w:jc w:val="both"/>
        <w:rPr>
          <w:rFonts w:eastAsia="Calibri"/>
          <w:kern w:val="2"/>
          <w14:ligatures w14:val="standardContextual"/>
        </w:rPr>
      </w:pPr>
      <w:r w:rsidRPr="00FF1B88">
        <w:rPr>
          <w:color w:val="000000"/>
        </w:rPr>
        <w:t xml:space="preserve">[23] </w:t>
      </w:r>
      <w:r w:rsidR="00B64CC4">
        <w:rPr>
          <w:color w:val="000000"/>
        </w:rPr>
        <w:t>However,</w:t>
      </w:r>
      <w:r w:rsidR="00EF0744">
        <w:rPr>
          <w:color w:val="000000"/>
        </w:rPr>
        <w:t xml:space="preserve"> t</w:t>
      </w:r>
      <w:r w:rsidRPr="00FF1B88">
        <w:rPr>
          <w:color w:val="000000"/>
        </w:rPr>
        <w:t xml:space="preserve">he parties herein confined their inquiry to </w:t>
      </w:r>
      <w:r w:rsidR="009F0903" w:rsidRPr="00FF1B88">
        <w:rPr>
          <w:color w:val="000000"/>
        </w:rPr>
        <w:t>SI 33/</w:t>
      </w:r>
      <w:r w:rsidR="00EF0744" w:rsidRPr="00FF1B88">
        <w:rPr>
          <w:color w:val="000000"/>
        </w:rPr>
        <w:t>19.</w:t>
      </w:r>
      <w:r w:rsidR="00EF0744">
        <w:rPr>
          <w:color w:val="000000"/>
        </w:rPr>
        <w:t xml:space="preserve"> The dispute before the court cannot be resolved by an analysis of the impact of SI 33/19. That statutory instrument was </w:t>
      </w:r>
      <w:r w:rsidR="00B64CC4">
        <w:rPr>
          <w:color w:val="000000"/>
        </w:rPr>
        <w:t>limited</w:t>
      </w:r>
      <w:r w:rsidR="009F0903" w:rsidRPr="00FF1B88">
        <w:rPr>
          <w:color w:val="000000"/>
        </w:rPr>
        <w:t xml:space="preserve"> in</w:t>
      </w:r>
      <w:r w:rsidR="00B64CC4">
        <w:rPr>
          <w:color w:val="000000"/>
        </w:rPr>
        <w:t xml:space="preserve"> its</w:t>
      </w:r>
      <w:r w:rsidR="009F0903" w:rsidRPr="00FF1B88">
        <w:rPr>
          <w:color w:val="000000"/>
        </w:rPr>
        <w:t xml:space="preserve"> </w:t>
      </w:r>
      <w:r w:rsidRPr="00FF1B88">
        <w:rPr>
          <w:color w:val="000000"/>
        </w:rPr>
        <w:t xml:space="preserve">effect. The seminal decision of </w:t>
      </w:r>
      <w:r w:rsidRPr="00FF1B88">
        <w:rPr>
          <w:i/>
          <w:iCs/>
          <w:color w:val="000000"/>
        </w:rPr>
        <w:t>Zambezi Gas v N.R. Barber</w:t>
      </w:r>
      <w:r w:rsidRPr="00FF1B88">
        <w:rPr>
          <w:color w:val="000000"/>
        </w:rPr>
        <w:t xml:space="preserve"> </w:t>
      </w:r>
      <w:r w:rsidR="00FF1B88" w:rsidRPr="00FF1B88">
        <w:rPr>
          <w:color w:val="000000"/>
        </w:rPr>
        <w:t>(supra</w:t>
      </w:r>
      <w:r w:rsidRPr="00FF1B88">
        <w:rPr>
          <w:color w:val="000000"/>
        </w:rPr>
        <w:t xml:space="preserve">) addressed this point. </w:t>
      </w:r>
      <w:r w:rsidR="009F0903" w:rsidRPr="00FF1B88">
        <w:rPr>
          <w:color w:val="000000"/>
        </w:rPr>
        <w:t xml:space="preserve"> </w:t>
      </w:r>
      <w:r w:rsidR="009F0903" w:rsidRPr="00FF1B88">
        <w:rPr>
          <w:rFonts w:eastAsia="Calibri"/>
          <w:kern w:val="2"/>
          <w14:ligatures w14:val="standardContextual"/>
        </w:rPr>
        <w:t xml:space="preserve">MAFUSIRE </w:t>
      </w:r>
      <w:r w:rsidR="009F0903" w:rsidRPr="00C563F4">
        <w:rPr>
          <w:rFonts w:eastAsia="Calibri"/>
          <w:kern w:val="2"/>
          <w:sz w:val="22"/>
          <w:szCs w:val="22"/>
          <w14:ligatures w14:val="standardContextual"/>
        </w:rPr>
        <w:t>J</w:t>
      </w:r>
      <w:r w:rsidR="009F0903" w:rsidRPr="003D7482">
        <w:rPr>
          <w:rFonts w:eastAsia="Calibri"/>
          <w:kern w:val="2"/>
          <w14:ligatures w14:val="standardContextual"/>
        </w:rPr>
        <w:t xml:space="preserve"> (as he then was) </w:t>
      </w:r>
      <w:r w:rsidR="00EF0744">
        <w:rPr>
          <w:rFonts w:eastAsia="Calibri"/>
          <w:kern w:val="2"/>
          <w14:ligatures w14:val="standardContextual"/>
        </w:rPr>
        <w:t xml:space="preserve">also </w:t>
      </w:r>
      <w:r>
        <w:rPr>
          <w:rFonts w:eastAsia="Calibri"/>
          <w:kern w:val="2"/>
          <w14:ligatures w14:val="standardContextual"/>
        </w:rPr>
        <w:t xml:space="preserve">illustrated in summary, </w:t>
      </w:r>
      <w:r w:rsidR="009F0903" w:rsidRPr="003D7482">
        <w:rPr>
          <w:rFonts w:eastAsia="Calibri"/>
          <w:kern w:val="2"/>
          <w14:ligatures w14:val="standardContextual"/>
        </w:rPr>
        <w:t xml:space="preserve">the purpose of SI 33/19 </w:t>
      </w:r>
      <w:r w:rsidR="009F0903">
        <w:rPr>
          <w:rFonts w:eastAsia="Calibri"/>
          <w:kern w:val="2"/>
          <w14:ligatures w14:val="standardContextual"/>
        </w:rPr>
        <w:t>i</w:t>
      </w:r>
      <w:r w:rsidR="009F0903" w:rsidRPr="003D7482">
        <w:rPr>
          <w:color w:val="000000"/>
        </w:rPr>
        <w:t xml:space="preserve">n </w:t>
      </w:r>
      <w:r w:rsidR="009F0903" w:rsidRPr="003D7482">
        <w:rPr>
          <w:rFonts w:eastAsia="Calibri"/>
          <w:i/>
          <w:iCs/>
          <w:kern w:val="2"/>
          <w14:ligatures w14:val="standardContextual"/>
        </w:rPr>
        <w:t>Manojkumar Jivan v Salzman v Salzman Et Sie SA &amp; Anor</w:t>
      </w:r>
      <w:r w:rsidR="009F0903" w:rsidRPr="003D7482">
        <w:rPr>
          <w:rFonts w:eastAsia="Calibri"/>
          <w:kern w:val="2"/>
          <w14:ligatures w14:val="standardContextual"/>
        </w:rPr>
        <w:t xml:space="preserve"> HH 242-22</w:t>
      </w:r>
      <w:r w:rsidR="009F0903">
        <w:rPr>
          <w:rFonts w:eastAsia="Calibri"/>
          <w:kern w:val="2"/>
          <w14:ligatures w14:val="standardContextual"/>
        </w:rPr>
        <w:t xml:space="preserve"> </w:t>
      </w:r>
      <w:r w:rsidR="009F0903" w:rsidRPr="003D7482">
        <w:rPr>
          <w:rFonts w:eastAsia="Calibri"/>
          <w:kern w:val="2"/>
          <w14:ligatures w14:val="standardContextual"/>
        </w:rPr>
        <w:t>as follows at [ 24]; -</w:t>
      </w:r>
    </w:p>
    <w:p w14:paraId="179438A0" w14:textId="77777777" w:rsidR="009F0903" w:rsidRPr="0036318E" w:rsidRDefault="009F0903" w:rsidP="009F0903">
      <w:pPr>
        <w:spacing w:line="360" w:lineRule="auto"/>
        <w:ind w:left="1134"/>
        <w:jc w:val="both"/>
        <w:rPr>
          <w:rFonts w:ascii="Times New Roman" w:eastAsia="Calibri" w:hAnsi="Times New Roman" w:cs="Times New Roman"/>
          <w:kern w:val="2"/>
          <w:sz w:val="24"/>
          <w:szCs w:val="24"/>
          <w14:ligatures w14:val="standardContextual"/>
        </w:rPr>
      </w:pPr>
      <w:r w:rsidRPr="0036318E">
        <w:rPr>
          <w:rFonts w:ascii="Times New Roman" w:eastAsia="Calibri" w:hAnsi="Times New Roman" w:cs="Times New Roman"/>
          <w:i/>
          <w:iCs/>
          <w:kern w:val="2"/>
          <w:sz w:val="24"/>
          <w:szCs w:val="24"/>
          <w14:ligatures w14:val="standardContextual"/>
        </w:rPr>
        <w:t>“[24]</w:t>
      </w:r>
      <w:r w:rsidRPr="0036318E">
        <w:rPr>
          <w:rFonts w:ascii="Times New Roman" w:eastAsia="Calibri" w:hAnsi="Times New Roman" w:cs="Times New Roman"/>
          <w:kern w:val="2"/>
          <w:sz w:val="24"/>
          <w:szCs w:val="24"/>
          <w14:ligatures w14:val="standardContextual"/>
        </w:rPr>
        <w:t xml:space="preserve"> In summary, s 4[1][d] of SI 33/19 provided that for accounting and other purposes, all assets and liabilities that were valued and expressed in United States dollars immediately before the effective date, would be deemed to be values in RTGS dollars at a rate of one-to-one to the United States dollar, on and after the effective date. However, certain assets and liabilities were made exempt from this valuation rate. Such assets and liabilities would be those listed in s 44C (2) of the Reserve Bank of Zimbabwe Act [</w:t>
      </w:r>
      <w:r w:rsidRPr="0036318E">
        <w:rPr>
          <w:rFonts w:ascii="Times New Roman" w:eastAsia="Calibri" w:hAnsi="Times New Roman" w:cs="Times New Roman"/>
          <w:i/>
          <w:kern w:val="2"/>
          <w:sz w:val="24"/>
          <w:szCs w:val="24"/>
          <w14:ligatures w14:val="standardContextual"/>
        </w:rPr>
        <w:t>Chapter 22:15</w:t>
      </w:r>
      <w:r w:rsidRPr="0036318E">
        <w:rPr>
          <w:rFonts w:ascii="Times New Roman" w:eastAsia="Calibri" w:hAnsi="Times New Roman" w:cs="Times New Roman"/>
          <w:kern w:val="2"/>
          <w:sz w:val="24"/>
          <w:szCs w:val="24"/>
          <w14:ligatures w14:val="standardContextual"/>
        </w:rPr>
        <w:t>], a provision that was contemporaneously enacted together with, and simultaneously inserted by, S.I. 33/19</w:t>
      </w:r>
      <w:r>
        <w:rPr>
          <w:rFonts w:ascii="Times New Roman" w:eastAsia="Calibri" w:hAnsi="Times New Roman" w:cs="Times New Roman"/>
          <w:kern w:val="2"/>
          <w:sz w:val="24"/>
          <w:szCs w:val="24"/>
          <w14:ligatures w14:val="standardContextual"/>
        </w:rPr>
        <w:t>.”</w:t>
      </w:r>
    </w:p>
    <w:p w14:paraId="38608B17" w14:textId="14DF6C9D" w:rsidR="00E6408E" w:rsidRDefault="00E6408E" w:rsidP="007F333D">
      <w:pPr>
        <w:pStyle w:val="NormalWeb"/>
        <w:spacing w:line="360" w:lineRule="auto"/>
        <w:jc w:val="both"/>
        <w:rPr>
          <w:color w:val="000000"/>
        </w:rPr>
      </w:pPr>
      <w:r>
        <w:rPr>
          <w:color w:val="000000"/>
        </w:rPr>
        <w:t xml:space="preserve">[24] My conclusion is that the first issue raised by the parties for determination under the stated case is not dispositive of the issues. </w:t>
      </w:r>
    </w:p>
    <w:p w14:paraId="0D58AA26" w14:textId="7AAE7DAF" w:rsidR="00E6408E" w:rsidRPr="00162D1E" w:rsidRDefault="00E6408E" w:rsidP="00E6408E">
      <w:pPr>
        <w:spacing w:line="360" w:lineRule="auto"/>
        <w:jc w:val="both"/>
        <w:rPr>
          <w:rFonts w:ascii="Times New Roman" w:eastAsia="Aptos" w:hAnsi="Times New Roman" w:cs="Times New Roman"/>
          <w:i/>
          <w:iCs/>
          <w:kern w:val="2"/>
          <w:sz w:val="24"/>
          <w:szCs w:val="24"/>
          <w:u w:val="single"/>
          <w:lang w:val="en-GB"/>
          <w14:ligatures w14:val="standardContextual"/>
        </w:rPr>
      </w:pPr>
      <w:r w:rsidRPr="00162D1E">
        <w:rPr>
          <w:rFonts w:ascii="Times New Roman" w:hAnsi="Times New Roman" w:cs="Times New Roman"/>
          <w:i/>
          <w:iCs/>
          <w:color w:val="000000"/>
          <w:sz w:val="24"/>
          <w:szCs w:val="24"/>
          <w:u w:val="single"/>
        </w:rPr>
        <w:t xml:space="preserve">Issue 2: - Did the </w:t>
      </w:r>
      <w:r w:rsidRPr="00162D1E">
        <w:rPr>
          <w:rFonts w:ascii="Times New Roman" w:eastAsia="Aptos" w:hAnsi="Times New Roman" w:cs="Times New Roman"/>
          <w:i/>
          <w:iCs/>
          <w:kern w:val="2"/>
          <w:sz w:val="24"/>
          <w:szCs w:val="24"/>
          <w:u w:val="single"/>
          <w:lang w:val="en-GB"/>
          <w14:ligatures w14:val="standardContextual"/>
        </w:rPr>
        <w:t xml:space="preserve">defendant’s payment of USD$13,506.00 (Thirteen Thousand Five Hundred and Six United States Dollars) extinguish the obligation of $35 454.00 for the period </w:t>
      </w:r>
    </w:p>
    <w:p w14:paraId="065120DD" w14:textId="1AF7717E" w:rsidR="00E6408E" w:rsidRDefault="00E6408E" w:rsidP="007F333D">
      <w:pPr>
        <w:pStyle w:val="NormalWeb"/>
        <w:spacing w:line="360" w:lineRule="auto"/>
        <w:jc w:val="both"/>
        <w:rPr>
          <w:color w:val="000000"/>
        </w:rPr>
      </w:pPr>
      <w:r>
        <w:rPr>
          <w:color w:val="000000"/>
        </w:rPr>
        <w:t xml:space="preserve"> [25] Issue 1 dealt with the formula to apply </w:t>
      </w:r>
      <w:r w:rsidR="00B64CC4">
        <w:rPr>
          <w:color w:val="000000"/>
        </w:rPr>
        <w:t>in</w:t>
      </w:r>
      <w:r>
        <w:rPr>
          <w:color w:val="000000"/>
        </w:rPr>
        <w:t xml:space="preserve"> resolving issue 2 above. In the absence of a proper formula, issue 2 automatically falls away. </w:t>
      </w:r>
      <w:r w:rsidR="001D251D">
        <w:rPr>
          <w:color w:val="000000"/>
        </w:rPr>
        <w:t>Again,</w:t>
      </w:r>
      <w:r>
        <w:rPr>
          <w:color w:val="000000"/>
        </w:rPr>
        <w:t xml:space="preserve"> the error retraces to the flawed statement of agreed facts which failed to advert to the reconciliation</w:t>
      </w:r>
      <w:r w:rsidR="00907F63">
        <w:rPr>
          <w:color w:val="000000"/>
        </w:rPr>
        <w:t xml:space="preserve"> exercise</w:t>
      </w:r>
      <w:r>
        <w:rPr>
          <w:color w:val="000000"/>
        </w:rPr>
        <w:t xml:space="preserve">. I turn, on the same point to the arguments placed before the court. A reading of the written submissions </w:t>
      </w:r>
      <w:r w:rsidR="001D251D">
        <w:rPr>
          <w:color w:val="000000"/>
        </w:rPr>
        <w:t>of</w:t>
      </w:r>
      <w:r>
        <w:rPr>
          <w:color w:val="000000"/>
        </w:rPr>
        <w:t xml:space="preserve"> both parties reflects the same fundamental defects in the statement of agreed facts.</w:t>
      </w:r>
    </w:p>
    <w:p w14:paraId="706DCCA4" w14:textId="21C9AE2A" w:rsidR="006E7F99" w:rsidRDefault="00E6408E" w:rsidP="007F333D">
      <w:pPr>
        <w:pStyle w:val="NormalWeb"/>
        <w:spacing w:line="360" w:lineRule="auto"/>
        <w:jc w:val="both"/>
        <w:rPr>
          <w:color w:val="000000"/>
        </w:rPr>
      </w:pPr>
      <w:r>
        <w:rPr>
          <w:color w:val="000000"/>
        </w:rPr>
        <w:lastRenderedPageBreak/>
        <w:t>[26] The arg</w:t>
      </w:r>
      <w:r w:rsidR="006E7F99">
        <w:rPr>
          <w:color w:val="000000"/>
        </w:rPr>
        <w:t xml:space="preserve">uments relapsed into a commentary </w:t>
      </w:r>
      <w:r w:rsidR="001D251D">
        <w:rPr>
          <w:color w:val="000000"/>
        </w:rPr>
        <w:t>on</w:t>
      </w:r>
      <w:r w:rsidR="006E7F99">
        <w:rPr>
          <w:color w:val="000000"/>
        </w:rPr>
        <w:t xml:space="preserve"> the factual issues which the parties had assured the court were settled. Whilst plaintiff was circumspect on that aspect, defendant delved into the facts with gusto. Another betrayal of the lack of oneness of agreed facts is that the subsequent arguments did not quite address the parties` respective </w:t>
      </w:r>
      <w:r w:rsidR="00162D1E">
        <w:rPr>
          <w:color w:val="000000"/>
        </w:rPr>
        <w:t>positions. On the basis of the order issued hereunder, it becomes unnecessary to comment further on the arguments raised on the merits.</w:t>
      </w:r>
    </w:p>
    <w:p w14:paraId="33E8CE11" w14:textId="2915C9B1" w:rsidR="006E7F99" w:rsidRPr="00162D1E" w:rsidRDefault="006E7F99" w:rsidP="007F333D">
      <w:pPr>
        <w:pStyle w:val="NormalWeb"/>
        <w:spacing w:line="360" w:lineRule="auto"/>
        <w:jc w:val="both"/>
        <w:rPr>
          <w:color w:val="000000"/>
          <w:sz w:val="22"/>
          <w:szCs w:val="22"/>
        </w:rPr>
      </w:pPr>
      <w:r w:rsidRPr="00162D1E">
        <w:rPr>
          <w:color w:val="000000"/>
          <w:sz w:val="22"/>
          <w:szCs w:val="22"/>
        </w:rPr>
        <w:t>DISPOSITION</w:t>
      </w:r>
    </w:p>
    <w:p w14:paraId="0B258A3D" w14:textId="136F8049" w:rsidR="006E7F99" w:rsidRDefault="006E7F99" w:rsidP="007F333D">
      <w:pPr>
        <w:pStyle w:val="NormalWeb"/>
        <w:spacing w:line="360" w:lineRule="auto"/>
        <w:jc w:val="both"/>
        <w:rPr>
          <w:color w:val="000000"/>
        </w:rPr>
      </w:pPr>
      <w:r>
        <w:rPr>
          <w:color w:val="000000"/>
        </w:rPr>
        <w:t>[27] It is my finding from the foregoing, that there is no proper stated case before the court. I thus turn to the remedy set out in r 52 (9) of the High Court Rules which provides that; -</w:t>
      </w:r>
    </w:p>
    <w:p w14:paraId="771EFB4B" w14:textId="21D3CA70" w:rsidR="006E7F99" w:rsidRDefault="006E7F99" w:rsidP="006E7F99">
      <w:pPr>
        <w:pStyle w:val="NormalWeb"/>
        <w:spacing w:line="360" w:lineRule="auto"/>
        <w:ind w:left="851"/>
        <w:jc w:val="both"/>
        <w:rPr>
          <w:color w:val="000000"/>
        </w:rPr>
      </w:pPr>
      <w:r>
        <w:rPr>
          <w:sz w:val="22"/>
          <w:szCs w:val="22"/>
        </w:rPr>
        <w:t>52 (9) When giving its decision upon any question in terms of this Rule, the court may give judgment as may upon such decision be appropriate and may give any direction with regard to the hearing of any other issues in the proceedings which may be necessary for the final disposal thereof.</w:t>
      </w:r>
    </w:p>
    <w:p w14:paraId="48AB8338" w14:textId="5F23283B" w:rsidR="006E7F99" w:rsidRPr="00162D1E" w:rsidRDefault="006E7F99" w:rsidP="007F333D">
      <w:pPr>
        <w:pStyle w:val="NormalWeb"/>
        <w:spacing w:line="360" w:lineRule="auto"/>
        <w:jc w:val="both"/>
        <w:rPr>
          <w:rFonts w:eastAsia="Calibri"/>
          <w:iCs/>
          <w:lang w:val="en-GB"/>
        </w:rPr>
      </w:pPr>
      <w:r>
        <w:rPr>
          <w:color w:val="000000"/>
        </w:rPr>
        <w:t xml:space="preserve">[28] I draw the guidance from decisions such as </w:t>
      </w:r>
      <w:r w:rsidRPr="000A4EAF">
        <w:rPr>
          <w:i/>
          <w:iCs/>
          <w:color w:val="000000"/>
        </w:rPr>
        <w:t>Leathout v Muvirimi, Kunonga</w:t>
      </w:r>
      <w:r>
        <w:rPr>
          <w:color w:val="000000"/>
        </w:rPr>
        <w:t xml:space="preserve"> v </w:t>
      </w:r>
      <w:r w:rsidRPr="003969AD">
        <w:rPr>
          <w:rFonts w:eastAsia="Calibri"/>
          <w:i/>
          <w:lang w:val="en-GB"/>
        </w:rPr>
        <w:t xml:space="preserve">The Church of Central </w:t>
      </w:r>
      <w:r w:rsidR="00F90880" w:rsidRPr="003969AD">
        <w:rPr>
          <w:rFonts w:eastAsia="Calibri"/>
          <w:i/>
          <w:lang w:val="en-GB"/>
        </w:rPr>
        <w:t>Africa</w:t>
      </w:r>
      <w:r w:rsidR="00F90880" w:rsidRPr="003969AD">
        <w:rPr>
          <w:rFonts w:eastAsia="Calibri"/>
          <w:lang w:val="en-GB"/>
        </w:rPr>
        <w:t xml:space="preserve"> </w:t>
      </w:r>
      <w:r w:rsidR="00F90880">
        <w:rPr>
          <w:rFonts w:eastAsia="Calibri"/>
          <w:lang w:val="en-GB"/>
        </w:rPr>
        <w:t>and</w:t>
      </w:r>
      <w:r>
        <w:rPr>
          <w:rFonts w:eastAsia="Calibri"/>
          <w:lang w:val="en-GB"/>
        </w:rPr>
        <w:t xml:space="preserve"> </w:t>
      </w:r>
      <w:r w:rsidR="00F90880" w:rsidRPr="00504CC1">
        <w:rPr>
          <w:rFonts w:eastAsia="Calibri"/>
          <w:i/>
          <w:lang w:val="en-GB"/>
        </w:rPr>
        <w:t>Bane v D’Ambrisio</w:t>
      </w:r>
      <w:r w:rsidR="00F90880">
        <w:rPr>
          <w:rFonts w:eastAsia="Calibri"/>
          <w:i/>
          <w:lang w:val="en-GB"/>
        </w:rPr>
        <w:t xml:space="preserve"> </w:t>
      </w:r>
      <w:r w:rsidR="00F90880" w:rsidRPr="00162D1E">
        <w:rPr>
          <w:rFonts w:eastAsia="Calibri"/>
          <w:iCs/>
          <w:lang w:val="en-GB"/>
        </w:rPr>
        <w:t>that a defective stated case may be struck off and the parties referred to remedy the errors via pre trial processes. I thus make the following order; -</w:t>
      </w:r>
    </w:p>
    <w:p w14:paraId="1453F027" w14:textId="3DD6A42A" w:rsidR="00F90880" w:rsidRPr="00162D1E" w:rsidRDefault="00F90880" w:rsidP="00162D1E">
      <w:pPr>
        <w:pStyle w:val="NormalWeb"/>
        <w:numPr>
          <w:ilvl w:val="0"/>
          <w:numId w:val="7"/>
        </w:numPr>
        <w:spacing w:line="360" w:lineRule="auto"/>
        <w:jc w:val="both"/>
        <w:rPr>
          <w:rFonts w:eastAsia="Calibri"/>
          <w:iCs/>
          <w:lang w:val="en-GB"/>
        </w:rPr>
      </w:pPr>
      <w:r w:rsidRPr="00162D1E">
        <w:rPr>
          <w:rFonts w:eastAsia="Calibri"/>
          <w:iCs/>
          <w:lang w:val="en-GB"/>
        </w:rPr>
        <w:t>The stated case filed by the parties in terms of rule 52 of the High Court Rules as read with rule 4(2) of the Commercial Court Rules be and is hereby struck off the roll.</w:t>
      </w:r>
    </w:p>
    <w:p w14:paraId="27FB72D1" w14:textId="4D185A76" w:rsidR="00F90880" w:rsidRPr="00162D1E" w:rsidRDefault="00F90880" w:rsidP="00162D1E">
      <w:pPr>
        <w:pStyle w:val="NormalWeb"/>
        <w:numPr>
          <w:ilvl w:val="0"/>
          <w:numId w:val="7"/>
        </w:numPr>
        <w:spacing w:line="360" w:lineRule="auto"/>
        <w:jc w:val="both"/>
        <w:rPr>
          <w:rFonts w:eastAsia="Calibri"/>
          <w:iCs/>
          <w:lang w:val="en-GB"/>
        </w:rPr>
      </w:pPr>
      <w:r w:rsidRPr="00162D1E">
        <w:rPr>
          <w:rFonts w:eastAsia="Calibri"/>
          <w:iCs/>
          <w:lang w:val="en-GB"/>
        </w:rPr>
        <w:t xml:space="preserve">That the plaintiff is directed to file, within 14 days of the date of this Order, </w:t>
      </w:r>
      <w:r w:rsidR="00162D1E" w:rsidRPr="00162D1E">
        <w:rPr>
          <w:rFonts w:eastAsia="Calibri"/>
          <w:iCs/>
          <w:lang w:val="en-GB"/>
        </w:rPr>
        <w:t>an updated</w:t>
      </w:r>
      <w:r w:rsidRPr="00162D1E">
        <w:rPr>
          <w:rFonts w:eastAsia="Calibri"/>
          <w:iCs/>
          <w:lang w:val="en-GB"/>
        </w:rPr>
        <w:t xml:space="preserve"> indexed bundle together with a request for set down of the main dispute between the </w:t>
      </w:r>
      <w:r w:rsidR="00162D1E" w:rsidRPr="00162D1E">
        <w:rPr>
          <w:rFonts w:eastAsia="Calibri"/>
          <w:iCs/>
          <w:lang w:val="en-GB"/>
        </w:rPr>
        <w:t>parties for</w:t>
      </w:r>
      <w:r w:rsidRPr="00162D1E">
        <w:rPr>
          <w:rFonts w:eastAsia="Calibri"/>
          <w:iCs/>
          <w:lang w:val="en-GB"/>
        </w:rPr>
        <w:t xml:space="preserve"> a case management conference to address the issues raised in this judgment for the progression of the matter.</w:t>
      </w:r>
    </w:p>
    <w:p w14:paraId="2969A3B7" w14:textId="1AD3282A" w:rsidR="00F90880" w:rsidRPr="00162D1E" w:rsidRDefault="00F90880" w:rsidP="00162D1E">
      <w:pPr>
        <w:pStyle w:val="NormalWeb"/>
        <w:numPr>
          <w:ilvl w:val="0"/>
          <w:numId w:val="7"/>
        </w:numPr>
        <w:spacing w:line="360" w:lineRule="auto"/>
        <w:jc w:val="both"/>
        <w:rPr>
          <w:rFonts w:eastAsia="Calibri"/>
          <w:iCs/>
          <w:lang w:val="en-GB"/>
        </w:rPr>
      </w:pPr>
      <w:r w:rsidRPr="00162D1E">
        <w:rPr>
          <w:rFonts w:eastAsia="Calibri"/>
          <w:iCs/>
          <w:lang w:val="en-GB"/>
        </w:rPr>
        <w:t>That there be no order as to costs.</w:t>
      </w:r>
    </w:p>
    <w:p w14:paraId="10AAF9BD" w14:textId="1518A5CB" w:rsidR="00F90880" w:rsidRPr="00F90880" w:rsidRDefault="00F90880" w:rsidP="00F90880">
      <w:pPr>
        <w:pStyle w:val="NoSpacing"/>
        <w:rPr>
          <w:rFonts w:ascii="Times New Roman" w:hAnsi="Times New Roman" w:cs="Times New Roman"/>
          <w:sz w:val="24"/>
          <w:szCs w:val="24"/>
        </w:rPr>
      </w:pPr>
      <w:r w:rsidRPr="00F90880">
        <w:rPr>
          <w:rFonts w:ascii="Times New Roman" w:hAnsi="Times New Roman" w:cs="Times New Roman"/>
          <w:i/>
          <w:iCs/>
          <w:sz w:val="24"/>
          <w:szCs w:val="24"/>
        </w:rPr>
        <w:t>Samukange Hungwe Attorneys</w:t>
      </w:r>
      <w:r w:rsidRPr="00F90880">
        <w:rPr>
          <w:rFonts w:ascii="Times New Roman" w:hAnsi="Times New Roman" w:cs="Times New Roman"/>
          <w:sz w:val="24"/>
          <w:szCs w:val="24"/>
        </w:rPr>
        <w:t>- plaintiff`s legal practitioners</w:t>
      </w:r>
    </w:p>
    <w:p w14:paraId="247EFF88" w14:textId="48B1EF37" w:rsidR="00F90880" w:rsidRDefault="00F90880" w:rsidP="00F90880">
      <w:pPr>
        <w:pStyle w:val="NoSpacing"/>
        <w:rPr>
          <w:rFonts w:ascii="Times New Roman" w:hAnsi="Times New Roman" w:cs="Times New Roman"/>
          <w:sz w:val="24"/>
          <w:szCs w:val="24"/>
        </w:rPr>
      </w:pPr>
      <w:r w:rsidRPr="00F90880">
        <w:rPr>
          <w:rFonts w:ascii="Times New Roman" w:hAnsi="Times New Roman" w:cs="Times New Roman"/>
          <w:i/>
          <w:iCs/>
          <w:sz w:val="24"/>
          <w:szCs w:val="24"/>
        </w:rPr>
        <w:t>R. Murambasvina Law Chambers</w:t>
      </w:r>
      <w:r w:rsidRPr="00F90880">
        <w:rPr>
          <w:rFonts w:ascii="Times New Roman" w:hAnsi="Times New Roman" w:cs="Times New Roman"/>
          <w:sz w:val="24"/>
          <w:szCs w:val="24"/>
        </w:rPr>
        <w:t>-defendant`s legal practitioners</w:t>
      </w:r>
    </w:p>
    <w:p w14:paraId="24B63C4B" w14:textId="67BF85E8" w:rsidR="00F90880" w:rsidRPr="00F90880" w:rsidRDefault="00F90880" w:rsidP="00F90880">
      <w:pPr>
        <w:pStyle w:val="NoSpacing"/>
        <w:rPr>
          <w:rFonts w:ascii="Times New Roman" w:hAnsi="Times New Roman" w:cs="Times New Roman"/>
          <w:b/>
          <w:bCs/>
          <w:sz w:val="16"/>
          <w:szCs w:val="16"/>
        </w:rPr>
      </w:pPr>
      <w:r>
        <w:rPr>
          <w:rFonts w:ascii="Times New Roman" w:hAnsi="Times New Roman" w:cs="Times New Roman"/>
          <w:sz w:val="24"/>
          <w:szCs w:val="24"/>
        </w:rPr>
        <w:t xml:space="preserve">                                                                                                                 </w:t>
      </w:r>
      <w:r w:rsidRPr="00F90880">
        <w:rPr>
          <w:rFonts w:ascii="Times New Roman" w:hAnsi="Times New Roman" w:cs="Times New Roman"/>
          <w:b/>
          <w:bCs/>
          <w:sz w:val="16"/>
          <w:szCs w:val="16"/>
        </w:rPr>
        <w:t>[CHILIMBE J___13/7/26]</w:t>
      </w:r>
    </w:p>
    <w:p w14:paraId="5644A200" w14:textId="77777777" w:rsidR="00F90880" w:rsidRDefault="00F90880" w:rsidP="007F333D">
      <w:pPr>
        <w:pStyle w:val="NormalWeb"/>
        <w:spacing w:line="360" w:lineRule="auto"/>
        <w:jc w:val="both"/>
        <w:rPr>
          <w:color w:val="000000"/>
        </w:rPr>
      </w:pPr>
    </w:p>
    <w:p w14:paraId="1B9164E1" w14:textId="77777777" w:rsidR="00E6408E" w:rsidRDefault="00E6408E" w:rsidP="007F333D">
      <w:pPr>
        <w:pStyle w:val="NormalWeb"/>
        <w:spacing w:line="360" w:lineRule="auto"/>
        <w:jc w:val="both"/>
        <w:rPr>
          <w:color w:val="000000"/>
        </w:rPr>
      </w:pPr>
    </w:p>
    <w:p w14:paraId="7AF1430F" w14:textId="77777777" w:rsidR="00E6408E" w:rsidRDefault="00E6408E" w:rsidP="007F333D">
      <w:pPr>
        <w:pStyle w:val="NormalWeb"/>
        <w:spacing w:line="360" w:lineRule="auto"/>
        <w:jc w:val="both"/>
        <w:rPr>
          <w:color w:val="000000"/>
        </w:rPr>
      </w:pPr>
    </w:p>
    <w:p w14:paraId="52CF3A5E" w14:textId="77777777" w:rsidR="00E6408E" w:rsidRDefault="00E6408E" w:rsidP="007F333D">
      <w:pPr>
        <w:pStyle w:val="NormalWeb"/>
        <w:spacing w:line="360" w:lineRule="auto"/>
        <w:jc w:val="both"/>
        <w:rPr>
          <w:color w:val="000000"/>
        </w:rPr>
      </w:pPr>
    </w:p>
    <w:p w14:paraId="3C2CF662" w14:textId="77777777" w:rsidR="00E6408E" w:rsidRDefault="00E6408E" w:rsidP="007F333D">
      <w:pPr>
        <w:pStyle w:val="NormalWeb"/>
        <w:spacing w:line="360" w:lineRule="auto"/>
        <w:jc w:val="both"/>
        <w:rPr>
          <w:color w:val="000000"/>
        </w:rPr>
      </w:pPr>
    </w:p>
    <w:sectPr w:rsidR="00E6408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99C4ED" w14:textId="77777777" w:rsidR="0087617A" w:rsidRDefault="0087617A" w:rsidP="00193F03">
      <w:pPr>
        <w:spacing w:after="0" w:line="240" w:lineRule="auto"/>
      </w:pPr>
      <w:r>
        <w:separator/>
      </w:r>
    </w:p>
  </w:endnote>
  <w:endnote w:type="continuationSeparator" w:id="0">
    <w:p w14:paraId="0146FB9C" w14:textId="77777777" w:rsidR="0087617A" w:rsidRDefault="0087617A" w:rsidP="00193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267EA1" w14:textId="77777777" w:rsidR="0087617A" w:rsidRDefault="0087617A" w:rsidP="00193F03">
      <w:pPr>
        <w:spacing w:after="0" w:line="240" w:lineRule="auto"/>
      </w:pPr>
      <w:r>
        <w:separator/>
      </w:r>
    </w:p>
  </w:footnote>
  <w:footnote w:type="continuationSeparator" w:id="0">
    <w:p w14:paraId="196D4D7E" w14:textId="77777777" w:rsidR="0087617A" w:rsidRDefault="0087617A" w:rsidP="00193F03">
      <w:pPr>
        <w:spacing w:after="0" w:line="240" w:lineRule="auto"/>
      </w:pPr>
      <w:r>
        <w:continuationSeparator/>
      </w:r>
    </w:p>
  </w:footnote>
  <w:footnote w:id="1">
    <w:p w14:paraId="580E1451" w14:textId="6E38F7CE" w:rsidR="00F706D3" w:rsidRPr="00EB1D5C" w:rsidRDefault="00F706D3">
      <w:pPr>
        <w:pStyle w:val="FootnoteText"/>
        <w:rPr>
          <w:rFonts w:ascii="Times New Roman" w:hAnsi="Times New Roman" w:cs="Times New Roman"/>
          <w:sz w:val="18"/>
          <w:szCs w:val="18"/>
        </w:rPr>
      </w:pPr>
      <w:r w:rsidRPr="00EB1D5C">
        <w:rPr>
          <w:rStyle w:val="FootnoteReference"/>
          <w:rFonts w:ascii="Times New Roman" w:hAnsi="Times New Roman" w:cs="Times New Roman"/>
          <w:sz w:val="18"/>
          <w:szCs w:val="18"/>
        </w:rPr>
        <w:footnoteRef/>
      </w:r>
      <w:r w:rsidRPr="00EB1D5C">
        <w:rPr>
          <w:rFonts w:ascii="Times New Roman" w:hAnsi="Times New Roman" w:cs="Times New Roman"/>
          <w:sz w:val="18"/>
          <w:szCs w:val="18"/>
        </w:rPr>
        <w:t xml:space="preserve"> T</w:t>
      </w:r>
      <w:r w:rsidRPr="00EB1D5C">
        <w:rPr>
          <w:rFonts w:ascii="Times New Roman" w:hAnsi="Times New Roman" w:cs="Times New Roman"/>
          <w:color w:val="000000"/>
          <w:sz w:val="18"/>
          <w:szCs w:val="18"/>
          <w:lang w:val="en-GB"/>
        </w:rPr>
        <w:t xml:space="preserve">he </w:t>
      </w:r>
      <w:r w:rsidRPr="00EB1D5C">
        <w:rPr>
          <w:rFonts w:ascii="Times New Roman" w:hAnsi="Times New Roman" w:cs="Times New Roman"/>
          <w:sz w:val="18"/>
          <w:szCs w:val="18"/>
        </w:rPr>
        <w:t>Presidential Powers (Temporary Measures) (Amendment of Reserve Bank of Zimbabwe Act and Issue of Real Time Gross Settlement Electronic Dollars (RTGS Dollars)) Regulations, SI 33/2019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bCs/>
        <w:sz w:val="20"/>
        <w:szCs w:val="20"/>
      </w:rPr>
      <w:id w:val="-2074647744"/>
      <w:docPartObj>
        <w:docPartGallery w:val="Page Numbers (Top of Page)"/>
        <w:docPartUnique/>
      </w:docPartObj>
    </w:sdtPr>
    <w:sdtEndPr>
      <w:rPr>
        <w:noProof/>
      </w:rPr>
    </w:sdtEndPr>
    <w:sdtContent>
      <w:p w14:paraId="31860642" w14:textId="77777777" w:rsidR="00193F03" w:rsidRPr="00193F03" w:rsidRDefault="00193F03" w:rsidP="00DF69D3">
        <w:pPr>
          <w:pStyle w:val="Header"/>
          <w:jc w:val="right"/>
          <w:rPr>
            <w:b/>
            <w:bCs/>
            <w:noProof/>
            <w:sz w:val="20"/>
            <w:szCs w:val="20"/>
          </w:rPr>
        </w:pPr>
        <w:r w:rsidRPr="00193F03">
          <w:rPr>
            <w:b/>
            <w:bCs/>
            <w:sz w:val="20"/>
            <w:szCs w:val="20"/>
          </w:rPr>
          <w:fldChar w:fldCharType="begin"/>
        </w:r>
        <w:r w:rsidRPr="00193F03">
          <w:rPr>
            <w:b/>
            <w:bCs/>
            <w:sz w:val="20"/>
            <w:szCs w:val="20"/>
          </w:rPr>
          <w:instrText xml:space="preserve"> PAGE   \* MERGEFORMAT </w:instrText>
        </w:r>
        <w:r w:rsidRPr="00193F03">
          <w:rPr>
            <w:b/>
            <w:bCs/>
            <w:sz w:val="20"/>
            <w:szCs w:val="20"/>
          </w:rPr>
          <w:fldChar w:fldCharType="separate"/>
        </w:r>
        <w:r w:rsidR="00DF69D3">
          <w:rPr>
            <w:b/>
            <w:bCs/>
            <w:noProof/>
            <w:sz w:val="20"/>
            <w:szCs w:val="20"/>
          </w:rPr>
          <w:t>1</w:t>
        </w:r>
        <w:r w:rsidRPr="00193F03">
          <w:rPr>
            <w:b/>
            <w:bCs/>
            <w:noProof/>
            <w:sz w:val="20"/>
            <w:szCs w:val="20"/>
          </w:rPr>
          <w:fldChar w:fldCharType="end"/>
        </w:r>
      </w:p>
      <w:p w14:paraId="72959440" w14:textId="3C9B70A8" w:rsidR="00193F03" w:rsidRPr="00193F03" w:rsidRDefault="00193F03" w:rsidP="00DF69D3">
        <w:pPr>
          <w:pStyle w:val="Header"/>
          <w:jc w:val="right"/>
          <w:rPr>
            <w:b/>
            <w:bCs/>
            <w:noProof/>
            <w:sz w:val="20"/>
            <w:szCs w:val="20"/>
          </w:rPr>
        </w:pPr>
        <w:r w:rsidRPr="00193F03">
          <w:rPr>
            <w:b/>
            <w:bCs/>
            <w:noProof/>
            <w:sz w:val="20"/>
            <w:szCs w:val="20"/>
          </w:rPr>
          <w:t>HH</w:t>
        </w:r>
        <w:r w:rsidR="00EF3C3B">
          <w:rPr>
            <w:b/>
            <w:bCs/>
            <w:noProof/>
            <w:sz w:val="20"/>
            <w:szCs w:val="20"/>
          </w:rPr>
          <w:t>511-26</w:t>
        </w:r>
      </w:p>
      <w:p w14:paraId="16010E39" w14:textId="1529952E" w:rsidR="00193F03" w:rsidRPr="00193F03" w:rsidRDefault="00193F03" w:rsidP="00DF69D3">
        <w:pPr>
          <w:pStyle w:val="Header"/>
          <w:jc w:val="right"/>
          <w:rPr>
            <w:b/>
            <w:bCs/>
            <w:sz w:val="20"/>
            <w:szCs w:val="20"/>
          </w:rPr>
        </w:pPr>
        <w:r w:rsidRPr="00193F03">
          <w:rPr>
            <w:b/>
            <w:bCs/>
            <w:noProof/>
            <w:sz w:val="20"/>
            <w:szCs w:val="20"/>
          </w:rPr>
          <w:t>HCHC 386/22</w:t>
        </w:r>
      </w:p>
    </w:sdtContent>
  </w:sdt>
  <w:p w14:paraId="3D7EF061" w14:textId="77777777" w:rsidR="00193F03" w:rsidRDefault="00193F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72E22"/>
    <w:multiLevelType w:val="hybridMultilevel"/>
    <w:tmpl w:val="178A858E"/>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1DFA2906"/>
    <w:multiLevelType w:val="hybridMultilevel"/>
    <w:tmpl w:val="0A56037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21DD5365"/>
    <w:multiLevelType w:val="hybridMultilevel"/>
    <w:tmpl w:val="E11CAB6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312467D4"/>
    <w:multiLevelType w:val="hybridMultilevel"/>
    <w:tmpl w:val="E11CAB62"/>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38E271D9"/>
    <w:multiLevelType w:val="hybridMultilevel"/>
    <w:tmpl w:val="17EAD422"/>
    <w:lvl w:ilvl="0" w:tplc="17EC03B2">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nsid w:val="6D977682"/>
    <w:multiLevelType w:val="hybridMultilevel"/>
    <w:tmpl w:val="E11CAB6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7CFC12E1"/>
    <w:multiLevelType w:val="hybridMultilevel"/>
    <w:tmpl w:val="2B2EC98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6"/>
  </w:num>
  <w:num w:numId="2">
    <w:abstractNumId w:val="4"/>
  </w:num>
  <w:num w:numId="3">
    <w:abstractNumId w:val="1"/>
  </w:num>
  <w:num w:numId="4">
    <w:abstractNumId w:val="3"/>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20D"/>
    <w:rsid w:val="00002AA7"/>
    <w:rsid w:val="0000494F"/>
    <w:rsid w:val="00020278"/>
    <w:rsid w:val="000A4EAF"/>
    <w:rsid w:val="000B5602"/>
    <w:rsid w:val="000E636B"/>
    <w:rsid w:val="000F2070"/>
    <w:rsid w:val="00111E32"/>
    <w:rsid w:val="00120200"/>
    <w:rsid w:val="00162D1E"/>
    <w:rsid w:val="001859AF"/>
    <w:rsid w:val="00193F03"/>
    <w:rsid w:val="001D23E6"/>
    <w:rsid w:val="001D251D"/>
    <w:rsid w:val="00201AEF"/>
    <w:rsid w:val="002231CD"/>
    <w:rsid w:val="002334BC"/>
    <w:rsid w:val="00353D6C"/>
    <w:rsid w:val="0036318E"/>
    <w:rsid w:val="00376A31"/>
    <w:rsid w:val="003969AD"/>
    <w:rsid w:val="003D7482"/>
    <w:rsid w:val="00403AE5"/>
    <w:rsid w:val="0042716E"/>
    <w:rsid w:val="00427A6E"/>
    <w:rsid w:val="0047599E"/>
    <w:rsid w:val="00495359"/>
    <w:rsid w:val="004A3449"/>
    <w:rsid w:val="004A3DB4"/>
    <w:rsid w:val="004C2AE6"/>
    <w:rsid w:val="004D6276"/>
    <w:rsid w:val="004F5DCF"/>
    <w:rsid w:val="00504CC1"/>
    <w:rsid w:val="0052650B"/>
    <w:rsid w:val="005E60DF"/>
    <w:rsid w:val="00623858"/>
    <w:rsid w:val="00630465"/>
    <w:rsid w:val="00635512"/>
    <w:rsid w:val="00642E1B"/>
    <w:rsid w:val="006679B3"/>
    <w:rsid w:val="006A405F"/>
    <w:rsid w:val="006E592A"/>
    <w:rsid w:val="006E7F99"/>
    <w:rsid w:val="00711AF9"/>
    <w:rsid w:val="007659DE"/>
    <w:rsid w:val="007D1313"/>
    <w:rsid w:val="007F333D"/>
    <w:rsid w:val="007F59E6"/>
    <w:rsid w:val="00830646"/>
    <w:rsid w:val="0087617A"/>
    <w:rsid w:val="00880599"/>
    <w:rsid w:val="00883373"/>
    <w:rsid w:val="008961E0"/>
    <w:rsid w:val="008F276F"/>
    <w:rsid w:val="00907F63"/>
    <w:rsid w:val="00915B19"/>
    <w:rsid w:val="0098060D"/>
    <w:rsid w:val="009F0903"/>
    <w:rsid w:val="00A4095F"/>
    <w:rsid w:val="00A859FA"/>
    <w:rsid w:val="00AC000F"/>
    <w:rsid w:val="00AD3E91"/>
    <w:rsid w:val="00B62A77"/>
    <w:rsid w:val="00B64CC4"/>
    <w:rsid w:val="00B72E05"/>
    <w:rsid w:val="00B922EA"/>
    <w:rsid w:val="00B932BF"/>
    <w:rsid w:val="00BC0BF9"/>
    <w:rsid w:val="00C15567"/>
    <w:rsid w:val="00C46967"/>
    <w:rsid w:val="00C524B7"/>
    <w:rsid w:val="00C563F4"/>
    <w:rsid w:val="00CA4769"/>
    <w:rsid w:val="00CB522F"/>
    <w:rsid w:val="00CE6CED"/>
    <w:rsid w:val="00D13086"/>
    <w:rsid w:val="00D15A87"/>
    <w:rsid w:val="00D712AB"/>
    <w:rsid w:val="00DF69D3"/>
    <w:rsid w:val="00E50998"/>
    <w:rsid w:val="00E6010C"/>
    <w:rsid w:val="00E6408E"/>
    <w:rsid w:val="00E64DC5"/>
    <w:rsid w:val="00E95041"/>
    <w:rsid w:val="00EB1D5C"/>
    <w:rsid w:val="00EB773E"/>
    <w:rsid w:val="00EE420D"/>
    <w:rsid w:val="00EF0744"/>
    <w:rsid w:val="00EF3C3B"/>
    <w:rsid w:val="00F12D85"/>
    <w:rsid w:val="00F133D3"/>
    <w:rsid w:val="00F259E9"/>
    <w:rsid w:val="00F31087"/>
    <w:rsid w:val="00F44641"/>
    <w:rsid w:val="00F65144"/>
    <w:rsid w:val="00F706D3"/>
    <w:rsid w:val="00F90880"/>
    <w:rsid w:val="00F90A00"/>
    <w:rsid w:val="00FF1B88"/>
    <w:rsid w:val="00FF4C9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EA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15A87"/>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styleId="NoSpacing">
    <w:name w:val="No Spacing"/>
    <w:uiPriority w:val="1"/>
    <w:qFormat/>
    <w:rsid w:val="00CA4769"/>
    <w:pPr>
      <w:spacing w:after="0" w:line="240" w:lineRule="auto"/>
    </w:pPr>
  </w:style>
  <w:style w:type="paragraph" w:styleId="ListParagraph">
    <w:name w:val="List Paragraph"/>
    <w:basedOn w:val="Normal"/>
    <w:uiPriority w:val="34"/>
    <w:qFormat/>
    <w:rsid w:val="00CA4769"/>
    <w:pPr>
      <w:ind w:left="720"/>
      <w:contextualSpacing/>
    </w:pPr>
  </w:style>
  <w:style w:type="paragraph" w:styleId="Header">
    <w:name w:val="header"/>
    <w:basedOn w:val="Normal"/>
    <w:link w:val="HeaderChar"/>
    <w:uiPriority w:val="99"/>
    <w:unhideWhenUsed/>
    <w:rsid w:val="00193F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3F03"/>
  </w:style>
  <w:style w:type="paragraph" w:styleId="Footer">
    <w:name w:val="footer"/>
    <w:basedOn w:val="Normal"/>
    <w:link w:val="FooterChar"/>
    <w:uiPriority w:val="99"/>
    <w:unhideWhenUsed/>
    <w:rsid w:val="00193F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3F03"/>
  </w:style>
  <w:style w:type="paragraph" w:styleId="FootnoteText">
    <w:name w:val="footnote text"/>
    <w:basedOn w:val="Normal"/>
    <w:link w:val="FootnoteTextChar"/>
    <w:uiPriority w:val="99"/>
    <w:unhideWhenUsed/>
    <w:rsid w:val="00F706D3"/>
    <w:pPr>
      <w:spacing w:after="0" w:line="240" w:lineRule="auto"/>
    </w:pPr>
    <w:rPr>
      <w:sz w:val="20"/>
      <w:szCs w:val="20"/>
    </w:rPr>
  </w:style>
  <w:style w:type="character" w:customStyle="1" w:styleId="FootnoteTextChar">
    <w:name w:val="Footnote Text Char"/>
    <w:basedOn w:val="DefaultParagraphFont"/>
    <w:link w:val="FootnoteText"/>
    <w:uiPriority w:val="99"/>
    <w:rsid w:val="00F706D3"/>
    <w:rPr>
      <w:sz w:val="20"/>
      <w:szCs w:val="20"/>
    </w:rPr>
  </w:style>
  <w:style w:type="character" w:styleId="FootnoteReference">
    <w:name w:val="footnote reference"/>
    <w:basedOn w:val="DefaultParagraphFont"/>
    <w:uiPriority w:val="99"/>
    <w:semiHidden/>
    <w:unhideWhenUsed/>
    <w:rsid w:val="00F706D3"/>
    <w:rPr>
      <w:vertAlign w:val="superscript"/>
    </w:rPr>
  </w:style>
  <w:style w:type="paragraph" w:styleId="Revision">
    <w:name w:val="Revision"/>
    <w:hidden/>
    <w:uiPriority w:val="99"/>
    <w:semiHidden/>
    <w:rsid w:val="00C46967"/>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15A87"/>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styleId="NoSpacing">
    <w:name w:val="No Spacing"/>
    <w:uiPriority w:val="1"/>
    <w:qFormat/>
    <w:rsid w:val="00CA4769"/>
    <w:pPr>
      <w:spacing w:after="0" w:line="240" w:lineRule="auto"/>
    </w:pPr>
  </w:style>
  <w:style w:type="paragraph" w:styleId="ListParagraph">
    <w:name w:val="List Paragraph"/>
    <w:basedOn w:val="Normal"/>
    <w:uiPriority w:val="34"/>
    <w:qFormat/>
    <w:rsid w:val="00CA4769"/>
    <w:pPr>
      <w:ind w:left="720"/>
      <w:contextualSpacing/>
    </w:pPr>
  </w:style>
  <w:style w:type="paragraph" w:styleId="Header">
    <w:name w:val="header"/>
    <w:basedOn w:val="Normal"/>
    <w:link w:val="HeaderChar"/>
    <w:uiPriority w:val="99"/>
    <w:unhideWhenUsed/>
    <w:rsid w:val="00193F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3F03"/>
  </w:style>
  <w:style w:type="paragraph" w:styleId="Footer">
    <w:name w:val="footer"/>
    <w:basedOn w:val="Normal"/>
    <w:link w:val="FooterChar"/>
    <w:uiPriority w:val="99"/>
    <w:unhideWhenUsed/>
    <w:rsid w:val="00193F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3F03"/>
  </w:style>
  <w:style w:type="paragraph" w:styleId="FootnoteText">
    <w:name w:val="footnote text"/>
    <w:basedOn w:val="Normal"/>
    <w:link w:val="FootnoteTextChar"/>
    <w:uiPriority w:val="99"/>
    <w:unhideWhenUsed/>
    <w:rsid w:val="00F706D3"/>
    <w:pPr>
      <w:spacing w:after="0" w:line="240" w:lineRule="auto"/>
    </w:pPr>
    <w:rPr>
      <w:sz w:val="20"/>
      <w:szCs w:val="20"/>
    </w:rPr>
  </w:style>
  <w:style w:type="character" w:customStyle="1" w:styleId="FootnoteTextChar">
    <w:name w:val="Footnote Text Char"/>
    <w:basedOn w:val="DefaultParagraphFont"/>
    <w:link w:val="FootnoteText"/>
    <w:uiPriority w:val="99"/>
    <w:rsid w:val="00F706D3"/>
    <w:rPr>
      <w:sz w:val="20"/>
      <w:szCs w:val="20"/>
    </w:rPr>
  </w:style>
  <w:style w:type="character" w:styleId="FootnoteReference">
    <w:name w:val="footnote reference"/>
    <w:basedOn w:val="DefaultParagraphFont"/>
    <w:uiPriority w:val="99"/>
    <w:semiHidden/>
    <w:unhideWhenUsed/>
    <w:rsid w:val="00F706D3"/>
    <w:rPr>
      <w:vertAlign w:val="superscript"/>
    </w:rPr>
  </w:style>
  <w:style w:type="paragraph" w:styleId="Revision">
    <w:name w:val="Revision"/>
    <w:hidden/>
    <w:uiPriority w:val="99"/>
    <w:semiHidden/>
    <w:rsid w:val="00C469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1855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3935</Words>
  <Characters>22431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IECMS</dc:creator>
  <cp:lastModifiedBy>JSC</cp:lastModifiedBy>
  <cp:revision>2</cp:revision>
  <cp:lastPrinted>2026-07-13T12:34:00Z</cp:lastPrinted>
  <dcterms:created xsi:type="dcterms:W3CDTF">2026-07-14T06:56:00Z</dcterms:created>
  <dcterms:modified xsi:type="dcterms:W3CDTF">2026-07-14T06:56:00Z</dcterms:modified>
</cp:coreProperties>
</file>