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D626C7" w14:textId="77777777" w:rsidR="00E07706" w:rsidRDefault="00E07706" w:rsidP="003D58A2">
      <w:pPr>
        <w:spacing w:after="0" w:line="240" w:lineRule="auto"/>
        <w:jc w:val="both"/>
        <w:rPr>
          <w:rFonts w:ascii="Times New Roman" w:hAnsi="Times New Roman" w:cs="Times New Roman"/>
          <w:kern w:val="0"/>
          <w14:ligatures w14:val="none"/>
        </w:rPr>
      </w:pPr>
      <w:bookmarkStart w:id="0" w:name="_GoBack"/>
      <w:bookmarkEnd w:id="0"/>
      <w:r>
        <w:rPr>
          <w:rFonts w:ascii="Times New Roman" w:hAnsi="Times New Roman" w:cs="Times New Roman"/>
          <w:kern w:val="0"/>
          <w14:ligatures w14:val="none"/>
        </w:rPr>
        <w:t xml:space="preserve">HIPPO VALLEY ESTATE </w:t>
      </w:r>
    </w:p>
    <w:p w14:paraId="3A3115F9" w14:textId="3482B77D" w:rsidR="003D58A2" w:rsidRPr="00AB23AE" w:rsidRDefault="00E07706" w:rsidP="003D58A2">
      <w:pPr>
        <w:spacing w:after="0"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and</w:t>
      </w:r>
      <w:r w:rsidR="003D58A2">
        <w:rPr>
          <w:rFonts w:ascii="Times New Roman" w:hAnsi="Times New Roman" w:cs="Times New Roman"/>
          <w:kern w:val="0"/>
          <w14:ligatures w14:val="none"/>
        </w:rPr>
        <w:t xml:space="preserve"> </w:t>
      </w:r>
      <w:r w:rsidR="003D58A2" w:rsidRPr="00AB23AE">
        <w:rPr>
          <w:rFonts w:ascii="Times New Roman" w:hAnsi="Times New Roman" w:cs="Times New Roman"/>
          <w:kern w:val="0"/>
          <w14:ligatures w14:val="none"/>
        </w:rPr>
        <w:t xml:space="preserve">                                                                                 </w:t>
      </w:r>
    </w:p>
    <w:p w14:paraId="6ADD33BF" w14:textId="06E0E0D8" w:rsidR="00E07706" w:rsidRDefault="00E07706" w:rsidP="003D58A2">
      <w:pPr>
        <w:spacing w:after="0"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TRIANGLE LIMITED </w:t>
      </w:r>
    </w:p>
    <w:p w14:paraId="0824BDBD" w14:textId="15C61340" w:rsidR="003D58A2" w:rsidRPr="00AB23AE" w:rsidRDefault="003D58A2" w:rsidP="003D58A2">
      <w:pPr>
        <w:spacing w:after="0" w:line="240" w:lineRule="auto"/>
        <w:jc w:val="both"/>
        <w:rPr>
          <w:rFonts w:ascii="Times New Roman" w:hAnsi="Times New Roman" w:cs="Times New Roman"/>
          <w:kern w:val="0"/>
          <w14:ligatures w14:val="none"/>
        </w:rPr>
      </w:pPr>
      <w:r w:rsidRPr="00AB23AE">
        <w:rPr>
          <w:rFonts w:ascii="Times New Roman" w:hAnsi="Times New Roman" w:cs="Times New Roman"/>
          <w:kern w:val="0"/>
          <w14:ligatures w14:val="none"/>
        </w:rPr>
        <w:t>versus</w:t>
      </w:r>
    </w:p>
    <w:p w14:paraId="048FABB1" w14:textId="6A82D3C3" w:rsidR="003D58A2" w:rsidRDefault="003D58A2" w:rsidP="003D58A2">
      <w:pPr>
        <w:spacing w:after="0"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MINISTER OF </w:t>
      </w:r>
      <w:r w:rsidR="00E07706">
        <w:rPr>
          <w:rFonts w:ascii="Times New Roman" w:hAnsi="Times New Roman" w:cs="Times New Roman"/>
          <w:kern w:val="0"/>
          <w14:ligatures w14:val="none"/>
        </w:rPr>
        <w:t xml:space="preserve">INDUSTRY AND COMMERCE </w:t>
      </w:r>
    </w:p>
    <w:p w14:paraId="16BA6957" w14:textId="77777777" w:rsidR="003D58A2" w:rsidRPr="00AB23AE" w:rsidRDefault="003D58A2" w:rsidP="003D58A2">
      <w:pPr>
        <w:spacing w:after="0"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and</w:t>
      </w:r>
    </w:p>
    <w:p w14:paraId="0867DF63" w14:textId="716C104C" w:rsidR="003D58A2" w:rsidRDefault="00E07706" w:rsidP="003D58A2">
      <w:pPr>
        <w:spacing w:after="0" w:line="240"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BAKER TILLY CHARTERED ACCOUNTANTS ZIMBABWE </w:t>
      </w:r>
      <w:r w:rsidR="003D58A2">
        <w:rPr>
          <w:rFonts w:ascii="Times New Roman" w:eastAsia="Calibri" w:hAnsi="Times New Roman" w:cs="Times New Roman"/>
          <w:kern w:val="0"/>
          <w:lang w:eastAsia="en-US"/>
          <w14:ligatures w14:val="none"/>
        </w:rPr>
        <w:t xml:space="preserve"> </w:t>
      </w:r>
    </w:p>
    <w:p w14:paraId="13F195F6" w14:textId="77777777" w:rsidR="003D58A2" w:rsidRPr="00AB23AE" w:rsidRDefault="003D58A2" w:rsidP="003D58A2">
      <w:pPr>
        <w:spacing w:after="0" w:line="240"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3612AC4D" w14:textId="7E9A5DEF" w:rsidR="003D58A2"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COMMERCIAL SUGARCANE FARMERS ASSOCIATION </w:t>
      </w:r>
      <w:r w:rsidR="003D58A2">
        <w:rPr>
          <w:rFonts w:ascii="Times New Roman" w:eastAsia="Calibri" w:hAnsi="Times New Roman" w:cs="Times New Roman"/>
          <w:kern w:val="0"/>
          <w:lang w:eastAsia="en-US"/>
          <w14:ligatures w14:val="none"/>
        </w:rPr>
        <w:t xml:space="preserve"> </w:t>
      </w:r>
    </w:p>
    <w:p w14:paraId="0568C6B7" w14:textId="77777777" w:rsidR="003D58A2" w:rsidRDefault="003D58A2"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47A726BC" w14:textId="6C37DA37" w:rsidR="003D58A2"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HIPPO VALLEY PRODUCTIVE SUGARCANE FARMERS ASSOCIATION </w:t>
      </w:r>
    </w:p>
    <w:p w14:paraId="7285E2E5" w14:textId="77777777" w:rsidR="003D58A2" w:rsidRDefault="003D58A2"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155E5AEA" w14:textId="06FE59B2" w:rsidR="003D58A2"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ZIMBABWE SUGARCANE DEVELOPMENT ASSOCIATION </w:t>
      </w:r>
    </w:p>
    <w:p w14:paraId="7F44FE03" w14:textId="01841786"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5FD26FE3" w14:textId="2C870077" w:rsidR="003D58A2"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ZDSA FARMERS TRUST</w:t>
      </w:r>
    </w:p>
    <w:p w14:paraId="213E6908" w14:textId="06E3B06D"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14624E31" w14:textId="5461265E"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MKWASINE SUGARCANE FARMERS ASSOCIATION </w:t>
      </w:r>
    </w:p>
    <w:p w14:paraId="4AFA9458" w14:textId="403301E2"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3AD11F91" w14:textId="0E611760"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LOWVELD SUGARCANE </w:t>
      </w:r>
      <w:r w:rsidR="000348CF">
        <w:rPr>
          <w:rFonts w:ascii="Times New Roman" w:eastAsia="Calibri" w:hAnsi="Times New Roman" w:cs="Times New Roman"/>
          <w:kern w:val="0"/>
          <w:lang w:eastAsia="en-US"/>
          <w14:ligatures w14:val="none"/>
        </w:rPr>
        <w:t>GROWERS’</w:t>
      </w:r>
      <w:r>
        <w:rPr>
          <w:rFonts w:ascii="Times New Roman" w:eastAsia="Calibri" w:hAnsi="Times New Roman" w:cs="Times New Roman"/>
          <w:kern w:val="0"/>
          <w:lang w:eastAsia="en-US"/>
          <w14:ligatures w14:val="none"/>
        </w:rPr>
        <w:t xml:space="preserve"> ASSOCIATION </w:t>
      </w:r>
    </w:p>
    <w:p w14:paraId="062DAEFF" w14:textId="2B063F37"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7670F590" w14:textId="1296C67B"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CHIREDZI PRODUCTIVE CANE GROWERS ASSOCIATION </w:t>
      </w:r>
    </w:p>
    <w:p w14:paraId="3898D413" w14:textId="33F34CF0"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56FB4256" w14:textId="52FF1A7E"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 xml:space="preserve">CHIPIWA MUPAPA FARMERS ASSOCIATION </w:t>
      </w:r>
    </w:p>
    <w:p w14:paraId="14B67182" w14:textId="4F8D31C1"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6E0F0A0A" w14:textId="6EDE803B"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HIPPO VALLEY MILLS GROUP</w:t>
      </w:r>
    </w:p>
    <w:p w14:paraId="003F64D4" w14:textId="754E235D"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57FFA82D" w14:textId="77CD0786"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TRIANGLE MILLS GROUP</w:t>
      </w:r>
    </w:p>
    <w:p w14:paraId="04C3C4B3" w14:textId="76BD0D87"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and</w:t>
      </w:r>
    </w:p>
    <w:p w14:paraId="2CA0F2FC" w14:textId="41E13C0C"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r>
        <w:rPr>
          <w:rFonts w:ascii="Times New Roman" w:eastAsia="Calibri" w:hAnsi="Times New Roman" w:cs="Times New Roman"/>
          <w:kern w:val="0"/>
          <w:lang w:eastAsia="en-US"/>
          <w14:ligatures w14:val="none"/>
        </w:rPr>
        <w:t>MKWASINE MILLS GROUP</w:t>
      </w:r>
    </w:p>
    <w:p w14:paraId="611B181F" w14:textId="77777777" w:rsidR="00E07706" w:rsidRDefault="00E07706" w:rsidP="003D58A2">
      <w:pPr>
        <w:tabs>
          <w:tab w:val="right" w:pos="9026"/>
        </w:tabs>
        <w:spacing w:after="0" w:line="276" w:lineRule="auto"/>
        <w:contextualSpacing/>
        <w:jc w:val="both"/>
        <w:rPr>
          <w:rFonts w:ascii="Times New Roman" w:eastAsia="Calibri" w:hAnsi="Times New Roman" w:cs="Times New Roman"/>
          <w:kern w:val="0"/>
          <w:lang w:eastAsia="en-US"/>
          <w14:ligatures w14:val="none"/>
        </w:rPr>
      </w:pPr>
    </w:p>
    <w:p w14:paraId="271B501A" w14:textId="51AF954E" w:rsidR="003D58A2" w:rsidRPr="00D850DE" w:rsidRDefault="003D58A2" w:rsidP="003D58A2">
      <w:pPr>
        <w:tabs>
          <w:tab w:val="right" w:pos="9026"/>
        </w:tabs>
        <w:spacing w:after="0" w:line="276" w:lineRule="auto"/>
        <w:contextualSpacing/>
        <w:jc w:val="both"/>
        <w:rPr>
          <w:rFonts w:ascii="Times New Roman" w:eastAsia="Calibri" w:hAnsi="Times New Roman" w:cs="Times New Roman"/>
          <w:b/>
          <w:bCs/>
          <w:kern w:val="0"/>
          <w:lang w:eastAsia="en-US"/>
          <w14:ligatures w14:val="none"/>
        </w:rPr>
      </w:pPr>
      <w:r w:rsidRPr="00AB23AE">
        <w:rPr>
          <w:rFonts w:ascii="Times New Roman" w:eastAsia="Calibri" w:hAnsi="Times New Roman" w:cs="Times New Roman"/>
          <w:kern w:val="0"/>
          <w:lang w:eastAsia="en-US"/>
          <w14:ligatures w14:val="none"/>
        </w:rPr>
        <w:t>HIGH COURT OF ZIMBABWE</w:t>
      </w:r>
      <w:r w:rsidRPr="00D850DE">
        <w:rPr>
          <w:rFonts w:ascii="Times New Roman" w:eastAsia="Calibri" w:hAnsi="Times New Roman" w:cs="Times New Roman"/>
          <w:b/>
          <w:bCs/>
          <w:kern w:val="0"/>
          <w:lang w:eastAsia="en-US"/>
          <w14:ligatures w14:val="none"/>
        </w:rPr>
        <w:tab/>
      </w:r>
    </w:p>
    <w:p w14:paraId="5DDCB9DA" w14:textId="77777777" w:rsidR="003D58A2" w:rsidRPr="00D850DE" w:rsidRDefault="003D58A2" w:rsidP="003D58A2">
      <w:pPr>
        <w:spacing w:after="0" w:line="276" w:lineRule="auto"/>
        <w:contextualSpacing/>
        <w:jc w:val="both"/>
        <w:rPr>
          <w:rFonts w:ascii="Times New Roman" w:eastAsia="Calibri" w:hAnsi="Times New Roman" w:cs="Times New Roman"/>
          <w:b/>
          <w:bCs/>
          <w:kern w:val="0"/>
          <w:lang w:eastAsia="en-US"/>
          <w14:ligatures w14:val="none"/>
        </w:rPr>
      </w:pPr>
      <w:r w:rsidRPr="00D850DE">
        <w:rPr>
          <w:rFonts w:ascii="Times New Roman" w:eastAsia="Calibri" w:hAnsi="Times New Roman" w:cs="Times New Roman"/>
          <w:b/>
          <w:bCs/>
          <w:kern w:val="0"/>
          <w:lang w:eastAsia="en-US"/>
          <w14:ligatures w14:val="none"/>
        </w:rPr>
        <w:t>MUSITHU J</w:t>
      </w:r>
    </w:p>
    <w:p w14:paraId="77D2DA2D" w14:textId="52E9DFEE" w:rsidR="003D58A2" w:rsidRPr="00AB23AE" w:rsidRDefault="003D58A2" w:rsidP="003D58A2">
      <w:pPr>
        <w:spacing w:before="100" w:beforeAutospacing="1" w:after="100" w:afterAutospacing="1" w:line="360" w:lineRule="auto"/>
        <w:jc w:val="both"/>
        <w:rPr>
          <w:rFonts w:ascii="Times New Roman" w:eastAsia="Calibri" w:hAnsi="Times New Roman" w:cs="Times New Roman"/>
          <w:kern w:val="0"/>
          <w:lang w:eastAsia="en-US"/>
          <w14:ligatures w14:val="none"/>
        </w:rPr>
      </w:pPr>
      <w:r w:rsidRPr="00AB23AE">
        <w:rPr>
          <w:rFonts w:ascii="Times New Roman" w:eastAsia="Calibri" w:hAnsi="Times New Roman" w:cs="Times New Roman"/>
          <w:kern w:val="0"/>
          <w:lang w:eastAsia="en-US"/>
          <w14:ligatures w14:val="none"/>
        </w:rPr>
        <w:t xml:space="preserve">HARARE, </w:t>
      </w:r>
      <w:r w:rsidR="00E07706">
        <w:rPr>
          <w:rFonts w:ascii="Times New Roman" w:eastAsia="Calibri" w:hAnsi="Times New Roman" w:cs="Times New Roman"/>
          <w:kern w:val="0"/>
          <w:lang w:eastAsia="en-US"/>
          <w14:ligatures w14:val="none"/>
        </w:rPr>
        <w:t xml:space="preserve">9 December </w:t>
      </w:r>
      <w:r>
        <w:rPr>
          <w:rFonts w:ascii="Times New Roman" w:eastAsia="Calibri" w:hAnsi="Times New Roman" w:cs="Times New Roman"/>
          <w:kern w:val="0"/>
          <w:lang w:eastAsia="en-US"/>
          <w14:ligatures w14:val="none"/>
        </w:rPr>
        <w:t>2025</w:t>
      </w:r>
      <w:r w:rsidRPr="00AB23AE">
        <w:rPr>
          <w:rFonts w:ascii="Times New Roman" w:eastAsia="Calibri" w:hAnsi="Times New Roman" w:cs="Times New Roman"/>
          <w:kern w:val="0"/>
          <w:lang w:eastAsia="en-US"/>
          <w14:ligatures w14:val="none"/>
        </w:rPr>
        <w:t xml:space="preserve"> &amp; </w:t>
      </w:r>
      <w:r w:rsidR="008756E2">
        <w:rPr>
          <w:rFonts w:ascii="Times New Roman" w:eastAsia="Calibri" w:hAnsi="Times New Roman" w:cs="Times New Roman"/>
          <w:kern w:val="0"/>
          <w:lang w:eastAsia="en-US"/>
          <w14:ligatures w14:val="none"/>
        </w:rPr>
        <w:t>2</w:t>
      </w:r>
      <w:r w:rsidR="008759C7">
        <w:rPr>
          <w:rFonts w:ascii="Times New Roman" w:eastAsia="Calibri" w:hAnsi="Times New Roman" w:cs="Times New Roman"/>
          <w:kern w:val="0"/>
          <w:lang w:eastAsia="en-US"/>
          <w14:ligatures w14:val="none"/>
        </w:rPr>
        <w:t xml:space="preserve">1 July </w:t>
      </w:r>
      <w:r w:rsidRPr="00AB23AE">
        <w:rPr>
          <w:rFonts w:ascii="Times New Roman" w:eastAsia="Calibri" w:hAnsi="Times New Roman" w:cs="Times New Roman"/>
          <w:kern w:val="0"/>
          <w:lang w:eastAsia="en-US"/>
          <w14:ligatures w14:val="none"/>
        </w:rPr>
        <w:t xml:space="preserve">2026 </w:t>
      </w:r>
    </w:p>
    <w:p w14:paraId="6F08E575" w14:textId="5DAE6E43" w:rsidR="003D58A2" w:rsidRPr="002863B1" w:rsidRDefault="003D58A2" w:rsidP="003D58A2">
      <w:pPr>
        <w:spacing w:before="100" w:beforeAutospacing="1" w:after="100" w:afterAutospacing="1" w:line="360" w:lineRule="auto"/>
        <w:jc w:val="both"/>
        <w:rPr>
          <w:rFonts w:ascii="Times New Roman" w:hAnsi="Times New Roman" w:cs="Times New Roman"/>
          <w:b/>
        </w:rPr>
      </w:pPr>
      <w:r w:rsidRPr="002863B1">
        <w:rPr>
          <w:rFonts w:ascii="Times New Roman" w:hAnsi="Times New Roman" w:cs="Times New Roman"/>
          <w:b/>
        </w:rPr>
        <w:t>Opposed application</w:t>
      </w:r>
      <w:r w:rsidR="002863B1" w:rsidRPr="002863B1">
        <w:rPr>
          <w:rFonts w:ascii="Times New Roman" w:hAnsi="Times New Roman" w:cs="Times New Roman"/>
          <w:b/>
        </w:rPr>
        <w:t>-Review in terms of s 4(1) of the Administrative Justice Act [Chapter 7:06]</w:t>
      </w:r>
      <w:r w:rsidR="00860B2B">
        <w:rPr>
          <w:rFonts w:ascii="Times New Roman" w:hAnsi="Times New Roman" w:cs="Times New Roman"/>
          <w:b/>
        </w:rPr>
        <w:t>, as read</w:t>
      </w:r>
      <w:r w:rsidR="00811C9E">
        <w:rPr>
          <w:rFonts w:ascii="Times New Roman" w:hAnsi="Times New Roman" w:cs="Times New Roman"/>
          <w:b/>
        </w:rPr>
        <w:t xml:space="preserve"> together</w:t>
      </w:r>
      <w:r w:rsidR="00860B2B">
        <w:rPr>
          <w:rFonts w:ascii="Times New Roman" w:hAnsi="Times New Roman" w:cs="Times New Roman"/>
          <w:b/>
        </w:rPr>
        <w:t xml:space="preserve"> with r 62 of the High Court Rules, 2021</w:t>
      </w:r>
    </w:p>
    <w:p w14:paraId="4357B61C" w14:textId="51BA2ECD" w:rsidR="003D58A2" w:rsidRPr="002863B1" w:rsidRDefault="002863B1" w:rsidP="003D58A2">
      <w:pPr>
        <w:spacing w:after="0" w:line="240" w:lineRule="auto"/>
        <w:jc w:val="both"/>
        <w:rPr>
          <w:rFonts w:ascii="Times New Roman" w:hAnsi="Times New Roman" w:cs="Times New Roman"/>
        </w:rPr>
      </w:pPr>
      <w:r w:rsidRPr="002863B1">
        <w:rPr>
          <w:rFonts w:ascii="Times New Roman" w:hAnsi="Times New Roman" w:cs="Times New Roman"/>
          <w:i/>
        </w:rPr>
        <w:t xml:space="preserve">T. Mpofu with </w:t>
      </w:r>
      <w:r w:rsidR="00E07706" w:rsidRPr="002863B1">
        <w:rPr>
          <w:rFonts w:ascii="Times New Roman" w:hAnsi="Times New Roman" w:cs="Times New Roman"/>
          <w:i/>
        </w:rPr>
        <w:t>E.T. Moyo</w:t>
      </w:r>
      <w:r w:rsidR="003D58A2" w:rsidRPr="002863B1">
        <w:rPr>
          <w:rFonts w:ascii="Times New Roman" w:hAnsi="Times New Roman" w:cs="Times New Roman"/>
        </w:rPr>
        <w:t>, for the applicant</w:t>
      </w:r>
      <w:r w:rsidR="00E07706" w:rsidRPr="002863B1">
        <w:rPr>
          <w:rFonts w:ascii="Times New Roman" w:hAnsi="Times New Roman" w:cs="Times New Roman"/>
        </w:rPr>
        <w:t>s</w:t>
      </w:r>
    </w:p>
    <w:p w14:paraId="16F22CB6" w14:textId="49BFE904" w:rsidR="003D58A2" w:rsidRPr="002863B1" w:rsidRDefault="002863B1" w:rsidP="003D58A2">
      <w:pPr>
        <w:spacing w:after="0" w:line="240" w:lineRule="auto"/>
        <w:jc w:val="both"/>
        <w:rPr>
          <w:rFonts w:ascii="Times New Roman" w:hAnsi="Times New Roman" w:cs="Times New Roman"/>
          <w:iCs/>
        </w:rPr>
      </w:pPr>
      <w:r w:rsidRPr="002863B1">
        <w:rPr>
          <w:rFonts w:ascii="Times New Roman" w:hAnsi="Times New Roman" w:cs="Times New Roman"/>
          <w:i/>
          <w:iCs/>
        </w:rPr>
        <w:t>L. Ma</w:t>
      </w:r>
      <w:r w:rsidR="001E6739">
        <w:rPr>
          <w:rFonts w:ascii="Times New Roman" w:hAnsi="Times New Roman" w:cs="Times New Roman"/>
          <w:i/>
          <w:iCs/>
        </w:rPr>
        <w:t>d</w:t>
      </w:r>
      <w:r w:rsidRPr="002863B1">
        <w:rPr>
          <w:rFonts w:ascii="Times New Roman" w:hAnsi="Times New Roman" w:cs="Times New Roman"/>
          <w:i/>
          <w:iCs/>
        </w:rPr>
        <w:t xml:space="preserve">huku with </w:t>
      </w:r>
      <w:r w:rsidR="00E07706" w:rsidRPr="002863B1">
        <w:rPr>
          <w:rFonts w:ascii="Times New Roman" w:hAnsi="Times New Roman" w:cs="Times New Roman"/>
          <w:i/>
          <w:iCs/>
        </w:rPr>
        <w:t>F. Chimunoko</w:t>
      </w:r>
      <w:r w:rsidR="003D58A2" w:rsidRPr="002863B1">
        <w:rPr>
          <w:rFonts w:ascii="Times New Roman" w:hAnsi="Times New Roman" w:cs="Times New Roman"/>
          <w:i/>
          <w:iCs/>
        </w:rPr>
        <w:t xml:space="preserve">, </w:t>
      </w:r>
      <w:r w:rsidR="003D58A2" w:rsidRPr="002863B1">
        <w:rPr>
          <w:rFonts w:ascii="Times New Roman" w:hAnsi="Times New Roman" w:cs="Times New Roman"/>
          <w:iCs/>
        </w:rPr>
        <w:t xml:space="preserve">for the </w:t>
      </w:r>
      <w:r w:rsidR="00E07706" w:rsidRPr="002863B1">
        <w:rPr>
          <w:rFonts w:ascii="Times New Roman" w:hAnsi="Times New Roman" w:cs="Times New Roman"/>
          <w:iCs/>
        </w:rPr>
        <w:t>1</w:t>
      </w:r>
      <w:r w:rsidR="00E07706" w:rsidRPr="002863B1">
        <w:rPr>
          <w:rFonts w:ascii="Times New Roman" w:hAnsi="Times New Roman" w:cs="Times New Roman"/>
          <w:iCs/>
          <w:vertAlign w:val="superscript"/>
        </w:rPr>
        <w:t>st</w:t>
      </w:r>
      <w:r w:rsidR="00E07706" w:rsidRPr="002863B1">
        <w:rPr>
          <w:rFonts w:ascii="Times New Roman" w:hAnsi="Times New Roman" w:cs="Times New Roman"/>
          <w:iCs/>
        </w:rPr>
        <w:t xml:space="preserve"> </w:t>
      </w:r>
      <w:r w:rsidR="003D58A2" w:rsidRPr="002863B1">
        <w:rPr>
          <w:rFonts w:ascii="Times New Roman" w:hAnsi="Times New Roman" w:cs="Times New Roman"/>
          <w:iCs/>
        </w:rPr>
        <w:t>respondent</w:t>
      </w:r>
    </w:p>
    <w:p w14:paraId="63388764" w14:textId="030BF455" w:rsidR="00AD5568" w:rsidRPr="002863B1" w:rsidRDefault="002863B1" w:rsidP="003D58A2">
      <w:pPr>
        <w:spacing w:after="0" w:line="240" w:lineRule="auto"/>
        <w:jc w:val="both"/>
        <w:rPr>
          <w:rFonts w:ascii="Times New Roman" w:hAnsi="Times New Roman" w:cs="Times New Roman"/>
          <w:iCs/>
        </w:rPr>
      </w:pPr>
      <w:r w:rsidRPr="002863B1">
        <w:rPr>
          <w:rFonts w:ascii="Times New Roman" w:hAnsi="Times New Roman" w:cs="Times New Roman"/>
          <w:i/>
        </w:rPr>
        <w:t xml:space="preserve">F. Chinwawadzimba with </w:t>
      </w:r>
      <w:r w:rsidR="00E07706" w:rsidRPr="002863B1">
        <w:rPr>
          <w:rFonts w:ascii="Times New Roman" w:hAnsi="Times New Roman" w:cs="Times New Roman"/>
          <w:i/>
        </w:rPr>
        <w:t>B.</w:t>
      </w:r>
      <w:r w:rsidR="00AD5568" w:rsidRPr="002863B1">
        <w:rPr>
          <w:rFonts w:ascii="Times New Roman" w:hAnsi="Times New Roman" w:cs="Times New Roman"/>
          <w:i/>
        </w:rPr>
        <w:t>T. Mudhara</w:t>
      </w:r>
      <w:r w:rsidR="003D58A2" w:rsidRPr="002863B1">
        <w:rPr>
          <w:rFonts w:ascii="Times New Roman" w:hAnsi="Times New Roman" w:cs="Times New Roman"/>
          <w:i/>
        </w:rPr>
        <w:t xml:space="preserve">, </w:t>
      </w:r>
      <w:r w:rsidR="003D58A2" w:rsidRPr="002863B1">
        <w:rPr>
          <w:rFonts w:ascii="Times New Roman" w:hAnsi="Times New Roman" w:cs="Times New Roman"/>
          <w:iCs/>
        </w:rPr>
        <w:t xml:space="preserve">for the </w:t>
      </w:r>
      <w:r w:rsidR="00AD5568" w:rsidRPr="002863B1">
        <w:rPr>
          <w:rFonts w:ascii="Times New Roman" w:hAnsi="Times New Roman" w:cs="Times New Roman"/>
          <w:iCs/>
        </w:rPr>
        <w:t>2</w:t>
      </w:r>
      <w:r w:rsidR="00AD5568" w:rsidRPr="002863B1">
        <w:rPr>
          <w:rFonts w:ascii="Times New Roman" w:hAnsi="Times New Roman" w:cs="Times New Roman"/>
          <w:iCs/>
          <w:vertAlign w:val="superscript"/>
        </w:rPr>
        <w:t>nd</w:t>
      </w:r>
      <w:r w:rsidR="00AD5568" w:rsidRPr="002863B1">
        <w:rPr>
          <w:rFonts w:ascii="Times New Roman" w:hAnsi="Times New Roman" w:cs="Times New Roman"/>
          <w:iCs/>
        </w:rPr>
        <w:t xml:space="preserve"> </w:t>
      </w:r>
      <w:r w:rsidR="003D58A2" w:rsidRPr="002863B1">
        <w:rPr>
          <w:rFonts w:ascii="Times New Roman" w:hAnsi="Times New Roman" w:cs="Times New Roman"/>
          <w:iCs/>
        </w:rPr>
        <w:t>respondent</w:t>
      </w:r>
    </w:p>
    <w:p w14:paraId="63AA021B" w14:textId="7EF83A8C" w:rsidR="003D58A2" w:rsidRPr="002863B1" w:rsidRDefault="002863B1" w:rsidP="003D58A2">
      <w:pPr>
        <w:spacing w:after="0" w:line="240" w:lineRule="auto"/>
        <w:jc w:val="both"/>
        <w:rPr>
          <w:rFonts w:ascii="Times New Roman" w:hAnsi="Times New Roman" w:cs="Times New Roman"/>
          <w:iCs/>
        </w:rPr>
      </w:pPr>
      <w:r w:rsidRPr="002863B1">
        <w:rPr>
          <w:rFonts w:ascii="Times New Roman" w:hAnsi="Times New Roman" w:cs="Times New Roman"/>
          <w:i/>
        </w:rPr>
        <w:t xml:space="preserve">G. Madzoka with </w:t>
      </w:r>
      <w:r w:rsidR="00AD5568" w:rsidRPr="002863B1">
        <w:rPr>
          <w:rFonts w:ascii="Times New Roman" w:hAnsi="Times New Roman" w:cs="Times New Roman"/>
          <w:i/>
        </w:rPr>
        <w:t xml:space="preserve">W. Jiti, </w:t>
      </w:r>
      <w:r w:rsidR="00AD5568" w:rsidRPr="002863B1">
        <w:rPr>
          <w:rFonts w:ascii="Times New Roman" w:hAnsi="Times New Roman" w:cs="Times New Roman"/>
          <w:iCs/>
        </w:rPr>
        <w:t>for the 3</w:t>
      </w:r>
      <w:r w:rsidR="00AD5568" w:rsidRPr="002863B1">
        <w:rPr>
          <w:rFonts w:ascii="Times New Roman" w:hAnsi="Times New Roman" w:cs="Times New Roman"/>
          <w:iCs/>
          <w:vertAlign w:val="superscript"/>
        </w:rPr>
        <w:t>rd</w:t>
      </w:r>
      <w:r w:rsidR="00AD5568" w:rsidRPr="002863B1">
        <w:rPr>
          <w:rFonts w:ascii="Times New Roman" w:hAnsi="Times New Roman" w:cs="Times New Roman"/>
          <w:iCs/>
        </w:rPr>
        <w:t xml:space="preserve"> to 13</w:t>
      </w:r>
      <w:r w:rsidR="00AD5568" w:rsidRPr="002863B1">
        <w:rPr>
          <w:rFonts w:ascii="Times New Roman" w:hAnsi="Times New Roman" w:cs="Times New Roman"/>
          <w:iCs/>
          <w:vertAlign w:val="superscript"/>
        </w:rPr>
        <w:t>th</w:t>
      </w:r>
      <w:r w:rsidR="00AD5568" w:rsidRPr="002863B1">
        <w:rPr>
          <w:rFonts w:ascii="Times New Roman" w:hAnsi="Times New Roman" w:cs="Times New Roman"/>
          <w:iCs/>
        </w:rPr>
        <w:t xml:space="preserve"> respondents </w:t>
      </w:r>
      <w:r w:rsidR="003D58A2" w:rsidRPr="002863B1">
        <w:rPr>
          <w:rFonts w:ascii="Times New Roman" w:hAnsi="Times New Roman" w:cs="Times New Roman"/>
          <w:iCs/>
        </w:rPr>
        <w:t xml:space="preserve">  </w:t>
      </w:r>
    </w:p>
    <w:p w14:paraId="0C1FA44C" w14:textId="77777777" w:rsidR="003D58A2" w:rsidRPr="00D850DE" w:rsidRDefault="003D58A2" w:rsidP="003D58A2">
      <w:pPr>
        <w:spacing w:after="0" w:line="360" w:lineRule="auto"/>
        <w:jc w:val="both"/>
        <w:rPr>
          <w:rFonts w:ascii="Times New Roman" w:hAnsi="Times New Roman" w:cs="Times New Roman"/>
          <w:iCs/>
        </w:rPr>
      </w:pPr>
    </w:p>
    <w:p w14:paraId="34EEACF6" w14:textId="77777777" w:rsidR="003D58A2" w:rsidRPr="00D850DE" w:rsidRDefault="003D58A2" w:rsidP="003D58A2">
      <w:pPr>
        <w:spacing w:after="0" w:line="360" w:lineRule="auto"/>
        <w:jc w:val="both"/>
        <w:rPr>
          <w:rFonts w:ascii="Times New Roman" w:hAnsi="Times New Roman" w:cs="Times New Roman"/>
          <w:b/>
          <w:bCs/>
          <w:iCs/>
        </w:rPr>
      </w:pPr>
      <w:r w:rsidRPr="00D850DE">
        <w:rPr>
          <w:rFonts w:ascii="Times New Roman" w:hAnsi="Times New Roman" w:cs="Times New Roman"/>
          <w:b/>
          <w:bCs/>
          <w:iCs/>
        </w:rPr>
        <w:lastRenderedPageBreak/>
        <w:t>MUSITHU J:</w:t>
      </w:r>
    </w:p>
    <w:p w14:paraId="0DD45B76" w14:textId="18FB42C6" w:rsidR="004A3537" w:rsidRPr="00860B2B" w:rsidRDefault="003D58A2" w:rsidP="008756E2">
      <w:pPr>
        <w:pStyle w:val="ListParagraph"/>
        <w:numPr>
          <w:ilvl w:val="0"/>
          <w:numId w:val="2"/>
        </w:numPr>
        <w:tabs>
          <w:tab w:val="left" w:pos="426"/>
        </w:tabs>
        <w:spacing w:after="0" w:line="360" w:lineRule="auto"/>
        <w:ind w:left="0" w:firstLine="0"/>
        <w:jc w:val="both"/>
        <w:rPr>
          <w:rFonts w:ascii="Times New Roman" w:hAnsi="Times New Roman" w:cs="Times New Roman"/>
          <w:kern w:val="0"/>
          <w14:ligatures w14:val="none"/>
        </w:rPr>
      </w:pPr>
      <w:r w:rsidRPr="00D850DE">
        <w:rPr>
          <w:rFonts w:ascii="Times New Roman" w:hAnsi="Times New Roman" w:cs="Times New Roman"/>
          <w:kern w:val="0"/>
          <w14:ligatures w14:val="none"/>
        </w:rPr>
        <w:t>Th</w:t>
      </w:r>
      <w:r w:rsidR="004A3537">
        <w:rPr>
          <w:rFonts w:ascii="Times New Roman" w:hAnsi="Times New Roman" w:cs="Times New Roman"/>
          <w:kern w:val="0"/>
          <w14:ligatures w14:val="none"/>
        </w:rPr>
        <w:t xml:space="preserve">is urgent court application for a </w:t>
      </w:r>
      <w:r w:rsidR="004A3537" w:rsidRPr="004A3537">
        <w:rPr>
          <w:rFonts w:ascii="Times New Roman" w:hAnsi="Times New Roman" w:cs="Times New Roman"/>
          <w:i/>
          <w:iCs/>
          <w:kern w:val="0"/>
          <w14:ligatures w14:val="none"/>
        </w:rPr>
        <w:t xml:space="preserve">declaratur </w:t>
      </w:r>
      <w:r w:rsidR="004A3537">
        <w:rPr>
          <w:rFonts w:ascii="Times New Roman" w:hAnsi="Times New Roman" w:cs="Times New Roman"/>
          <w:kern w:val="0"/>
          <w14:ligatures w14:val="none"/>
        </w:rPr>
        <w:t>was filed in terms of section 14 of the High Court Act [</w:t>
      </w:r>
      <w:r w:rsidR="004A3537" w:rsidRPr="004A3537">
        <w:rPr>
          <w:rFonts w:ascii="Times New Roman" w:hAnsi="Times New Roman" w:cs="Times New Roman"/>
          <w:i/>
          <w:iCs/>
          <w:kern w:val="0"/>
          <w14:ligatures w14:val="none"/>
        </w:rPr>
        <w:t>Chapter 07:06</w:t>
      </w:r>
      <w:r w:rsidR="004A3537">
        <w:rPr>
          <w:rFonts w:ascii="Times New Roman" w:hAnsi="Times New Roman" w:cs="Times New Roman"/>
          <w:kern w:val="0"/>
          <w14:ligatures w14:val="none"/>
        </w:rPr>
        <w:t>], as read together with section 4(1) of the Administrative Justice Act [</w:t>
      </w:r>
      <w:r w:rsidR="004A3537" w:rsidRPr="004A3537">
        <w:rPr>
          <w:rFonts w:ascii="Times New Roman" w:hAnsi="Times New Roman" w:cs="Times New Roman"/>
          <w:i/>
          <w:iCs/>
          <w:kern w:val="0"/>
          <w14:ligatures w14:val="none"/>
        </w:rPr>
        <w:t>Chapter 10:28</w:t>
      </w:r>
      <w:r w:rsidR="004A3537">
        <w:rPr>
          <w:rFonts w:ascii="Times New Roman" w:hAnsi="Times New Roman" w:cs="Times New Roman"/>
          <w:kern w:val="0"/>
          <w14:ligatures w14:val="none"/>
        </w:rPr>
        <w:t>]</w:t>
      </w:r>
      <w:r w:rsidR="00475886">
        <w:rPr>
          <w:rFonts w:ascii="Times New Roman" w:hAnsi="Times New Roman" w:cs="Times New Roman"/>
          <w:kern w:val="0"/>
          <w14:ligatures w14:val="none"/>
        </w:rPr>
        <w:t xml:space="preserve"> (the AJA)</w:t>
      </w:r>
      <w:r w:rsidR="004A3537">
        <w:rPr>
          <w:rFonts w:ascii="Times New Roman" w:hAnsi="Times New Roman" w:cs="Times New Roman"/>
          <w:kern w:val="0"/>
          <w14:ligatures w14:val="none"/>
        </w:rPr>
        <w:t xml:space="preserve">. The </w:t>
      </w:r>
      <w:r w:rsidR="004A3537" w:rsidRPr="00860B2B">
        <w:rPr>
          <w:rFonts w:ascii="Times New Roman" w:hAnsi="Times New Roman" w:cs="Times New Roman"/>
          <w:kern w:val="0"/>
          <w14:ligatures w14:val="none"/>
        </w:rPr>
        <w:t xml:space="preserve">applicants </w:t>
      </w:r>
      <w:r w:rsidR="00FB0F29" w:rsidRPr="00860B2B">
        <w:rPr>
          <w:rFonts w:ascii="Times New Roman" w:hAnsi="Times New Roman" w:cs="Times New Roman"/>
          <w:kern w:val="0"/>
          <w14:ligatures w14:val="none"/>
        </w:rPr>
        <w:t xml:space="preserve">approached the court seeking </w:t>
      </w:r>
      <w:r w:rsidR="004A3537" w:rsidRPr="00860B2B">
        <w:rPr>
          <w:rFonts w:ascii="Times New Roman" w:hAnsi="Times New Roman" w:cs="Times New Roman"/>
          <w:kern w:val="0"/>
          <w14:ligatures w14:val="none"/>
        </w:rPr>
        <w:t>the following relief:</w:t>
      </w:r>
    </w:p>
    <w:p w14:paraId="7399C350" w14:textId="77777777" w:rsidR="00FB0F29" w:rsidRPr="00860B2B" w:rsidRDefault="005735F4" w:rsidP="00FB0F29">
      <w:pPr>
        <w:pStyle w:val="ListParagraph"/>
        <w:numPr>
          <w:ilvl w:val="1"/>
          <w:numId w:val="4"/>
        </w:numPr>
        <w:tabs>
          <w:tab w:val="left" w:pos="426"/>
          <w:tab w:val="left" w:pos="993"/>
        </w:tabs>
        <w:spacing w:after="0" w:line="360" w:lineRule="auto"/>
        <w:jc w:val="both"/>
        <w:rPr>
          <w:rFonts w:ascii="Times New Roman" w:hAnsi="Times New Roman" w:cs="Times New Roman"/>
          <w:kern w:val="0"/>
          <w14:ligatures w14:val="none"/>
        </w:rPr>
      </w:pPr>
      <w:r w:rsidRPr="00860B2B">
        <w:rPr>
          <w:rFonts w:ascii="Times New Roman" w:hAnsi="Times New Roman" w:cs="Times New Roman"/>
          <w:kern w:val="0"/>
          <w14:ligatures w14:val="none"/>
        </w:rPr>
        <w:t>An order declaring that the results of the 2016 Division of Proceeds (DoP) validation exercise carried out by the second respondent and relied upon by the first respondent in making a directive to vary the DoP to 80.5% and 19.5% respectively to farmers and millers was fundamentally flawed, irregular, unreasonable and unfair such that it cannot be sustained.</w:t>
      </w:r>
    </w:p>
    <w:p w14:paraId="767848C3" w14:textId="796E6ED5" w:rsidR="00FB0F29" w:rsidRPr="00860B2B" w:rsidRDefault="005735F4" w:rsidP="00FB0F29">
      <w:pPr>
        <w:pStyle w:val="ListParagraph"/>
        <w:numPr>
          <w:ilvl w:val="1"/>
          <w:numId w:val="4"/>
        </w:numPr>
        <w:tabs>
          <w:tab w:val="left" w:pos="426"/>
          <w:tab w:val="left" w:pos="993"/>
        </w:tabs>
        <w:spacing w:after="0" w:line="360" w:lineRule="auto"/>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By extension that the directive by the first respondent dated 8 October 2024 for implementation of a DoP ratio of 80.5% and 19.5% to farmers and millers respectively was unreasonable and unfair. </w:t>
      </w:r>
    </w:p>
    <w:p w14:paraId="1AA82C24" w14:textId="77777777" w:rsidR="00FB0F29" w:rsidRPr="00860B2B" w:rsidRDefault="005735F4" w:rsidP="00FB0F29">
      <w:pPr>
        <w:pStyle w:val="ListParagraph"/>
        <w:numPr>
          <w:ilvl w:val="1"/>
          <w:numId w:val="4"/>
        </w:numPr>
        <w:tabs>
          <w:tab w:val="left" w:pos="426"/>
          <w:tab w:val="left" w:pos="993"/>
        </w:tabs>
        <w:spacing w:after="0" w:line="360" w:lineRule="auto"/>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Further that the conduct by the first respondent to direct DoP determination is </w:t>
      </w:r>
      <w:r w:rsidRPr="00860B2B">
        <w:rPr>
          <w:rFonts w:ascii="Times New Roman" w:hAnsi="Times New Roman" w:cs="Times New Roman"/>
          <w:i/>
          <w:iCs/>
          <w:kern w:val="0"/>
          <w14:ligatures w14:val="none"/>
        </w:rPr>
        <w:t>ultra</w:t>
      </w:r>
      <w:r w:rsidR="00BA7262" w:rsidRPr="00860B2B">
        <w:rPr>
          <w:rFonts w:ascii="Times New Roman" w:hAnsi="Times New Roman" w:cs="Times New Roman"/>
          <w:i/>
          <w:iCs/>
          <w:kern w:val="0"/>
          <w14:ligatures w14:val="none"/>
        </w:rPr>
        <w:t xml:space="preserve"> </w:t>
      </w:r>
      <w:r w:rsidRPr="00860B2B">
        <w:rPr>
          <w:rFonts w:ascii="Times New Roman" w:hAnsi="Times New Roman" w:cs="Times New Roman"/>
          <w:i/>
          <w:iCs/>
          <w:kern w:val="0"/>
          <w14:ligatures w14:val="none"/>
        </w:rPr>
        <w:t>vires</w:t>
      </w:r>
      <w:r w:rsidRPr="00860B2B">
        <w:rPr>
          <w:rFonts w:ascii="Times New Roman" w:hAnsi="Times New Roman" w:cs="Times New Roman"/>
          <w:kern w:val="0"/>
          <w14:ligatures w14:val="none"/>
        </w:rPr>
        <w:t xml:space="preserve"> and therefore </w:t>
      </w:r>
      <w:r w:rsidR="00BA7262" w:rsidRPr="00860B2B">
        <w:rPr>
          <w:rFonts w:ascii="Times New Roman" w:hAnsi="Times New Roman" w:cs="Times New Roman"/>
          <w:kern w:val="0"/>
          <w14:ligatures w14:val="none"/>
        </w:rPr>
        <w:t xml:space="preserve">unlawful. </w:t>
      </w:r>
    </w:p>
    <w:p w14:paraId="5E30D9C9" w14:textId="77777777" w:rsidR="00FB0F29" w:rsidRPr="00860B2B" w:rsidRDefault="005735F4" w:rsidP="00FB0F29">
      <w:pPr>
        <w:pStyle w:val="ListParagraph"/>
        <w:numPr>
          <w:ilvl w:val="1"/>
          <w:numId w:val="4"/>
        </w:numPr>
        <w:tabs>
          <w:tab w:val="left" w:pos="426"/>
          <w:tab w:val="left" w:pos="993"/>
        </w:tabs>
        <w:spacing w:after="0" w:line="360" w:lineRule="auto"/>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Resultantly that the purported 2016 DoP validation results and the subsequent action by the first respondent directing the implementation of a DoP of </w:t>
      </w:r>
      <w:r w:rsidR="00BA7262" w:rsidRPr="00860B2B">
        <w:rPr>
          <w:rFonts w:ascii="Times New Roman" w:hAnsi="Times New Roman" w:cs="Times New Roman"/>
          <w:kern w:val="0"/>
          <w14:ligatures w14:val="none"/>
        </w:rPr>
        <w:t xml:space="preserve">80.5% and 19.5% respectively in favour of the farmers effective 1 April 2022 be set aside, and </w:t>
      </w:r>
    </w:p>
    <w:p w14:paraId="2F612803" w14:textId="7CA84375" w:rsidR="00BA7262" w:rsidRDefault="00BA7262" w:rsidP="00FB0F29">
      <w:pPr>
        <w:pStyle w:val="ListParagraph"/>
        <w:numPr>
          <w:ilvl w:val="1"/>
          <w:numId w:val="4"/>
        </w:numPr>
        <w:tabs>
          <w:tab w:val="left" w:pos="426"/>
          <w:tab w:val="left" w:pos="993"/>
        </w:tabs>
        <w:spacing w:after="0" w:line="360" w:lineRule="auto"/>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That the last obtaining EY DoP shall continue to apply until such time as the DoP is reviewed. </w:t>
      </w:r>
    </w:p>
    <w:p w14:paraId="65AB0731" w14:textId="295994E7" w:rsidR="00FB0F29" w:rsidRPr="00860B2B" w:rsidRDefault="00FB0F29" w:rsidP="00FB0F29">
      <w:pPr>
        <w:tabs>
          <w:tab w:val="left" w:pos="426"/>
          <w:tab w:val="left" w:pos="993"/>
        </w:tabs>
        <w:spacing w:after="0" w:line="360" w:lineRule="auto"/>
        <w:jc w:val="both"/>
        <w:rPr>
          <w:rFonts w:ascii="Times New Roman" w:hAnsi="Times New Roman" w:cs="Times New Roman"/>
          <w:b/>
          <w:bCs/>
          <w:kern w:val="0"/>
          <w:u w:val="single"/>
          <w14:ligatures w14:val="none"/>
        </w:rPr>
      </w:pPr>
      <w:r w:rsidRPr="00860B2B">
        <w:rPr>
          <w:rFonts w:ascii="Times New Roman" w:hAnsi="Times New Roman" w:cs="Times New Roman"/>
          <w:b/>
          <w:bCs/>
          <w:kern w:val="0"/>
          <w:u w:val="single"/>
          <w14:ligatures w14:val="none"/>
        </w:rPr>
        <w:t xml:space="preserve">Factual background and the applicants’ case </w:t>
      </w:r>
    </w:p>
    <w:p w14:paraId="3EF0F3E7" w14:textId="69618781" w:rsidR="008756E2" w:rsidRPr="008759C7" w:rsidRDefault="008759C7" w:rsidP="008759C7">
      <w:pPr>
        <w:tabs>
          <w:tab w:val="left" w:pos="426"/>
        </w:tabs>
        <w:spacing w:after="0" w:line="360" w:lineRule="auto"/>
        <w:jc w:val="both"/>
        <w:rPr>
          <w:rFonts w:ascii="Times New Roman" w:hAnsi="Times New Roman" w:cs="Times New Roman"/>
          <w:kern w:val="0"/>
          <w14:ligatures w14:val="none"/>
        </w:rPr>
      </w:pPr>
      <w:r w:rsidRPr="008759C7">
        <w:rPr>
          <w:rFonts w:ascii="Times New Roman" w:hAnsi="Times New Roman" w:cs="Times New Roman"/>
          <w:b/>
          <w:kern w:val="0"/>
          <w14:ligatures w14:val="none"/>
        </w:rPr>
        <w:t>[2]</w:t>
      </w:r>
      <w:r>
        <w:rPr>
          <w:rFonts w:ascii="Times New Roman" w:hAnsi="Times New Roman" w:cs="Times New Roman"/>
          <w:kern w:val="0"/>
          <w14:ligatures w14:val="none"/>
        </w:rPr>
        <w:t xml:space="preserve"> </w:t>
      </w:r>
      <w:r w:rsidR="008756E2" w:rsidRPr="008759C7">
        <w:rPr>
          <w:rFonts w:ascii="Times New Roman" w:hAnsi="Times New Roman" w:cs="Times New Roman"/>
          <w:kern w:val="0"/>
          <w14:ligatures w14:val="none"/>
        </w:rPr>
        <w:t>The applicants are involved in the agriculture and agro-processing business, focusing on growing and milling sugar cane in Zimbabwe. The first respondent is the administrative authority charged with the administration of the Sugar Production Control Act [</w:t>
      </w:r>
      <w:r w:rsidR="008756E2" w:rsidRPr="008759C7">
        <w:rPr>
          <w:rFonts w:ascii="Times New Roman" w:hAnsi="Times New Roman" w:cs="Times New Roman"/>
          <w:i/>
          <w:iCs/>
          <w:kern w:val="0"/>
          <w14:ligatures w14:val="none"/>
        </w:rPr>
        <w:t>Chapter 18:19</w:t>
      </w:r>
      <w:r w:rsidR="008756E2" w:rsidRPr="008759C7">
        <w:rPr>
          <w:rFonts w:ascii="Times New Roman" w:hAnsi="Times New Roman" w:cs="Times New Roman"/>
          <w:kern w:val="0"/>
          <w14:ligatures w14:val="none"/>
        </w:rPr>
        <w:t xml:space="preserve">] (the Act). The second respondent is a firm of chartered accountants which was engaged by the first respondent to assist him in performing a statutory function, on the basis of which the first respondent took administrative action which the applicants sought to impugn. </w:t>
      </w:r>
    </w:p>
    <w:p w14:paraId="3CC9B4CB" w14:textId="75EAE465" w:rsidR="008756E2" w:rsidRPr="008759C7" w:rsidRDefault="008759C7" w:rsidP="008759C7">
      <w:pPr>
        <w:tabs>
          <w:tab w:val="left" w:pos="426"/>
        </w:tabs>
        <w:spacing w:after="0" w:line="360" w:lineRule="auto"/>
        <w:jc w:val="both"/>
        <w:rPr>
          <w:rFonts w:ascii="Times New Roman" w:hAnsi="Times New Roman" w:cs="Times New Roman"/>
          <w:kern w:val="0"/>
          <w14:ligatures w14:val="none"/>
        </w:rPr>
      </w:pPr>
      <w:r w:rsidRPr="008759C7">
        <w:rPr>
          <w:rFonts w:ascii="Times New Roman" w:hAnsi="Times New Roman" w:cs="Times New Roman"/>
          <w:b/>
          <w:kern w:val="0"/>
          <w14:ligatures w14:val="none"/>
        </w:rPr>
        <w:t>[3]</w:t>
      </w:r>
      <w:r>
        <w:rPr>
          <w:rFonts w:ascii="Times New Roman" w:hAnsi="Times New Roman" w:cs="Times New Roman"/>
          <w:kern w:val="0"/>
          <w14:ligatures w14:val="none"/>
        </w:rPr>
        <w:t xml:space="preserve"> </w:t>
      </w:r>
      <w:r w:rsidR="008756E2" w:rsidRPr="008759C7">
        <w:rPr>
          <w:rFonts w:ascii="Times New Roman" w:hAnsi="Times New Roman" w:cs="Times New Roman"/>
          <w:kern w:val="0"/>
          <w14:ligatures w14:val="none"/>
        </w:rPr>
        <w:t xml:space="preserve">The third to thirteenth </w:t>
      </w:r>
      <w:r w:rsidR="00B74C7D">
        <w:rPr>
          <w:rFonts w:ascii="Times New Roman" w:hAnsi="Times New Roman" w:cs="Times New Roman"/>
          <w:kern w:val="0"/>
          <w14:ligatures w14:val="none"/>
        </w:rPr>
        <w:t xml:space="preserve">respondents </w:t>
      </w:r>
      <w:r w:rsidR="008756E2" w:rsidRPr="008759C7">
        <w:rPr>
          <w:rFonts w:ascii="Times New Roman" w:hAnsi="Times New Roman" w:cs="Times New Roman"/>
          <w:kern w:val="0"/>
          <w14:ligatures w14:val="none"/>
        </w:rPr>
        <w:t xml:space="preserve">are farmer associations and farmer groups representing the duly licenced </w:t>
      </w:r>
      <w:r w:rsidR="005A1B69" w:rsidRPr="008759C7">
        <w:rPr>
          <w:rFonts w:ascii="Times New Roman" w:hAnsi="Times New Roman" w:cs="Times New Roman"/>
          <w:kern w:val="0"/>
          <w14:ligatures w14:val="none"/>
        </w:rPr>
        <w:t>out grower</w:t>
      </w:r>
      <w:r w:rsidR="008756E2" w:rsidRPr="008759C7">
        <w:rPr>
          <w:rFonts w:ascii="Times New Roman" w:hAnsi="Times New Roman" w:cs="Times New Roman"/>
          <w:kern w:val="0"/>
          <w14:ligatures w14:val="none"/>
        </w:rPr>
        <w:t xml:space="preserve"> farmers who grow and deliver sugarcane for milling to the applicants in the lowveld region in Zimbabwe in terms of a cane milling agreement. The farmer associations and groups were involved in engagements with the applicants yielding </w:t>
      </w:r>
      <w:r w:rsidR="008756E2" w:rsidRPr="008759C7">
        <w:rPr>
          <w:rFonts w:ascii="Times New Roman" w:hAnsi="Times New Roman" w:cs="Times New Roman"/>
          <w:kern w:val="0"/>
          <w14:ligatures w14:val="none"/>
        </w:rPr>
        <w:lastRenderedPageBreak/>
        <w:t xml:space="preserve">the action taken by the first respondent, based on the assignment and delegation made to the second respondent. </w:t>
      </w:r>
    </w:p>
    <w:p w14:paraId="417BA376" w14:textId="1B70D75C" w:rsidR="004A3537" w:rsidRPr="008759C7" w:rsidRDefault="008759C7" w:rsidP="008759C7">
      <w:pPr>
        <w:tabs>
          <w:tab w:val="left" w:pos="426"/>
        </w:tabs>
        <w:spacing w:after="0" w:line="360" w:lineRule="auto"/>
        <w:jc w:val="both"/>
        <w:rPr>
          <w:rFonts w:ascii="Times New Roman" w:hAnsi="Times New Roman" w:cs="Times New Roman"/>
          <w:kern w:val="0"/>
          <w14:ligatures w14:val="none"/>
        </w:rPr>
      </w:pPr>
      <w:r w:rsidRPr="008759C7">
        <w:rPr>
          <w:rFonts w:ascii="Times New Roman" w:hAnsi="Times New Roman" w:cs="Times New Roman"/>
          <w:b/>
          <w:kern w:val="0"/>
          <w14:ligatures w14:val="none"/>
        </w:rPr>
        <w:t>[4]</w:t>
      </w:r>
      <w:r>
        <w:rPr>
          <w:rFonts w:ascii="Times New Roman" w:hAnsi="Times New Roman" w:cs="Times New Roman"/>
          <w:kern w:val="0"/>
          <w14:ligatures w14:val="none"/>
        </w:rPr>
        <w:t xml:space="preserve"> </w:t>
      </w:r>
      <w:r w:rsidR="002276AE" w:rsidRPr="008759C7">
        <w:rPr>
          <w:rFonts w:ascii="Times New Roman" w:hAnsi="Times New Roman" w:cs="Times New Roman"/>
          <w:kern w:val="0"/>
          <w14:ligatures w14:val="none"/>
        </w:rPr>
        <w:t xml:space="preserve">In terms of s 9 of the Act, the applicants, as licensed sugar millers, </w:t>
      </w:r>
      <w:r w:rsidR="00A85233" w:rsidRPr="008759C7">
        <w:rPr>
          <w:rFonts w:ascii="Times New Roman" w:hAnsi="Times New Roman" w:cs="Times New Roman"/>
          <w:kern w:val="0"/>
          <w14:ligatures w14:val="none"/>
        </w:rPr>
        <w:t xml:space="preserve">are </w:t>
      </w:r>
      <w:r w:rsidR="00D842EF" w:rsidRPr="008759C7">
        <w:rPr>
          <w:rFonts w:ascii="Times New Roman" w:hAnsi="Times New Roman" w:cs="Times New Roman"/>
          <w:kern w:val="0"/>
          <w14:ligatures w14:val="none"/>
        </w:rPr>
        <w:t>required</w:t>
      </w:r>
      <w:r w:rsidR="002276AE" w:rsidRPr="008759C7">
        <w:rPr>
          <w:rFonts w:ascii="Times New Roman" w:hAnsi="Times New Roman" w:cs="Times New Roman"/>
          <w:kern w:val="0"/>
          <w14:ligatures w14:val="none"/>
        </w:rPr>
        <w:t xml:space="preserve"> </w:t>
      </w:r>
      <w:r w:rsidR="00D842EF" w:rsidRPr="008759C7">
        <w:rPr>
          <w:rFonts w:ascii="Times New Roman" w:hAnsi="Times New Roman" w:cs="Times New Roman"/>
          <w:kern w:val="0"/>
          <w14:ligatures w14:val="none"/>
        </w:rPr>
        <w:t xml:space="preserve">to accept </w:t>
      </w:r>
      <w:r w:rsidR="00A85233" w:rsidRPr="008759C7">
        <w:rPr>
          <w:rFonts w:ascii="Times New Roman" w:hAnsi="Times New Roman" w:cs="Times New Roman"/>
          <w:kern w:val="0"/>
          <w14:ligatures w14:val="none"/>
        </w:rPr>
        <w:t xml:space="preserve">sugar cane from growers and cannot refuse same without reasonable cause. The farmers and the millers have a commercial relationship in the production and marketing of sugar and allied products in terms of which the farmers deliver sugar cane to the millers for milling. That </w:t>
      </w:r>
      <w:r w:rsidR="00413D98" w:rsidRPr="008759C7">
        <w:rPr>
          <w:rFonts w:ascii="Times New Roman" w:hAnsi="Times New Roman" w:cs="Times New Roman"/>
          <w:kern w:val="0"/>
          <w14:ligatures w14:val="none"/>
        </w:rPr>
        <w:t>wa</w:t>
      </w:r>
      <w:r w:rsidR="00A85233" w:rsidRPr="008759C7">
        <w:rPr>
          <w:rFonts w:ascii="Times New Roman" w:hAnsi="Times New Roman" w:cs="Times New Roman"/>
          <w:kern w:val="0"/>
          <w14:ligatures w14:val="none"/>
        </w:rPr>
        <w:t xml:space="preserve">s done under either a cane purchase agreement or a cane milling agreement. </w:t>
      </w:r>
    </w:p>
    <w:p w14:paraId="17127620" w14:textId="2B7FD404" w:rsidR="00A85233" w:rsidRPr="008759C7" w:rsidRDefault="008759C7" w:rsidP="008759C7">
      <w:pPr>
        <w:tabs>
          <w:tab w:val="left" w:pos="426"/>
        </w:tabs>
        <w:spacing w:after="0" w:line="360" w:lineRule="auto"/>
        <w:jc w:val="both"/>
        <w:rPr>
          <w:rFonts w:ascii="Times New Roman" w:hAnsi="Times New Roman" w:cs="Times New Roman"/>
          <w:kern w:val="0"/>
          <w14:ligatures w14:val="none"/>
        </w:rPr>
      </w:pPr>
      <w:r w:rsidRPr="008759C7">
        <w:rPr>
          <w:rFonts w:ascii="Times New Roman" w:hAnsi="Times New Roman" w:cs="Times New Roman"/>
          <w:b/>
          <w:kern w:val="0"/>
          <w14:ligatures w14:val="none"/>
        </w:rPr>
        <w:t>[5]</w:t>
      </w:r>
      <w:r>
        <w:rPr>
          <w:rFonts w:ascii="Times New Roman" w:hAnsi="Times New Roman" w:cs="Times New Roman"/>
          <w:kern w:val="0"/>
          <w14:ligatures w14:val="none"/>
        </w:rPr>
        <w:t xml:space="preserve"> </w:t>
      </w:r>
      <w:r w:rsidR="004F1DB5" w:rsidRPr="008759C7">
        <w:rPr>
          <w:rFonts w:ascii="Times New Roman" w:hAnsi="Times New Roman" w:cs="Times New Roman"/>
          <w:kern w:val="0"/>
          <w14:ligatures w14:val="none"/>
        </w:rPr>
        <w:t xml:space="preserve">In the case of a cane purchase agreement, the farmers </w:t>
      </w:r>
      <w:r w:rsidR="002276AE" w:rsidRPr="008759C7">
        <w:rPr>
          <w:rFonts w:ascii="Times New Roman" w:hAnsi="Times New Roman" w:cs="Times New Roman"/>
          <w:kern w:val="0"/>
          <w14:ligatures w14:val="none"/>
        </w:rPr>
        <w:t>were</w:t>
      </w:r>
      <w:r w:rsidR="008B4EC0" w:rsidRPr="008759C7">
        <w:rPr>
          <w:rFonts w:ascii="Times New Roman" w:hAnsi="Times New Roman" w:cs="Times New Roman"/>
          <w:kern w:val="0"/>
          <w14:ligatures w14:val="none"/>
        </w:rPr>
        <w:t xml:space="preserve"> </w:t>
      </w:r>
      <w:r w:rsidR="004F1DB5" w:rsidRPr="008759C7">
        <w:rPr>
          <w:rFonts w:ascii="Times New Roman" w:hAnsi="Times New Roman" w:cs="Times New Roman"/>
          <w:kern w:val="0"/>
          <w14:ligatures w14:val="none"/>
        </w:rPr>
        <w:t>paid an agreed price which the first respondent may by statutory instrument determine if it appear</w:t>
      </w:r>
      <w:r w:rsidR="008B4EC0" w:rsidRPr="008759C7">
        <w:rPr>
          <w:rFonts w:ascii="Times New Roman" w:hAnsi="Times New Roman" w:cs="Times New Roman"/>
          <w:kern w:val="0"/>
          <w14:ligatures w14:val="none"/>
        </w:rPr>
        <w:t>ed</w:t>
      </w:r>
      <w:r w:rsidR="004F1DB5" w:rsidRPr="008759C7">
        <w:rPr>
          <w:rFonts w:ascii="Times New Roman" w:hAnsi="Times New Roman" w:cs="Times New Roman"/>
          <w:kern w:val="0"/>
          <w14:ligatures w14:val="none"/>
        </w:rPr>
        <w:t xml:space="preserve"> to him to be in the public interests or the industry to so. According to the applicants, the current cane price of US$71.00 was determined by the first respondent following disagreement</w:t>
      </w:r>
      <w:r w:rsidR="008B4EC0" w:rsidRPr="008759C7">
        <w:rPr>
          <w:rFonts w:ascii="Times New Roman" w:hAnsi="Times New Roman" w:cs="Times New Roman"/>
          <w:kern w:val="0"/>
          <w14:ligatures w14:val="none"/>
        </w:rPr>
        <w:t>s</w:t>
      </w:r>
      <w:r w:rsidR="004F1DB5" w:rsidRPr="008759C7">
        <w:rPr>
          <w:rFonts w:ascii="Times New Roman" w:hAnsi="Times New Roman" w:cs="Times New Roman"/>
          <w:kern w:val="0"/>
          <w14:ligatures w14:val="none"/>
        </w:rPr>
        <w:t xml:space="preserve"> by the millers and farmers on the price of cane</w:t>
      </w:r>
      <w:r w:rsidR="00E0790C" w:rsidRPr="008759C7">
        <w:rPr>
          <w:rFonts w:ascii="Times New Roman" w:hAnsi="Times New Roman" w:cs="Times New Roman"/>
          <w:kern w:val="0"/>
          <w14:ligatures w14:val="none"/>
        </w:rPr>
        <w:t xml:space="preserve">, though a statutory instrument was not promulgated. </w:t>
      </w:r>
    </w:p>
    <w:p w14:paraId="1EBD9A6A" w14:textId="5E18D63E" w:rsidR="004A617B" w:rsidRPr="00860B2B" w:rsidRDefault="004A617B"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In the case of a cane milling agreement, the farmers deliver</w:t>
      </w:r>
      <w:r w:rsidR="008B4EC0">
        <w:rPr>
          <w:rFonts w:ascii="Times New Roman" w:hAnsi="Times New Roman" w:cs="Times New Roman"/>
          <w:kern w:val="0"/>
          <w14:ligatures w14:val="none"/>
        </w:rPr>
        <w:t>ed</w:t>
      </w:r>
      <w:r w:rsidRPr="00860B2B">
        <w:rPr>
          <w:rFonts w:ascii="Times New Roman" w:hAnsi="Times New Roman" w:cs="Times New Roman"/>
          <w:kern w:val="0"/>
          <w14:ligatures w14:val="none"/>
        </w:rPr>
        <w:t xml:space="preserve"> their cane to the millers for milling at a charge and the sugar produced </w:t>
      </w:r>
      <w:r w:rsidR="008B4EC0">
        <w:rPr>
          <w:rFonts w:ascii="Times New Roman" w:hAnsi="Times New Roman" w:cs="Times New Roman"/>
          <w:kern w:val="0"/>
          <w14:ligatures w14:val="none"/>
        </w:rPr>
        <w:t>wa</w:t>
      </w:r>
      <w:r w:rsidRPr="00860B2B">
        <w:rPr>
          <w:rFonts w:ascii="Times New Roman" w:hAnsi="Times New Roman" w:cs="Times New Roman"/>
          <w:kern w:val="0"/>
          <w14:ligatures w14:val="none"/>
        </w:rPr>
        <w:t xml:space="preserve">s jointly pooled and marketed together with that belonging to the millers and the proceeds from the sales </w:t>
      </w:r>
      <w:r w:rsidR="008B4EC0">
        <w:rPr>
          <w:rFonts w:ascii="Times New Roman" w:hAnsi="Times New Roman" w:cs="Times New Roman"/>
          <w:kern w:val="0"/>
          <w14:ligatures w14:val="none"/>
        </w:rPr>
        <w:t>were</w:t>
      </w:r>
      <w:r w:rsidRPr="00860B2B">
        <w:rPr>
          <w:rFonts w:ascii="Times New Roman" w:hAnsi="Times New Roman" w:cs="Times New Roman"/>
          <w:kern w:val="0"/>
          <w14:ligatures w14:val="none"/>
        </w:rPr>
        <w:t xml:space="preserve"> distributed according to an agreed technically determined share of revenue called Division of Proceeds (DoP). </w:t>
      </w:r>
    </w:p>
    <w:p w14:paraId="6ED61DCA" w14:textId="2765D086" w:rsidR="00413D98" w:rsidRPr="00860B2B" w:rsidRDefault="00413D9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The DoP was a formula for determining what percentage of revenue from the sale of sugar produced in the milling process represented the grower’s costs and capital employed plus return, and what represented the milling costs and capital employed plus return. The respective ratios of revenue shar</w:t>
      </w:r>
      <w:r w:rsidR="008B4EC0">
        <w:rPr>
          <w:rFonts w:ascii="Times New Roman" w:hAnsi="Times New Roman" w:cs="Times New Roman"/>
          <w:kern w:val="0"/>
          <w14:ligatures w14:val="none"/>
        </w:rPr>
        <w:t>ing</w:t>
      </w:r>
      <w:r w:rsidRPr="00860B2B">
        <w:rPr>
          <w:rFonts w:ascii="Times New Roman" w:hAnsi="Times New Roman" w:cs="Times New Roman"/>
          <w:kern w:val="0"/>
          <w14:ligatures w14:val="none"/>
        </w:rPr>
        <w:t xml:space="preserve"> so determined would then be applied in paying farmers for their cane delivered for milling to the mills, while the millers would retain their respective portion of the DoP representing a milling charge. </w:t>
      </w:r>
    </w:p>
    <w:p w14:paraId="13E6826A" w14:textId="74F1D113" w:rsidR="00413D98" w:rsidRPr="00860B2B" w:rsidRDefault="00413D9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According to the applicants, such DoP had in the past been determined through a mutually agreed process involving engagement of an independent internationally recognised consultant with relevant specialised expertise, usually an accounting firm. The consultant acting as an expert within defined terms of reference would undertake an independent inquiry usually spanning to a duration over two </w:t>
      </w:r>
      <w:r w:rsidR="00BD3D2B" w:rsidRPr="00860B2B">
        <w:rPr>
          <w:rFonts w:ascii="Times New Roman" w:hAnsi="Times New Roman" w:cs="Times New Roman"/>
          <w:kern w:val="0"/>
          <w14:ligatures w14:val="none"/>
        </w:rPr>
        <w:t>years to</w:t>
      </w:r>
      <w:r w:rsidRPr="00860B2B">
        <w:rPr>
          <w:rFonts w:ascii="Times New Roman" w:hAnsi="Times New Roman" w:cs="Times New Roman"/>
          <w:kern w:val="0"/>
          <w14:ligatures w14:val="none"/>
        </w:rPr>
        <w:t xml:space="preserve"> come up with a recommendation of an equitable DoP ratio which the parties would adopt in their commercial arrangements. The last such determination was done by Ernst and Young (EY) in 2016</w:t>
      </w:r>
      <w:r w:rsidR="00BD3D2B" w:rsidRPr="00860B2B">
        <w:rPr>
          <w:rFonts w:ascii="Times New Roman" w:hAnsi="Times New Roman" w:cs="Times New Roman"/>
          <w:kern w:val="0"/>
          <w14:ligatures w14:val="none"/>
        </w:rPr>
        <w:t>, and it placed the DoP at 77%:23% in favour of farmers. Prior to that, the DoP that was agreed by farmers and millers had been arrived at in 1999 following a review process carried out by Pr</w:t>
      </w:r>
      <w:r w:rsidR="00380A54" w:rsidRPr="00860B2B">
        <w:rPr>
          <w:rFonts w:ascii="Times New Roman" w:hAnsi="Times New Roman" w:cs="Times New Roman"/>
          <w:kern w:val="0"/>
          <w14:ligatures w14:val="none"/>
        </w:rPr>
        <w:t>i</w:t>
      </w:r>
      <w:r w:rsidR="00BD3D2B" w:rsidRPr="00860B2B">
        <w:rPr>
          <w:rFonts w:ascii="Times New Roman" w:hAnsi="Times New Roman" w:cs="Times New Roman"/>
          <w:kern w:val="0"/>
          <w14:ligatures w14:val="none"/>
        </w:rPr>
        <w:t xml:space="preserve">ceWaterHouse Coopers (PWC) from 1997 through to 1999. </w:t>
      </w:r>
    </w:p>
    <w:p w14:paraId="2153585B" w14:textId="77777777" w:rsidR="008B4EC0" w:rsidRDefault="00387C5E"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lastRenderedPageBreak/>
        <w:t>Further according to the applicants, the 2016</w:t>
      </w:r>
      <w:r w:rsidR="00380A54" w:rsidRPr="00860B2B">
        <w:rPr>
          <w:rFonts w:ascii="Times New Roman" w:hAnsi="Times New Roman" w:cs="Times New Roman"/>
          <w:kern w:val="0"/>
          <w14:ligatures w14:val="none"/>
        </w:rPr>
        <w:t xml:space="preserve"> EY DoP was contested by both farmers and millers. The parties made representations to the then Industry Minister, Mike Bimha highlighting the shortcomings in the report by EY. Among the concerns raised were limitations indicated by the consultant in executing the complex task of coming up with the DoP recommendation, particularly the integrity and quantum of certain submissions from farmers which were not supported by verifiable evidence. </w:t>
      </w:r>
    </w:p>
    <w:p w14:paraId="1359BD93" w14:textId="07FD73E2" w:rsidR="00A85233" w:rsidRPr="00860B2B" w:rsidRDefault="00380A54"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The applicant averred that unlike the 1999 PWC DoP review results which were adopted by mutual agreement of the parties, the 2016 EY DoP was imposed upon the parties by the Minister. </w:t>
      </w:r>
      <w:r w:rsidR="0053742E" w:rsidRPr="00860B2B">
        <w:rPr>
          <w:rFonts w:ascii="Times New Roman" w:hAnsi="Times New Roman" w:cs="Times New Roman"/>
          <w:kern w:val="0"/>
          <w14:ligatures w14:val="none"/>
        </w:rPr>
        <w:t xml:space="preserve">Having heard the concerns raised by the parties, the Minister had agreed that it would be necessary to review these through a comprehensive DoP review. The minister directed that the DoP ratio of 77% to 23% in favour of the farmers be implemented pending another comprehensive DoP review process which would consider the concerns raised by the parties. </w:t>
      </w:r>
      <w:r w:rsidR="001A52B7" w:rsidRPr="00860B2B">
        <w:rPr>
          <w:rFonts w:ascii="Times New Roman" w:hAnsi="Times New Roman" w:cs="Times New Roman"/>
          <w:kern w:val="0"/>
          <w14:ligatures w14:val="none"/>
        </w:rPr>
        <w:t xml:space="preserve">That review would require considerable time and resources hence the decision to apply the 2016 EY DoP ratio in the meantime. </w:t>
      </w:r>
    </w:p>
    <w:p w14:paraId="185C74C0" w14:textId="3C23EBA9" w:rsidR="00A85233" w:rsidRPr="00860B2B" w:rsidRDefault="001A52B7"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The parties went for several years without the</w:t>
      </w:r>
      <w:r w:rsidR="00641848">
        <w:rPr>
          <w:rFonts w:ascii="Times New Roman" w:hAnsi="Times New Roman" w:cs="Times New Roman"/>
          <w:kern w:val="0"/>
          <w14:ligatures w14:val="none"/>
        </w:rPr>
        <w:t xml:space="preserve"> review</w:t>
      </w:r>
      <w:r w:rsidRPr="00860B2B">
        <w:rPr>
          <w:rFonts w:ascii="Times New Roman" w:hAnsi="Times New Roman" w:cs="Times New Roman"/>
          <w:kern w:val="0"/>
          <w14:ligatures w14:val="none"/>
        </w:rPr>
        <w:t xml:space="preserve"> which the minister had promised was needed to address concerns raised in connection with the 2016 EY DoP. It was only in 2022 when the parties were negotiating a new milling agreement </w:t>
      </w:r>
      <w:r>
        <w:rPr>
          <w:rFonts w:ascii="Times New Roman" w:hAnsi="Times New Roman" w:cs="Times New Roman"/>
          <w:kern w:val="0"/>
          <w14:ligatures w14:val="none"/>
        </w:rPr>
        <w:t xml:space="preserve">that the issue of the DoP resurfaced. The applicants as millers pointed out </w:t>
      </w:r>
      <w:r w:rsidR="00641848">
        <w:rPr>
          <w:rFonts w:ascii="Times New Roman" w:hAnsi="Times New Roman" w:cs="Times New Roman"/>
          <w:kern w:val="0"/>
          <w14:ligatures w14:val="none"/>
        </w:rPr>
        <w:t xml:space="preserve">to </w:t>
      </w:r>
      <w:r>
        <w:rPr>
          <w:rFonts w:ascii="Times New Roman" w:hAnsi="Times New Roman" w:cs="Times New Roman"/>
          <w:kern w:val="0"/>
          <w14:ligatures w14:val="none"/>
        </w:rPr>
        <w:t>the view</w:t>
      </w:r>
      <w:r w:rsidR="00641848">
        <w:rPr>
          <w:rFonts w:ascii="Times New Roman" w:hAnsi="Times New Roman" w:cs="Times New Roman"/>
          <w:kern w:val="0"/>
          <w14:ligatures w14:val="none"/>
        </w:rPr>
        <w:t>s</w:t>
      </w:r>
      <w:r>
        <w:rPr>
          <w:rFonts w:ascii="Times New Roman" w:hAnsi="Times New Roman" w:cs="Times New Roman"/>
          <w:kern w:val="0"/>
          <w14:ligatures w14:val="none"/>
        </w:rPr>
        <w:t xml:space="preserve"> expressed by the then minister that what was required was a </w:t>
      </w:r>
      <w:r w:rsidRPr="00860B2B">
        <w:rPr>
          <w:rFonts w:ascii="Times New Roman" w:hAnsi="Times New Roman" w:cs="Times New Roman"/>
          <w:kern w:val="0"/>
          <w14:ligatures w14:val="none"/>
        </w:rPr>
        <w:t xml:space="preserve">review of the DoP, but the farmers insisted that a validation of the 2016 EY DoP was necessary. </w:t>
      </w:r>
    </w:p>
    <w:p w14:paraId="4800019E" w14:textId="7E6F4DFD" w:rsidR="001A52B7" w:rsidRPr="00860B2B" w:rsidRDefault="001A52B7"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The farmers approached the first respondent and the then incumbent </w:t>
      </w:r>
      <w:r w:rsidR="00E154BD" w:rsidRPr="00860B2B">
        <w:rPr>
          <w:rFonts w:ascii="Times New Roman" w:hAnsi="Times New Roman" w:cs="Times New Roman"/>
          <w:kern w:val="0"/>
          <w14:ligatures w14:val="none"/>
        </w:rPr>
        <w:t xml:space="preserve">minister </w:t>
      </w:r>
      <w:r w:rsidRPr="00860B2B">
        <w:rPr>
          <w:rFonts w:ascii="Times New Roman" w:hAnsi="Times New Roman" w:cs="Times New Roman"/>
          <w:kern w:val="0"/>
          <w14:ligatures w14:val="none"/>
        </w:rPr>
        <w:t xml:space="preserve">leaned on the applicants to go for validation of the DoP which the applicants had submitted was not necessary after suggesting a complete review. The applicants claimed that they were forced into the DoP validation process by the then minister. </w:t>
      </w:r>
    </w:p>
    <w:p w14:paraId="4B933CA4" w14:textId="35058107" w:rsidR="001A52B7" w:rsidRDefault="001A52B7"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w:t>
      </w:r>
      <w:r w:rsidR="00641848">
        <w:rPr>
          <w:rFonts w:ascii="Times New Roman" w:hAnsi="Times New Roman" w:cs="Times New Roman"/>
          <w:kern w:val="0"/>
          <w14:ligatures w14:val="none"/>
        </w:rPr>
        <w:t xml:space="preserve">Following the first respondent’s directive for parties </w:t>
      </w:r>
      <w:r w:rsidRPr="00860B2B">
        <w:rPr>
          <w:rFonts w:ascii="Times New Roman" w:hAnsi="Times New Roman" w:cs="Times New Roman"/>
          <w:kern w:val="0"/>
          <w14:ligatures w14:val="none"/>
        </w:rPr>
        <w:t xml:space="preserve">to undertake a validation exercise of the 2016 EY DoP, </w:t>
      </w:r>
      <w:r w:rsidR="00641848">
        <w:rPr>
          <w:rFonts w:ascii="Times New Roman" w:hAnsi="Times New Roman" w:cs="Times New Roman"/>
          <w:kern w:val="0"/>
          <w14:ligatures w14:val="none"/>
        </w:rPr>
        <w:t xml:space="preserve">a Technical Working Group (TWG) comprising </w:t>
      </w:r>
      <w:r w:rsidRPr="00860B2B">
        <w:rPr>
          <w:rFonts w:ascii="Times New Roman" w:hAnsi="Times New Roman" w:cs="Times New Roman"/>
          <w:kern w:val="0"/>
          <w14:ligatures w14:val="none"/>
        </w:rPr>
        <w:t>of farmers and millers</w:t>
      </w:r>
      <w:r w:rsidR="00641848">
        <w:rPr>
          <w:rFonts w:ascii="Times New Roman" w:hAnsi="Times New Roman" w:cs="Times New Roman"/>
          <w:kern w:val="0"/>
          <w14:ligatures w14:val="none"/>
        </w:rPr>
        <w:t xml:space="preserve"> was established</w:t>
      </w:r>
      <w:r w:rsidRPr="00860B2B">
        <w:rPr>
          <w:rFonts w:ascii="Times New Roman" w:hAnsi="Times New Roman" w:cs="Times New Roman"/>
          <w:kern w:val="0"/>
          <w14:ligatures w14:val="none"/>
        </w:rPr>
        <w:t xml:space="preserve"> to negotiate milling agreements and redress other outstanding industry issues</w:t>
      </w:r>
      <w:r w:rsidR="00641848">
        <w:rPr>
          <w:rFonts w:ascii="Times New Roman" w:hAnsi="Times New Roman" w:cs="Times New Roman"/>
          <w:kern w:val="0"/>
          <w14:ligatures w14:val="none"/>
        </w:rPr>
        <w:t>. The parties also proceeded to sign a me</w:t>
      </w:r>
      <w:r w:rsidRPr="00860B2B">
        <w:rPr>
          <w:rFonts w:ascii="Times New Roman" w:hAnsi="Times New Roman" w:cs="Times New Roman"/>
          <w:kern w:val="0"/>
          <w14:ligatures w14:val="none"/>
        </w:rPr>
        <w:t xml:space="preserve">morandum of understanding (MOU). </w:t>
      </w:r>
      <w:r w:rsidR="00641848">
        <w:rPr>
          <w:rFonts w:ascii="Times New Roman" w:hAnsi="Times New Roman" w:cs="Times New Roman"/>
          <w:kern w:val="0"/>
          <w14:ligatures w14:val="none"/>
        </w:rPr>
        <w:t xml:space="preserve">In the </w:t>
      </w:r>
      <w:r w:rsidR="00345D03" w:rsidRPr="00860B2B">
        <w:rPr>
          <w:rFonts w:ascii="Times New Roman" w:hAnsi="Times New Roman" w:cs="Times New Roman"/>
          <w:kern w:val="0"/>
          <w14:ligatures w14:val="none"/>
        </w:rPr>
        <w:t>MOU</w:t>
      </w:r>
      <w:r w:rsidR="00641848">
        <w:rPr>
          <w:rFonts w:ascii="Times New Roman" w:hAnsi="Times New Roman" w:cs="Times New Roman"/>
          <w:kern w:val="0"/>
          <w14:ligatures w14:val="none"/>
        </w:rPr>
        <w:t>, the parties</w:t>
      </w:r>
      <w:r w:rsidR="00345D03" w:rsidRPr="00860B2B">
        <w:rPr>
          <w:rFonts w:ascii="Times New Roman" w:hAnsi="Times New Roman" w:cs="Times New Roman"/>
          <w:kern w:val="0"/>
          <w14:ligatures w14:val="none"/>
        </w:rPr>
        <w:t xml:space="preserve"> resolved to engage EY to issue a final report (DoP Validation), addressing errors </w:t>
      </w:r>
      <w:r w:rsidR="00345D03">
        <w:rPr>
          <w:rFonts w:ascii="Times New Roman" w:hAnsi="Times New Roman" w:cs="Times New Roman"/>
          <w:kern w:val="0"/>
          <w14:ligatures w14:val="none"/>
        </w:rPr>
        <w:t xml:space="preserve">and/or inaccuracies that existed, and to finalise their 2016 report. </w:t>
      </w:r>
      <w:r w:rsidR="00641848">
        <w:rPr>
          <w:rFonts w:ascii="Times New Roman" w:hAnsi="Times New Roman" w:cs="Times New Roman"/>
          <w:kern w:val="0"/>
          <w14:ligatures w14:val="none"/>
        </w:rPr>
        <w:t xml:space="preserve">The MOU </w:t>
      </w:r>
      <w:r w:rsidR="00345D03">
        <w:rPr>
          <w:rFonts w:ascii="Times New Roman" w:hAnsi="Times New Roman" w:cs="Times New Roman"/>
          <w:kern w:val="0"/>
          <w14:ligatures w14:val="none"/>
        </w:rPr>
        <w:t xml:space="preserve">also recorded an agreement to appoint a consultant to carry out a DoP review exercise to determine a fair, just and equitable </w:t>
      </w:r>
      <w:r w:rsidR="00E75FDA">
        <w:rPr>
          <w:rFonts w:ascii="Times New Roman" w:hAnsi="Times New Roman" w:cs="Times New Roman"/>
          <w:kern w:val="0"/>
          <w14:ligatures w14:val="none"/>
        </w:rPr>
        <w:t xml:space="preserve">pricing formula for sharing proceeds between farmers and millers. It outlined the period </w:t>
      </w:r>
      <w:r w:rsidR="00641848">
        <w:rPr>
          <w:rFonts w:ascii="Times New Roman" w:hAnsi="Times New Roman" w:cs="Times New Roman"/>
          <w:kern w:val="0"/>
          <w14:ligatures w14:val="none"/>
        </w:rPr>
        <w:t xml:space="preserve">within </w:t>
      </w:r>
      <w:r w:rsidR="00E75FDA">
        <w:rPr>
          <w:rFonts w:ascii="Times New Roman" w:hAnsi="Times New Roman" w:cs="Times New Roman"/>
          <w:kern w:val="0"/>
          <w14:ligatures w14:val="none"/>
        </w:rPr>
        <w:t xml:space="preserve">which any adjustments made would be applied, how the costs for the </w:t>
      </w:r>
      <w:r w:rsidR="00E75FDA">
        <w:rPr>
          <w:rFonts w:ascii="Times New Roman" w:hAnsi="Times New Roman" w:cs="Times New Roman"/>
          <w:kern w:val="0"/>
          <w14:ligatures w14:val="none"/>
        </w:rPr>
        <w:lastRenderedPageBreak/>
        <w:t xml:space="preserve">exercise would be met and that the findings </w:t>
      </w:r>
      <w:r w:rsidR="00641848">
        <w:rPr>
          <w:rFonts w:ascii="Times New Roman" w:hAnsi="Times New Roman" w:cs="Times New Roman"/>
          <w:kern w:val="0"/>
          <w14:ligatures w14:val="none"/>
        </w:rPr>
        <w:t xml:space="preserve">of </w:t>
      </w:r>
      <w:r w:rsidR="00E75FDA">
        <w:rPr>
          <w:rFonts w:ascii="Times New Roman" w:hAnsi="Times New Roman" w:cs="Times New Roman"/>
          <w:kern w:val="0"/>
          <w14:ligatures w14:val="none"/>
        </w:rPr>
        <w:t xml:space="preserve">the 2016 DoP final validation report would be final and binding between the parties. </w:t>
      </w:r>
    </w:p>
    <w:p w14:paraId="07429023" w14:textId="73595E9C" w:rsidR="00E75FDA" w:rsidRDefault="00E75FDA"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applicants prepared and submitted t</w:t>
      </w:r>
      <w:r w:rsidR="001D287D">
        <w:rPr>
          <w:rFonts w:ascii="Times New Roman" w:hAnsi="Times New Roman" w:cs="Times New Roman"/>
          <w:kern w:val="0"/>
          <w14:ligatures w14:val="none"/>
        </w:rPr>
        <w:t xml:space="preserve">heir submissions to EY in October 2023, in relation to the validation exercise. The submissions incorporated by reference the earlier submissions on the millers’ reservations with the 2016 EY DoP report in their earlier letter of 10 August 2016. In December 2023, EY declined the mandate to undertake a validation of their 2016 DoP determination. They insisted that their report was final.  </w:t>
      </w:r>
    </w:p>
    <w:p w14:paraId="1E944B78" w14:textId="070E80FA" w:rsidR="0051480B" w:rsidRDefault="0051480B"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According to the applicants</w:t>
      </w:r>
      <w:r w:rsidR="00641848">
        <w:rPr>
          <w:rFonts w:ascii="Times New Roman" w:hAnsi="Times New Roman" w:cs="Times New Roman"/>
          <w:kern w:val="0"/>
          <w14:ligatures w14:val="none"/>
        </w:rPr>
        <w:t>,</w:t>
      </w:r>
      <w:r>
        <w:rPr>
          <w:rFonts w:ascii="Times New Roman" w:hAnsi="Times New Roman" w:cs="Times New Roman"/>
          <w:kern w:val="0"/>
          <w14:ligatures w14:val="none"/>
        </w:rPr>
        <w:t xml:space="preserve"> the first respondent at the insistence of the farmers, appointed the second respondent in March 2024 to carry out the validation exercise which EY had declined to do. Unlike with the engagement of EY, no new MOU was recorded independent of the MOU agreed by the parties in respect of the EY engagement. There was disagreement over the suggestion by the millers that a new MOU be signed by the parties. The second respondent was appointed in terms of an agreement that they entered with the first respondent. </w:t>
      </w:r>
    </w:p>
    <w:p w14:paraId="306BF351" w14:textId="3589DA38" w:rsidR="0051480B" w:rsidRDefault="0051480B"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second respondent held meetings with the parties wherein the scope of the assignment was explained by the parties. </w:t>
      </w:r>
      <w:r w:rsidR="003A2706">
        <w:rPr>
          <w:rFonts w:ascii="Times New Roman" w:hAnsi="Times New Roman" w:cs="Times New Roman"/>
          <w:kern w:val="0"/>
          <w14:ligatures w14:val="none"/>
        </w:rPr>
        <w:t>T</w:t>
      </w:r>
      <w:r>
        <w:rPr>
          <w:rFonts w:ascii="Times New Roman" w:hAnsi="Times New Roman" w:cs="Times New Roman"/>
          <w:kern w:val="0"/>
          <w14:ligatures w14:val="none"/>
        </w:rPr>
        <w:t>hereafter it met with the farmers and millers separately. In the meeting with the millers on 17 June 2024, no meaningful submissions were made on material issue</w:t>
      </w:r>
      <w:r w:rsidR="003A2706">
        <w:rPr>
          <w:rFonts w:ascii="Times New Roman" w:hAnsi="Times New Roman" w:cs="Times New Roman"/>
          <w:kern w:val="0"/>
          <w14:ligatures w14:val="none"/>
        </w:rPr>
        <w:t>s</w:t>
      </w:r>
      <w:r>
        <w:rPr>
          <w:rFonts w:ascii="Times New Roman" w:hAnsi="Times New Roman" w:cs="Times New Roman"/>
          <w:kern w:val="0"/>
          <w14:ligatures w14:val="none"/>
        </w:rPr>
        <w:t xml:space="preserve"> bearing on the inquiry, save for the second respondent seeking clarity on how the industry operated. The first respondent sent an email containing what were said to be submissions by the farmers and millers respectively. The applicants averred that what was enclosed as the farmers’ submissions was a recent draft dated 27 March 2024</w:t>
      </w:r>
      <w:r w:rsidR="00552482">
        <w:rPr>
          <w:rFonts w:ascii="Times New Roman" w:hAnsi="Times New Roman" w:cs="Times New Roman"/>
          <w:kern w:val="0"/>
          <w14:ligatures w14:val="none"/>
        </w:rPr>
        <w:t xml:space="preserve">, while the millers were restricted to what they had submitted to EY in October 2023. </w:t>
      </w:r>
    </w:p>
    <w:p w14:paraId="2A048584" w14:textId="3E3D7D66" w:rsidR="00552482" w:rsidRPr="00C74C8F" w:rsidRDefault="00552482"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Pr="00C74C8F">
        <w:rPr>
          <w:rFonts w:ascii="Times New Roman" w:hAnsi="Times New Roman" w:cs="Times New Roman"/>
          <w:kern w:val="0"/>
          <w14:ligatures w14:val="none"/>
        </w:rPr>
        <w:t>According to the applicants, the millers wanted to update the</w:t>
      </w:r>
      <w:r w:rsidR="003A2706" w:rsidRPr="00C74C8F">
        <w:rPr>
          <w:rFonts w:ascii="Times New Roman" w:hAnsi="Times New Roman" w:cs="Times New Roman"/>
          <w:kern w:val="0"/>
          <w14:ligatures w14:val="none"/>
        </w:rPr>
        <w:t>ir</w:t>
      </w:r>
      <w:r w:rsidRPr="00C74C8F">
        <w:rPr>
          <w:rFonts w:ascii="Times New Roman" w:hAnsi="Times New Roman" w:cs="Times New Roman"/>
          <w:kern w:val="0"/>
          <w14:ligatures w14:val="none"/>
        </w:rPr>
        <w:t xml:space="preserve"> submissions for the DoP validation process if a new consultant would be engaged as the earlier submissions were for EY who had prior experience of the exercise, but the</w:t>
      </w:r>
      <w:r w:rsidR="003A2706" w:rsidRPr="00C74C8F">
        <w:rPr>
          <w:rFonts w:ascii="Times New Roman" w:hAnsi="Times New Roman" w:cs="Times New Roman"/>
          <w:kern w:val="0"/>
          <w14:ligatures w14:val="none"/>
        </w:rPr>
        <w:t xml:space="preserve">ir </w:t>
      </w:r>
      <w:r w:rsidRPr="00C74C8F">
        <w:rPr>
          <w:rFonts w:ascii="Times New Roman" w:hAnsi="Times New Roman" w:cs="Times New Roman"/>
          <w:kern w:val="0"/>
          <w14:ligatures w14:val="none"/>
        </w:rPr>
        <w:t xml:space="preserve">request was refused. The farmers recent submissions of 27 March 2024 which they were allowed to tender was far detailed and tailored to what the second respondent wanted addressed than that which the millers were restricted to which had been prepared for a different consultant under different circumstances. </w:t>
      </w:r>
    </w:p>
    <w:p w14:paraId="3217E9CA" w14:textId="2C701BBD" w:rsidR="00552482" w:rsidRPr="00C74C8F" w:rsidRDefault="00552482"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C74C8F">
        <w:rPr>
          <w:rFonts w:ascii="Times New Roman" w:hAnsi="Times New Roman" w:cs="Times New Roman"/>
          <w:kern w:val="0"/>
          <w14:ligatures w14:val="none"/>
        </w:rPr>
        <w:t xml:space="preserve"> The second respondent produced its report which was addressed to the first respondent and dated 31 July 2024. The applicants claimed that they heard about the outcome of the validation </w:t>
      </w:r>
      <w:r>
        <w:rPr>
          <w:rFonts w:ascii="Times New Roman" w:hAnsi="Times New Roman" w:cs="Times New Roman"/>
          <w:kern w:val="0"/>
          <w14:ligatures w14:val="none"/>
        </w:rPr>
        <w:t xml:space="preserve">report from the media before it was communicated to them by the first respondent. The </w:t>
      </w:r>
      <w:r w:rsidRPr="00C74C8F">
        <w:rPr>
          <w:rFonts w:ascii="Times New Roman" w:hAnsi="Times New Roman" w:cs="Times New Roman"/>
          <w:kern w:val="0"/>
          <w14:ligatures w14:val="none"/>
        </w:rPr>
        <w:t xml:space="preserve">applicants wrote to the first respondent </w:t>
      </w:r>
      <w:r w:rsidR="003A2706" w:rsidRPr="00C74C8F">
        <w:rPr>
          <w:rFonts w:ascii="Times New Roman" w:hAnsi="Times New Roman" w:cs="Times New Roman"/>
          <w:kern w:val="0"/>
          <w14:ligatures w14:val="none"/>
        </w:rPr>
        <w:t xml:space="preserve">complaining </w:t>
      </w:r>
      <w:r w:rsidRPr="00C74C8F">
        <w:rPr>
          <w:rFonts w:ascii="Times New Roman" w:hAnsi="Times New Roman" w:cs="Times New Roman"/>
          <w:kern w:val="0"/>
          <w14:ligatures w14:val="none"/>
        </w:rPr>
        <w:t>about the issue, but the</w:t>
      </w:r>
      <w:r w:rsidR="003A2706" w:rsidRPr="00C74C8F">
        <w:rPr>
          <w:rFonts w:ascii="Times New Roman" w:hAnsi="Times New Roman" w:cs="Times New Roman"/>
          <w:kern w:val="0"/>
          <w14:ligatures w14:val="none"/>
        </w:rPr>
        <w:t>y received no response.</w:t>
      </w:r>
      <w:r w:rsidRPr="00C74C8F">
        <w:rPr>
          <w:rFonts w:ascii="Times New Roman" w:hAnsi="Times New Roman" w:cs="Times New Roman"/>
          <w:kern w:val="0"/>
          <w14:ligatures w14:val="none"/>
        </w:rPr>
        <w:t xml:space="preserve"> They were summoned to a meeting with the first respondent on 7 October 2024, at </w:t>
      </w:r>
      <w:r w:rsidRPr="00C74C8F">
        <w:rPr>
          <w:rFonts w:ascii="Times New Roman" w:hAnsi="Times New Roman" w:cs="Times New Roman"/>
          <w:kern w:val="0"/>
          <w14:ligatures w14:val="none"/>
        </w:rPr>
        <w:lastRenderedPageBreak/>
        <w:t xml:space="preserve">which the minister announced the outcome of the report and thereafter </w:t>
      </w:r>
      <w:r w:rsidR="000B00B3" w:rsidRPr="00C74C8F">
        <w:rPr>
          <w:rFonts w:ascii="Times New Roman" w:hAnsi="Times New Roman" w:cs="Times New Roman"/>
          <w:kern w:val="0"/>
          <w14:ligatures w14:val="none"/>
        </w:rPr>
        <w:t>confirmed it in his letter of 8 October 2014</w:t>
      </w:r>
      <w:r w:rsidR="003A2706" w:rsidRPr="00C74C8F">
        <w:rPr>
          <w:rFonts w:ascii="Times New Roman" w:hAnsi="Times New Roman" w:cs="Times New Roman"/>
          <w:kern w:val="0"/>
          <w14:ligatures w14:val="none"/>
        </w:rPr>
        <w:t xml:space="preserve">, in which he directed </w:t>
      </w:r>
      <w:r w:rsidR="000B00B3" w:rsidRPr="00C74C8F">
        <w:rPr>
          <w:rFonts w:ascii="Times New Roman" w:hAnsi="Times New Roman" w:cs="Times New Roman"/>
          <w:kern w:val="0"/>
          <w14:ligatures w14:val="none"/>
        </w:rPr>
        <w:t xml:space="preserve">the implementation of the DoP which </w:t>
      </w:r>
      <w:r w:rsidR="003A2706" w:rsidRPr="00C74C8F">
        <w:rPr>
          <w:rFonts w:ascii="Times New Roman" w:hAnsi="Times New Roman" w:cs="Times New Roman"/>
          <w:kern w:val="0"/>
          <w14:ligatures w14:val="none"/>
        </w:rPr>
        <w:t xml:space="preserve">was </w:t>
      </w:r>
      <w:r w:rsidR="000B00B3" w:rsidRPr="00C74C8F">
        <w:rPr>
          <w:rFonts w:ascii="Times New Roman" w:hAnsi="Times New Roman" w:cs="Times New Roman"/>
          <w:kern w:val="0"/>
          <w14:ligatures w14:val="none"/>
        </w:rPr>
        <w:t xml:space="preserve">reviewed upwards to 80.5%:19.5% in favour of the farmers. </w:t>
      </w:r>
    </w:p>
    <w:p w14:paraId="7DD2A13E" w14:textId="4C786D0F" w:rsidR="000B00B3" w:rsidRDefault="000B00B3"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C74C8F">
        <w:rPr>
          <w:rFonts w:ascii="Times New Roman" w:hAnsi="Times New Roman" w:cs="Times New Roman"/>
          <w:kern w:val="0"/>
          <w14:ligatures w14:val="none"/>
        </w:rPr>
        <w:t xml:space="preserve"> The applicants contended that the purported </w:t>
      </w:r>
      <w:r>
        <w:rPr>
          <w:rFonts w:ascii="Times New Roman" w:hAnsi="Times New Roman" w:cs="Times New Roman"/>
          <w:kern w:val="0"/>
          <w14:ligatures w14:val="none"/>
        </w:rPr>
        <w:t>validation was fundamentally flawed and grossly irregular for the following reasons:</w:t>
      </w:r>
    </w:p>
    <w:p w14:paraId="762D9193" w14:textId="7B211069" w:rsidR="000B00B3" w:rsidRDefault="000B00B3"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They were not given an opportunity to make submissions to the second respondent and were limited to their past draft submitted to EY, while the farmers were allowed to submit fresh detailed and tailored written submissions prepared only after the second respondent had been appointed, but after its preliminary meeting with the parties on 25 March 2024. One party had the advantage of being heard at the expense of another, and the parties were not treated equally.</w:t>
      </w:r>
    </w:p>
    <w:p w14:paraId="427D214C" w14:textId="0F48A386" w:rsidR="000B00B3" w:rsidRDefault="000B00B3"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By its own admission in </w:t>
      </w:r>
      <w:r w:rsidR="00741AB4">
        <w:rPr>
          <w:rFonts w:ascii="Times New Roman" w:hAnsi="Times New Roman" w:cs="Times New Roman"/>
          <w:kern w:val="0"/>
          <w14:ligatures w14:val="none"/>
        </w:rPr>
        <w:t>its</w:t>
      </w:r>
      <w:r>
        <w:rPr>
          <w:rFonts w:ascii="Times New Roman" w:hAnsi="Times New Roman" w:cs="Times New Roman"/>
          <w:kern w:val="0"/>
          <w14:ligatures w14:val="none"/>
        </w:rPr>
        <w:t xml:space="preserve"> report, </w:t>
      </w:r>
      <w:r w:rsidR="00741AB4">
        <w:rPr>
          <w:rFonts w:ascii="Times New Roman" w:hAnsi="Times New Roman" w:cs="Times New Roman"/>
          <w:kern w:val="0"/>
          <w14:ligatures w14:val="none"/>
        </w:rPr>
        <w:t xml:space="preserve">the second respondent conceded that it did not have the benefit of access to and reviewing the 2016 EY DoP report which it purported to validate. The question that arose was what the second respondent considered if they did not go through the document that they purported to impugn and review. </w:t>
      </w:r>
    </w:p>
    <w:p w14:paraId="0FA6033E" w14:textId="7CA0DC47" w:rsidR="00741AB4" w:rsidRDefault="00741AB4"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Assumptions and methodology were not specified by the consultant as the report was too abridged and one wondered how they came up with their conclusions</w:t>
      </w:r>
      <w:r w:rsidR="00674AE5">
        <w:rPr>
          <w:rFonts w:ascii="Times New Roman" w:hAnsi="Times New Roman" w:cs="Times New Roman"/>
          <w:kern w:val="0"/>
          <w14:ligatures w14:val="none"/>
        </w:rPr>
        <w:t xml:space="preserve">. The absence of detailed reasons for departing from the 2016 EY report that they purported to validate meant that the second respondent’s report </w:t>
      </w:r>
      <w:r w:rsidR="003D69F4">
        <w:rPr>
          <w:rFonts w:ascii="Times New Roman" w:hAnsi="Times New Roman" w:cs="Times New Roman"/>
          <w:kern w:val="0"/>
          <w14:ligatures w14:val="none"/>
        </w:rPr>
        <w:t>wa</w:t>
      </w:r>
      <w:r w:rsidR="00674AE5">
        <w:rPr>
          <w:rFonts w:ascii="Times New Roman" w:hAnsi="Times New Roman" w:cs="Times New Roman"/>
          <w:kern w:val="0"/>
          <w14:ligatures w14:val="none"/>
        </w:rPr>
        <w:t xml:space="preserve">s liable to interference for breach of the duty to give reasons for administrative action taken. </w:t>
      </w:r>
    </w:p>
    <w:p w14:paraId="1250ECB8" w14:textId="3118D1E7" w:rsidR="00674AE5" w:rsidRDefault="00674AE5"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It was not explained how the second respondent claimed to have obtained key information of components to the DoP when they did not undertake an independent enquiry and personal verification of information. This was significant because one of the concerns in the EY report highlighted in the submissions by the millers was that farmers costs were not substantiated. There was no evidence in the </w:t>
      </w:r>
      <w:r w:rsidR="003D69F4">
        <w:rPr>
          <w:rFonts w:ascii="Times New Roman" w:hAnsi="Times New Roman" w:cs="Times New Roman"/>
          <w:kern w:val="0"/>
          <w14:ligatures w14:val="none"/>
        </w:rPr>
        <w:t>consultant’s</w:t>
      </w:r>
      <w:r>
        <w:rPr>
          <w:rFonts w:ascii="Times New Roman" w:hAnsi="Times New Roman" w:cs="Times New Roman"/>
          <w:kern w:val="0"/>
          <w14:ligatures w14:val="none"/>
        </w:rPr>
        <w:t xml:space="preserve"> report of the review of costs by farmers and millers which was a key input to the DoP determination. </w:t>
      </w:r>
      <w:r w:rsidR="008B0767">
        <w:rPr>
          <w:rFonts w:ascii="Times New Roman" w:hAnsi="Times New Roman" w:cs="Times New Roman"/>
          <w:kern w:val="0"/>
          <w14:ligatures w14:val="none"/>
        </w:rPr>
        <w:t xml:space="preserve">This meant that the second respondent asked itself wrong questions and arrived at the wrong conclusion. </w:t>
      </w:r>
    </w:p>
    <w:p w14:paraId="12B1298A" w14:textId="749E7B6F" w:rsidR="00417693" w:rsidRDefault="00417693"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There was no comment or consideration given by the second respondent in their report on the issues raised in the October 2023 submissions by millers. This was significant because the terms of reference given by the first respondent required them </w:t>
      </w:r>
      <w:r>
        <w:rPr>
          <w:rFonts w:ascii="Times New Roman" w:hAnsi="Times New Roman" w:cs="Times New Roman"/>
          <w:kern w:val="0"/>
          <w14:ligatures w14:val="none"/>
        </w:rPr>
        <w:lastRenderedPageBreak/>
        <w:t xml:space="preserve">to take into account the alleged errors or omissions raised by the farmers and millers in coming up with their validation report. </w:t>
      </w:r>
    </w:p>
    <w:p w14:paraId="5FFE820F" w14:textId="7AACB30A" w:rsidR="00417693" w:rsidRDefault="00417693"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The second respondent cherry picked on items to adjust without giving reasons at all on why they focused on those issues alone. They made assumptions that were irrational and unsupported. One such assumption pertained to the adjustment of the sugar production capacity to the 640,000 tonnes which was said to be the total installed capacity, thereby conflating the installed capacity with the production capacity. </w:t>
      </w:r>
    </w:p>
    <w:p w14:paraId="581CB4B6" w14:textId="4A295E98" w:rsidR="00EC0872" w:rsidRDefault="00EC0872"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By extension of reasoning, if the second respondent was using the capacity </w:t>
      </w:r>
      <w:r w:rsidR="003D69F4">
        <w:rPr>
          <w:rFonts w:ascii="Times New Roman" w:hAnsi="Times New Roman" w:cs="Times New Roman"/>
          <w:kern w:val="0"/>
          <w14:ligatures w14:val="none"/>
        </w:rPr>
        <w:t>concept,</w:t>
      </w:r>
      <w:r>
        <w:rPr>
          <w:rFonts w:ascii="Times New Roman" w:hAnsi="Times New Roman" w:cs="Times New Roman"/>
          <w:kern w:val="0"/>
          <w14:ligatures w14:val="none"/>
        </w:rPr>
        <w:t xml:space="preserve"> they similarly should have made adjustment to farmers’ production as well as to capacity of 5.2 million cane crushed over the average area under cane of 45 000 hectares. It should also follow that every farmer should have a yield of 115.5 tonnes cane per hectare to enable the millers to perform at that capacity. If the same concept was applied, then the growers’ costs per tonne should have also been adjusted accordingly to ensure fair play. It was not clear why only the milling capacity was adjusted but not the growers’ capacity.</w:t>
      </w:r>
    </w:p>
    <w:p w14:paraId="6D8F8EAB" w14:textId="79F3A025" w:rsidR="00EC0872" w:rsidRDefault="005047EE"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It was not clear where the second respondent g</w:t>
      </w:r>
      <w:r w:rsidR="003D69F4">
        <w:rPr>
          <w:rFonts w:ascii="Times New Roman" w:hAnsi="Times New Roman" w:cs="Times New Roman"/>
          <w:kern w:val="0"/>
          <w14:ligatures w14:val="none"/>
        </w:rPr>
        <w:t>o</w:t>
      </w:r>
      <w:r>
        <w:rPr>
          <w:rFonts w:ascii="Times New Roman" w:hAnsi="Times New Roman" w:cs="Times New Roman"/>
          <w:kern w:val="0"/>
          <w14:ligatures w14:val="none"/>
        </w:rPr>
        <w:t xml:space="preserve">t the 640,000 tonnes especially when none of the parties </w:t>
      </w:r>
      <w:r w:rsidR="001E6739">
        <w:rPr>
          <w:rFonts w:ascii="Times New Roman" w:hAnsi="Times New Roman" w:cs="Times New Roman"/>
          <w:kern w:val="0"/>
          <w14:ligatures w14:val="none"/>
        </w:rPr>
        <w:t>referred</w:t>
      </w:r>
      <w:r>
        <w:rPr>
          <w:rFonts w:ascii="Times New Roman" w:hAnsi="Times New Roman" w:cs="Times New Roman"/>
          <w:kern w:val="0"/>
          <w14:ligatures w14:val="none"/>
        </w:rPr>
        <w:t xml:space="preserve"> to it, neither the farmers nor the millers. </w:t>
      </w:r>
    </w:p>
    <w:p w14:paraId="7926A2F5" w14:textId="447E187F" w:rsidR="005047EE" w:rsidRDefault="005047EE"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The whole determination got tilted into an efficient miller without an efficient farmer to supply the </w:t>
      </w:r>
      <w:r w:rsidR="00757AB1">
        <w:rPr>
          <w:rFonts w:ascii="Times New Roman" w:hAnsi="Times New Roman" w:cs="Times New Roman"/>
          <w:kern w:val="0"/>
          <w14:ligatures w14:val="none"/>
        </w:rPr>
        <w:t xml:space="preserve">same level of cane. One would have expected them to apply the same concepts in arriving at their conclusion. </w:t>
      </w:r>
    </w:p>
    <w:p w14:paraId="7576198E" w14:textId="4F34FD6E" w:rsidR="00757AB1" w:rsidRPr="00E4684D" w:rsidRDefault="00757AB1"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With a DoP that </w:t>
      </w:r>
      <w:r w:rsidR="003D69F4">
        <w:rPr>
          <w:rFonts w:ascii="Times New Roman" w:hAnsi="Times New Roman" w:cs="Times New Roman"/>
          <w:kern w:val="0"/>
          <w14:ligatures w14:val="none"/>
        </w:rPr>
        <w:t>was</w:t>
      </w:r>
      <w:r>
        <w:rPr>
          <w:rFonts w:ascii="Times New Roman" w:hAnsi="Times New Roman" w:cs="Times New Roman"/>
          <w:kern w:val="0"/>
          <w14:ligatures w14:val="none"/>
        </w:rPr>
        <w:t xml:space="preserve"> going to be the highest in the world, and with such material impact with the potential to shut down mills, if the second respondent would have done a benchmarking exercise, it was remiss that the first and second respondents would come to such a conclusion without </w:t>
      </w:r>
      <w:r w:rsidRPr="00E4684D">
        <w:rPr>
          <w:rFonts w:ascii="Times New Roman" w:hAnsi="Times New Roman" w:cs="Times New Roman"/>
          <w:kern w:val="0"/>
          <w14:ligatures w14:val="none"/>
        </w:rPr>
        <w:t xml:space="preserve">detailed and convincing assumptions and re-computations. </w:t>
      </w:r>
    </w:p>
    <w:p w14:paraId="37CF8673" w14:textId="503D06DE" w:rsidR="00757AB1" w:rsidRPr="00E4684D" w:rsidRDefault="008C2557"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sidRPr="00E4684D">
        <w:rPr>
          <w:rFonts w:ascii="Times New Roman" w:hAnsi="Times New Roman" w:cs="Times New Roman"/>
          <w:kern w:val="0"/>
          <w14:ligatures w14:val="none"/>
        </w:rPr>
        <w:t>The second respondent’s report did not state whether the 19.5% allocated to the miller was exclusive of VAT, meaning that the effective distribution was even more inimical to the applicants as after VAT the miller’s share of the DoP was drastically reduced to 16.96% against the farmers 83.04%, much lower than the 19.5% the second respondent presupposed.</w:t>
      </w:r>
    </w:p>
    <w:p w14:paraId="5E805CFB" w14:textId="444ED0A4" w:rsidR="008C2557" w:rsidRPr="00860B2B" w:rsidRDefault="008C2557" w:rsidP="000B00B3">
      <w:pPr>
        <w:pStyle w:val="ListParagraph"/>
        <w:numPr>
          <w:ilvl w:val="0"/>
          <w:numId w:val="5"/>
        </w:numPr>
        <w:tabs>
          <w:tab w:val="left" w:pos="426"/>
        </w:tabs>
        <w:spacing w:after="0"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The applicants were also at a loss as to </w:t>
      </w:r>
      <w:r w:rsidRPr="00860B2B">
        <w:rPr>
          <w:rFonts w:ascii="Times New Roman" w:hAnsi="Times New Roman" w:cs="Times New Roman"/>
          <w:kern w:val="0"/>
          <w14:ligatures w14:val="none"/>
        </w:rPr>
        <w:t xml:space="preserve">why the first respondent ignored the recommendation by the second respondent that more work, that is time and </w:t>
      </w:r>
      <w:r w:rsidRPr="00860B2B">
        <w:rPr>
          <w:rFonts w:ascii="Times New Roman" w:hAnsi="Times New Roman" w:cs="Times New Roman"/>
          <w:kern w:val="0"/>
          <w14:ligatures w14:val="none"/>
        </w:rPr>
        <w:lastRenderedPageBreak/>
        <w:t>resources</w:t>
      </w:r>
      <w:r w:rsidR="00823970" w:rsidRPr="00860B2B">
        <w:rPr>
          <w:rFonts w:ascii="Times New Roman" w:hAnsi="Times New Roman" w:cs="Times New Roman"/>
          <w:kern w:val="0"/>
          <w14:ligatures w14:val="none"/>
        </w:rPr>
        <w:t>, be availed to comprehensively develop a D</w:t>
      </w:r>
      <w:r w:rsidR="009847E0">
        <w:rPr>
          <w:rFonts w:ascii="Times New Roman" w:hAnsi="Times New Roman" w:cs="Times New Roman"/>
          <w:kern w:val="0"/>
          <w14:ligatures w14:val="none"/>
        </w:rPr>
        <w:t>o</w:t>
      </w:r>
      <w:r w:rsidR="00823970" w:rsidRPr="00860B2B">
        <w:rPr>
          <w:rFonts w:ascii="Times New Roman" w:hAnsi="Times New Roman" w:cs="Times New Roman"/>
          <w:kern w:val="0"/>
          <w14:ligatures w14:val="none"/>
        </w:rPr>
        <w:t xml:space="preserve">P model that </w:t>
      </w:r>
      <w:r w:rsidR="009847E0">
        <w:rPr>
          <w:rFonts w:ascii="Times New Roman" w:hAnsi="Times New Roman" w:cs="Times New Roman"/>
          <w:kern w:val="0"/>
          <w14:ligatures w14:val="none"/>
        </w:rPr>
        <w:t>wa</w:t>
      </w:r>
      <w:r w:rsidR="00823970" w:rsidRPr="00860B2B">
        <w:rPr>
          <w:rFonts w:ascii="Times New Roman" w:hAnsi="Times New Roman" w:cs="Times New Roman"/>
          <w:kern w:val="0"/>
          <w14:ligatures w14:val="none"/>
        </w:rPr>
        <w:t xml:space="preserve">s representative of industry dynamics and the efficiency hypothesis. The first respondent had already ordered the implementation of the new DoP when the expert itself qualified its opinion for lack of full information and recommended a fresh DoP review. </w:t>
      </w:r>
    </w:p>
    <w:p w14:paraId="5BC54A56" w14:textId="56D938EE" w:rsidR="000250D7" w:rsidRPr="00860B2B" w:rsidRDefault="00E75FDA"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w:t>
      </w:r>
      <w:r w:rsidR="00DC3E47" w:rsidRPr="00860B2B">
        <w:rPr>
          <w:rFonts w:ascii="Times New Roman" w:hAnsi="Times New Roman" w:cs="Times New Roman"/>
          <w:kern w:val="0"/>
          <w14:ligatures w14:val="none"/>
        </w:rPr>
        <w:t xml:space="preserve">The applicants averred that the first respondent’s directive borne out of a fundamentally flawed report by the second respondent with cocktail of errors could not be reasonable, just and fair as was required of the first respondent as an administrative authority to act reasonable and in a fair manner, and to give sufficient reasons for his actions. It was further averred that matters concerning DoP that fell outside the purview of the powers of the first respondent should be resolved by agreement of the parties and not assumed directives by an administrative authority which were </w:t>
      </w:r>
      <w:r w:rsidR="00DC3E47" w:rsidRPr="00860B2B">
        <w:rPr>
          <w:rFonts w:ascii="Times New Roman" w:hAnsi="Times New Roman" w:cs="Times New Roman"/>
          <w:i/>
          <w:iCs/>
          <w:kern w:val="0"/>
          <w14:ligatures w14:val="none"/>
        </w:rPr>
        <w:t>ultra vires</w:t>
      </w:r>
      <w:r w:rsidR="00DC3E47" w:rsidRPr="00860B2B">
        <w:rPr>
          <w:rFonts w:ascii="Times New Roman" w:hAnsi="Times New Roman" w:cs="Times New Roman"/>
          <w:kern w:val="0"/>
          <w14:ligatures w14:val="none"/>
        </w:rPr>
        <w:t xml:space="preserve">. </w:t>
      </w:r>
      <w:r w:rsidR="001A5178" w:rsidRPr="00860B2B">
        <w:rPr>
          <w:rFonts w:ascii="Times New Roman" w:hAnsi="Times New Roman" w:cs="Times New Roman"/>
          <w:kern w:val="0"/>
          <w14:ligatures w14:val="none"/>
        </w:rPr>
        <w:t xml:space="preserve">The first respondent’s directive, to the extent that it commanded implementation of the second respondent’s validated DoP was unlawful. </w:t>
      </w:r>
    </w:p>
    <w:p w14:paraId="095463B2" w14:textId="63BF1DFE" w:rsidR="000250D7" w:rsidRPr="00860B2B" w:rsidRDefault="000250D7" w:rsidP="000250D7">
      <w:pPr>
        <w:pStyle w:val="ListParagraph"/>
        <w:tabs>
          <w:tab w:val="left" w:pos="426"/>
        </w:tabs>
        <w:spacing w:after="0" w:line="360" w:lineRule="auto"/>
        <w:ind w:left="0"/>
        <w:jc w:val="both"/>
        <w:rPr>
          <w:rFonts w:ascii="Times New Roman" w:hAnsi="Times New Roman" w:cs="Times New Roman"/>
          <w:b/>
          <w:bCs/>
          <w:kern w:val="0"/>
          <w:u w:val="single"/>
          <w14:ligatures w14:val="none"/>
        </w:rPr>
      </w:pPr>
      <w:r w:rsidRPr="00860B2B">
        <w:rPr>
          <w:rFonts w:ascii="Times New Roman" w:hAnsi="Times New Roman" w:cs="Times New Roman"/>
          <w:b/>
          <w:bCs/>
          <w:kern w:val="0"/>
          <w:u w:val="single"/>
          <w14:ligatures w14:val="none"/>
        </w:rPr>
        <w:t xml:space="preserve">First Respondent’s Case </w:t>
      </w:r>
    </w:p>
    <w:p w14:paraId="5D97A6FE" w14:textId="00654168" w:rsidR="000250D7" w:rsidRDefault="000250D7"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first respondent’s case was as follows. He is mandated to administer the Sugar Production Control Act</w:t>
      </w:r>
      <w:r>
        <w:rPr>
          <w:rStyle w:val="FootnoteReference"/>
          <w:rFonts w:ascii="Times New Roman" w:hAnsi="Times New Roman" w:cs="Times New Roman"/>
          <w:kern w:val="0"/>
          <w14:ligatures w14:val="none"/>
        </w:rPr>
        <w:footnoteReference w:id="1"/>
      </w:r>
      <w:r w:rsidR="006C5078">
        <w:rPr>
          <w:rFonts w:ascii="Times New Roman" w:hAnsi="Times New Roman" w:cs="Times New Roman"/>
          <w:kern w:val="0"/>
          <w14:ligatures w14:val="none"/>
        </w:rPr>
        <w:t xml:space="preserve"> (the Act)</w:t>
      </w:r>
      <w:r>
        <w:rPr>
          <w:rFonts w:ascii="Times New Roman" w:hAnsi="Times New Roman" w:cs="Times New Roman"/>
          <w:kern w:val="0"/>
          <w14:ligatures w14:val="none"/>
        </w:rPr>
        <w:t xml:space="preserve">. That law provides for the control and regulation of sugar manufacturing, sugarcane delivery, and the setting of sugarcane prices amongst other related matters. The applicant and farmers have a longstanding dispute on various issues, and when they fail to reach consensus, they approach the first respondent for mediation. The parties failed to reach consensus on the milling agreement and other related </w:t>
      </w:r>
      <w:r w:rsidR="009847E0">
        <w:rPr>
          <w:rFonts w:ascii="Times New Roman" w:hAnsi="Times New Roman" w:cs="Times New Roman"/>
          <w:kern w:val="0"/>
          <w14:ligatures w14:val="none"/>
        </w:rPr>
        <w:t>issues,</w:t>
      </w:r>
      <w:r>
        <w:rPr>
          <w:rFonts w:ascii="Times New Roman" w:hAnsi="Times New Roman" w:cs="Times New Roman"/>
          <w:kern w:val="0"/>
          <w14:ligatures w14:val="none"/>
        </w:rPr>
        <w:t xml:space="preserve"> and a Technical Working Group was formed. The group was created with the objective of addressing all disagreements including the DoP issue. </w:t>
      </w:r>
    </w:p>
    <w:p w14:paraId="54CBE900" w14:textId="3A9023DD" w:rsidR="000250D7" w:rsidRDefault="000250D7"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Due to allegations of impartiality levelled against the office of the first respondent, it was recommended that the parties pursue the arbitration route. </w:t>
      </w:r>
      <w:r w:rsidRPr="00E4684D">
        <w:rPr>
          <w:rFonts w:ascii="Times New Roman" w:hAnsi="Times New Roman" w:cs="Times New Roman"/>
          <w:kern w:val="0"/>
          <w14:ligatures w14:val="none"/>
        </w:rPr>
        <w:t xml:space="preserve">The parties failed to agree on the terms of reference for arbitration </w:t>
      </w:r>
      <w:r w:rsidR="00B20D95" w:rsidRPr="00E4684D">
        <w:rPr>
          <w:rFonts w:ascii="Times New Roman" w:hAnsi="Times New Roman" w:cs="Times New Roman"/>
          <w:kern w:val="0"/>
          <w14:ligatures w14:val="none"/>
        </w:rPr>
        <w:t xml:space="preserve">resulting in significant delays. The DoP issue was subsequently excluded from the arbitration process as the parties could not agree on whether to validate or review the existing EY DoP. </w:t>
      </w:r>
      <w:r w:rsidR="006C5078" w:rsidRPr="00E4684D">
        <w:rPr>
          <w:rFonts w:ascii="Times New Roman" w:hAnsi="Times New Roman" w:cs="Times New Roman"/>
          <w:kern w:val="0"/>
          <w14:ligatures w14:val="none"/>
        </w:rPr>
        <w:t xml:space="preserve">The first respondent averred that the DoP validation exercise was done within the scope of his authority. Section 10 of the Act empowered him to set the price paid to farmers for delivered sugarcane. That law was </w:t>
      </w:r>
      <w:r w:rsidR="006C5078">
        <w:rPr>
          <w:rFonts w:ascii="Times New Roman" w:hAnsi="Times New Roman" w:cs="Times New Roman"/>
          <w:kern w:val="0"/>
          <w14:ligatures w14:val="none"/>
        </w:rPr>
        <w:t xml:space="preserve">enacted in </w:t>
      </w:r>
      <w:r w:rsidR="009847E0">
        <w:rPr>
          <w:rFonts w:ascii="Times New Roman" w:hAnsi="Times New Roman" w:cs="Times New Roman"/>
          <w:kern w:val="0"/>
          <w14:ligatures w14:val="none"/>
        </w:rPr>
        <w:t>1964,</w:t>
      </w:r>
      <w:r w:rsidR="006C5078">
        <w:rPr>
          <w:rFonts w:ascii="Times New Roman" w:hAnsi="Times New Roman" w:cs="Times New Roman"/>
          <w:kern w:val="0"/>
          <w14:ligatures w14:val="none"/>
        </w:rPr>
        <w:t xml:space="preserve"> and it mandated a price setting mechanism where millers purchased sugarcane from farmers at a price determined by the minister.</w:t>
      </w:r>
    </w:p>
    <w:p w14:paraId="79591D42" w14:textId="308A9811" w:rsidR="006C5078" w:rsidRDefault="006C507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 xml:space="preserve"> While the industry later adopted the DoP arrangement, the minister’s role in determining the DoP persisted for nearly two decades. This practice, which was acquiesced to by both farmers and millers, had evolved into custom, and while customary law was not formally codified, it was recognised as legitimate law. The minister’s determination of the DoP ratio had become a </w:t>
      </w:r>
      <w:r w:rsidR="001E6739">
        <w:rPr>
          <w:rFonts w:ascii="Times New Roman" w:hAnsi="Times New Roman" w:cs="Times New Roman"/>
          <w:kern w:val="0"/>
          <w14:ligatures w14:val="none"/>
        </w:rPr>
        <w:t>well-established</w:t>
      </w:r>
      <w:r>
        <w:rPr>
          <w:rFonts w:ascii="Times New Roman" w:hAnsi="Times New Roman" w:cs="Times New Roman"/>
          <w:kern w:val="0"/>
          <w14:ligatures w14:val="none"/>
        </w:rPr>
        <w:t xml:space="preserve"> practice accepted by both farmers and millers. It was therefore hypocritical for the applicants to now challenge the minister’s authority when both farmers and millers had always engaged the first respondent’s ministry for the determination of the DoP. This contradicted their assertion that the </w:t>
      </w:r>
      <w:r w:rsidR="007F205F">
        <w:rPr>
          <w:rFonts w:ascii="Times New Roman" w:hAnsi="Times New Roman" w:cs="Times New Roman"/>
          <w:kern w:val="0"/>
          <w14:ligatures w14:val="none"/>
        </w:rPr>
        <w:t>first respondent lacked authority to determine the DoP. The MOU signed by the parties, including a representative of the first respondent, acknowledged the minister’s role in determining the DoP and the binding nature of his decision.</w:t>
      </w:r>
    </w:p>
    <w:p w14:paraId="22979732" w14:textId="2B8FA98B" w:rsidR="000348CF" w:rsidRDefault="007F205F"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first respondent pointed to the contradiction arising from the </w:t>
      </w:r>
      <w:r w:rsidR="009847E0">
        <w:rPr>
          <w:rFonts w:ascii="Times New Roman" w:hAnsi="Times New Roman" w:cs="Times New Roman"/>
          <w:kern w:val="0"/>
          <w14:ligatures w14:val="none"/>
        </w:rPr>
        <w:t>applicants’</w:t>
      </w:r>
      <w:r>
        <w:rPr>
          <w:rFonts w:ascii="Times New Roman" w:hAnsi="Times New Roman" w:cs="Times New Roman"/>
          <w:kern w:val="0"/>
          <w14:ligatures w14:val="none"/>
        </w:rPr>
        <w:t xml:space="preserve"> position that while on one they advocated for the continued application of the 2016 DoP, a decision made by the former minister, they simultaneously challenged the first respondent’s authority to determine the DoP. Further, the review of the 2016 DoP that the applicants advocated would also be done by the same minister. </w:t>
      </w:r>
    </w:p>
    <w:p w14:paraId="08ECA7FF" w14:textId="0F51CDF5" w:rsidR="00A52836" w:rsidRPr="000348CF" w:rsidRDefault="004E5ACC"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0348CF">
        <w:rPr>
          <w:rFonts w:ascii="Times New Roman" w:hAnsi="Times New Roman" w:cs="Times New Roman"/>
          <w:kern w:val="0"/>
          <w14:ligatures w14:val="none"/>
        </w:rPr>
        <w:t xml:space="preserve">The first respondent denied that the 2016 DoP was imposed on the parties. </w:t>
      </w:r>
      <w:r w:rsidR="000348CF" w:rsidRPr="000348CF">
        <w:rPr>
          <w:rFonts w:ascii="Times New Roman" w:hAnsi="Times New Roman" w:cs="Times New Roman"/>
        </w:rPr>
        <w:t>He</w:t>
      </w:r>
      <w:r w:rsidRPr="000348CF">
        <w:rPr>
          <w:rFonts w:ascii="Times New Roman" w:hAnsi="Times New Roman" w:cs="Times New Roman"/>
          <w:kern w:val="0"/>
          <w14:ligatures w14:val="none"/>
        </w:rPr>
        <w:t xml:space="preserve"> argued that the then </w:t>
      </w:r>
      <w:r w:rsidR="009847E0">
        <w:rPr>
          <w:rFonts w:ascii="Times New Roman" w:hAnsi="Times New Roman" w:cs="Times New Roman"/>
        </w:rPr>
        <w:t>m</w:t>
      </w:r>
      <w:r w:rsidR="000348CF" w:rsidRPr="000348CF">
        <w:rPr>
          <w:rFonts w:ascii="Times New Roman" w:hAnsi="Times New Roman" w:cs="Times New Roman"/>
        </w:rPr>
        <w:t>inister, acting within</w:t>
      </w:r>
      <w:r w:rsidRPr="000348CF">
        <w:rPr>
          <w:rFonts w:ascii="Times New Roman" w:hAnsi="Times New Roman" w:cs="Times New Roman"/>
          <w:kern w:val="0"/>
          <w14:ligatures w14:val="none"/>
        </w:rPr>
        <w:t xml:space="preserve"> his authority to determine the DoP, set the </w:t>
      </w:r>
      <w:r w:rsidR="000348CF" w:rsidRPr="000348CF">
        <w:rPr>
          <w:rFonts w:ascii="Times New Roman" w:hAnsi="Times New Roman" w:cs="Times New Roman"/>
        </w:rPr>
        <w:t>ratio he considered</w:t>
      </w:r>
      <w:r w:rsidRPr="000348CF">
        <w:rPr>
          <w:rFonts w:ascii="Times New Roman" w:hAnsi="Times New Roman" w:cs="Times New Roman"/>
          <w:kern w:val="0"/>
          <w14:ligatures w14:val="none"/>
        </w:rPr>
        <w:t xml:space="preserve"> to be in the best interests of both parties. If either party was aggrieved, </w:t>
      </w:r>
      <w:r w:rsidR="000348CF" w:rsidRPr="000348CF">
        <w:rPr>
          <w:rFonts w:ascii="Times New Roman" w:hAnsi="Times New Roman" w:cs="Times New Roman"/>
        </w:rPr>
        <w:t>it was entitled</w:t>
      </w:r>
      <w:r w:rsidRPr="000348CF">
        <w:rPr>
          <w:rFonts w:ascii="Times New Roman" w:hAnsi="Times New Roman" w:cs="Times New Roman"/>
          <w:kern w:val="0"/>
          <w14:ligatures w14:val="none"/>
        </w:rPr>
        <w:t xml:space="preserve"> to challenge the decision in court</w:t>
      </w:r>
      <w:r w:rsidR="000348CF" w:rsidRPr="000348CF">
        <w:rPr>
          <w:rFonts w:ascii="Times New Roman" w:hAnsi="Times New Roman" w:cs="Times New Roman"/>
        </w:rPr>
        <w:t>.</w:t>
      </w:r>
      <w:r w:rsidRPr="000348CF">
        <w:rPr>
          <w:rFonts w:ascii="Times New Roman" w:hAnsi="Times New Roman" w:cs="Times New Roman"/>
          <w:kern w:val="0"/>
          <w14:ligatures w14:val="none"/>
        </w:rPr>
        <w:t xml:space="preserve"> According to the first respondent, the </w:t>
      </w:r>
      <w:r w:rsidR="000348CF" w:rsidRPr="000348CF">
        <w:rPr>
          <w:rFonts w:ascii="Times New Roman" w:hAnsi="Times New Roman" w:cs="Times New Roman"/>
        </w:rPr>
        <w:t xml:space="preserve">farmers </w:t>
      </w:r>
      <w:r w:rsidRPr="000348CF">
        <w:rPr>
          <w:rFonts w:ascii="Times New Roman" w:hAnsi="Times New Roman" w:cs="Times New Roman"/>
          <w:kern w:val="0"/>
          <w14:ligatures w14:val="none"/>
        </w:rPr>
        <w:t xml:space="preserve">instituted proceedings </w:t>
      </w:r>
      <w:r w:rsidR="000348CF" w:rsidRPr="000348CF">
        <w:rPr>
          <w:rFonts w:ascii="Times New Roman" w:hAnsi="Times New Roman" w:cs="Times New Roman"/>
        </w:rPr>
        <w:t>challenging</w:t>
      </w:r>
      <w:r w:rsidRPr="000348CF">
        <w:rPr>
          <w:rFonts w:ascii="Times New Roman" w:hAnsi="Times New Roman" w:cs="Times New Roman"/>
          <w:kern w:val="0"/>
          <w14:ligatures w14:val="none"/>
        </w:rPr>
        <w:t xml:space="preserve"> the millers’ decision to garnish their accounts while implementing the 2016 DoP</w:t>
      </w:r>
      <w:r w:rsidR="000348CF" w:rsidRPr="000348CF">
        <w:rPr>
          <w:rFonts w:ascii="Times New Roman" w:hAnsi="Times New Roman" w:cs="Times New Roman"/>
        </w:rPr>
        <w:t xml:space="preserve">, and the </w:t>
      </w:r>
      <w:r w:rsidRPr="000348CF">
        <w:rPr>
          <w:rFonts w:ascii="Times New Roman" w:hAnsi="Times New Roman" w:cs="Times New Roman"/>
          <w:kern w:val="0"/>
          <w14:ligatures w14:val="none"/>
        </w:rPr>
        <w:t xml:space="preserve">court found in favour of the applicants. The 2016 DoP was an interim measure agreed by the parties pending validation. </w:t>
      </w:r>
      <w:r w:rsidR="000348CF" w:rsidRPr="000348CF">
        <w:rPr>
          <w:rFonts w:ascii="Times New Roman" w:hAnsi="Times New Roman" w:cs="Times New Roman"/>
        </w:rPr>
        <w:t>A T</w:t>
      </w:r>
      <w:r w:rsidR="009847E0">
        <w:rPr>
          <w:rFonts w:ascii="Times New Roman" w:hAnsi="Times New Roman" w:cs="Times New Roman"/>
        </w:rPr>
        <w:t>WG</w:t>
      </w:r>
      <w:r w:rsidRPr="000348CF">
        <w:rPr>
          <w:rFonts w:ascii="Times New Roman" w:hAnsi="Times New Roman" w:cs="Times New Roman"/>
          <w:kern w:val="0"/>
          <w14:ligatures w14:val="none"/>
        </w:rPr>
        <w:t xml:space="preserve"> comprising representatives of the applicants and the farmers agreed that the validation should be carried out by the second respondent. The </w:t>
      </w:r>
      <w:r w:rsidR="009847E0">
        <w:rPr>
          <w:rFonts w:ascii="Times New Roman" w:hAnsi="Times New Roman" w:cs="Times New Roman"/>
        </w:rPr>
        <w:t>m</w:t>
      </w:r>
      <w:r w:rsidR="000348CF" w:rsidRPr="000348CF">
        <w:rPr>
          <w:rFonts w:ascii="Times New Roman" w:hAnsi="Times New Roman" w:cs="Times New Roman"/>
        </w:rPr>
        <w:t>inistry</w:t>
      </w:r>
      <w:r w:rsidRPr="000348CF">
        <w:rPr>
          <w:rFonts w:ascii="Times New Roman" w:hAnsi="Times New Roman" w:cs="Times New Roman"/>
          <w:kern w:val="0"/>
          <w14:ligatures w14:val="none"/>
        </w:rPr>
        <w:t xml:space="preserve"> did not disregard the review process</w:t>
      </w:r>
      <w:r w:rsidR="000348CF" w:rsidRPr="000348CF">
        <w:rPr>
          <w:rFonts w:ascii="Times New Roman" w:hAnsi="Times New Roman" w:cs="Times New Roman"/>
        </w:rPr>
        <w:t>; it</w:t>
      </w:r>
      <w:r w:rsidRPr="000348CF">
        <w:rPr>
          <w:rFonts w:ascii="Times New Roman" w:hAnsi="Times New Roman" w:cs="Times New Roman"/>
          <w:kern w:val="0"/>
          <w14:ligatures w14:val="none"/>
        </w:rPr>
        <w:t xml:space="preserve"> prioritised validation as a necessary preliminary step. The review would be conducted in terms of the MOU</w:t>
      </w:r>
      <w:r w:rsidR="000348CF" w:rsidRPr="000348CF">
        <w:rPr>
          <w:rFonts w:ascii="Times New Roman" w:hAnsi="Times New Roman" w:cs="Times New Roman"/>
        </w:rPr>
        <w:t>,</w:t>
      </w:r>
      <w:r w:rsidRPr="000348CF">
        <w:rPr>
          <w:rFonts w:ascii="Times New Roman" w:hAnsi="Times New Roman" w:cs="Times New Roman"/>
          <w:kern w:val="0"/>
          <w14:ligatures w14:val="none"/>
        </w:rPr>
        <w:t xml:space="preserve"> which </w:t>
      </w:r>
      <w:r w:rsidR="000348CF" w:rsidRPr="000348CF">
        <w:rPr>
          <w:rFonts w:ascii="Times New Roman" w:hAnsi="Times New Roman" w:cs="Times New Roman"/>
        </w:rPr>
        <w:t>provided</w:t>
      </w:r>
      <w:r w:rsidRPr="000348CF">
        <w:rPr>
          <w:rFonts w:ascii="Times New Roman" w:hAnsi="Times New Roman" w:cs="Times New Roman"/>
          <w:kern w:val="0"/>
          <w14:ligatures w14:val="none"/>
        </w:rPr>
        <w:t xml:space="preserve"> that </w:t>
      </w:r>
      <w:r w:rsidR="000348CF" w:rsidRPr="000348CF">
        <w:rPr>
          <w:rFonts w:ascii="Times New Roman" w:hAnsi="Times New Roman" w:cs="Times New Roman"/>
        </w:rPr>
        <w:t>it</w:t>
      </w:r>
      <w:r w:rsidRPr="000348CF">
        <w:rPr>
          <w:rFonts w:ascii="Times New Roman" w:hAnsi="Times New Roman" w:cs="Times New Roman"/>
          <w:kern w:val="0"/>
          <w14:ligatures w14:val="none"/>
        </w:rPr>
        <w:t xml:space="preserve"> would </w:t>
      </w:r>
      <w:r w:rsidR="000348CF" w:rsidRPr="000348CF">
        <w:rPr>
          <w:rFonts w:ascii="Times New Roman" w:hAnsi="Times New Roman" w:cs="Times New Roman"/>
        </w:rPr>
        <w:t>take place</w:t>
      </w:r>
      <w:r w:rsidRPr="000348CF">
        <w:rPr>
          <w:rFonts w:ascii="Times New Roman" w:hAnsi="Times New Roman" w:cs="Times New Roman"/>
          <w:kern w:val="0"/>
          <w14:ligatures w14:val="none"/>
        </w:rPr>
        <w:t xml:space="preserve"> in the period leading up to 31 March 2025 and </w:t>
      </w:r>
      <w:r w:rsidR="000348CF" w:rsidRPr="000348CF">
        <w:rPr>
          <w:rFonts w:ascii="Times New Roman" w:hAnsi="Times New Roman" w:cs="Times New Roman"/>
        </w:rPr>
        <w:t xml:space="preserve">be </w:t>
      </w:r>
      <w:r w:rsidRPr="000348CF">
        <w:rPr>
          <w:rFonts w:ascii="Times New Roman" w:hAnsi="Times New Roman" w:cs="Times New Roman"/>
          <w:kern w:val="0"/>
          <w14:ligatures w14:val="none"/>
        </w:rPr>
        <w:t>implemented on 1 April 2025.</w:t>
      </w:r>
    </w:p>
    <w:p w14:paraId="4B61A266" w14:textId="5CFDA023" w:rsidR="00F04285" w:rsidRPr="00860B2B" w:rsidRDefault="00F04285"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first respondent also averred that the TWG, in which the applicants were also members, decided that no new information would be provided or introduced for the validation process. This </w:t>
      </w:r>
      <w:r w:rsidRPr="00860B2B">
        <w:rPr>
          <w:rFonts w:ascii="Times New Roman" w:hAnsi="Times New Roman" w:cs="Times New Roman"/>
          <w:kern w:val="0"/>
          <w14:ligatures w14:val="none"/>
        </w:rPr>
        <w:t xml:space="preserve">was because the purpose of the exercise was the validation of the EY report, meaning that the parties were required to submit the same submissions they had submitted for the EY report. The farmers submitted the same information they had submitted </w:t>
      </w:r>
      <w:r w:rsidRPr="00860B2B">
        <w:rPr>
          <w:rFonts w:ascii="Times New Roman" w:hAnsi="Times New Roman" w:cs="Times New Roman"/>
          <w:kern w:val="0"/>
          <w14:ligatures w14:val="none"/>
        </w:rPr>
        <w:lastRenderedPageBreak/>
        <w:t xml:space="preserve">when the parties were asked to do so in October 2023. It was only that the farmers submitted the same information under cover of a letter dated 27 March 2024, when they sent the submissions in March 2024. </w:t>
      </w:r>
      <w:r w:rsidR="00A726CB" w:rsidRPr="00860B2B">
        <w:rPr>
          <w:rFonts w:ascii="Times New Roman" w:hAnsi="Times New Roman" w:cs="Times New Roman"/>
          <w:kern w:val="0"/>
          <w14:ligatures w14:val="none"/>
        </w:rPr>
        <w:t xml:space="preserve">The applicants and the farmers were given an opportunity to be heard, and they were actually heard. The parties were treated fairly and consistently throughout the process. </w:t>
      </w:r>
    </w:p>
    <w:p w14:paraId="46EB5EB1" w14:textId="6E0A9B0C" w:rsidR="00A726CB" w:rsidRPr="00860B2B" w:rsidRDefault="00A726CB"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The first respondent also averred that the second respondent had access to all the material information required to prepare the validation report. </w:t>
      </w:r>
      <w:r w:rsidR="006175C8" w:rsidRPr="00860B2B">
        <w:rPr>
          <w:rFonts w:ascii="Times New Roman" w:hAnsi="Times New Roman" w:cs="Times New Roman"/>
          <w:kern w:val="0"/>
          <w14:ligatures w14:val="none"/>
        </w:rPr>
        <w:t xml:space="preserve">The ministry also provided the second respondent with a detailed summary of the EY report, which had the relevant information. The first respondent denied that he simply adopted the recommendations of the EY report, insisting that he made an informed decision after a careful analysis of the report. </w:t>
      </w:r>
    </w:p>
    <w:p w14:paraId="27DAD1CC" w14:textId="44CEB75D" w:rsidR="008C6CBE" w:rsidRPr="00860B2B" w:rsidRDefault="008C6CBE" w:rsidP="008C6CBE">
      <w:pPr>
        <w:pStyle w:val="ListParagraph"/>
        <w:tabs>
          <w:tab w:val="left" w:pos="426"/>
        </w:tabs>
        <w:spacing w:after="0" w:line="360" w:lineRule="auto"/>
        <w:ind w:left="0"/>
        <w:jc w:val="both"/>
        <w:rPr>
          <w:rFonts w:ascii="Times New Roman" w:hAnsi="Times New Roman" w:cs="Times New Roman"/>
          <w:b/>
          <w:bCs/>
          <w:kern w:val="0"/>
          <w:u w:val="single"/>
          <w14:ligatures w14:val="none"/>
        </w:rPr>
      </w:pPr>
      <w:r w:rsidRPr="00860B2B">
        <w:rPr>
          <w:rFonts w:ascii="Times New Roman" w:hAnsi="Times New Roman" w:cs="Times New Roman"/>
          <w:b/>
          <w:bCs/>
          <w:kern w:val="0"/>
          <w:u w:val="single"/>
          <w14:ligatures w14:val="none"/>
        </w:rPr>
        <w:t xml:space="preserve">Second Respondent’s Case </w:t>
      </w:r>
    </w:p>
    <w:p w14:paraId="46423F4F" w14:textId="3D0D39AC" w:rsidR="00DC3E47" w:rsidRPr="00860B2B" w:rsidRDefault="007602B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The second respondent opposed the application as follows. Its findings were fair, reasonable and in line with the scope of its mandate with the first respondent. In carrying out its mandate it had access to financial records, previous findings and reports and all relevant persons from the first respondent. It carried out its mandate as engaged and came up with a validation report of the 2016 EY Division of Proceeds for the sugar industry.</w:t>
      </w:r>
    </w:p>
    <w:p w14:paraId="6AD43FCA" w14:textId="4B0AC28A" w:rsidR="007602B0" w:rsidRPr="00860B2B" w:rsidRDefault="007602B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The respondent recommended that the DoP be pegged at 80.5% to 19.5% in favour of sugarcane growers. This was arrived at after the second respondent considered representations from both parties, that is the farmers and the millers. Also considered was key information collected from the first respondent which included assumptions agreed to by the parties. this included cane growing costs, average milling costs, ERC %, average farm size and average production of cane and crystal sugar. </w:t>
      </w:r>
    </w:p>
    <w:p w14:paraId="0BD9F657" w14:textId="27EB168B" w:rsidR="007602B0" w:rsidRPr="00860B2B" w:rsidRDefault="007602B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The second respondent claimed that it </w:t>
      </w:r>
      <w:r w:rsidR="00D12055" w:rsidRPr="00860B2B">
        <w:rPr>
          <w:rFonts w:ascii="Times New Roman" w:hAnsi="Times New Roman" w:cs="Times New Roman"/>
          <w:kern w:val="0"/>
          <w14:ligatures w14:val="none"/>
        </w:rPr>
        <w:t xml:space="preserve">obtained farmers’ and millers’ submissions at the time of receiving of the draft DoP ratio and oral presentations from the two groups of their submissions. the second respondent also used public information that was readily available such as financial statements and market updates by millers. </w:t>
      </w:r>
    </w:p>
    <w:p w14:paraId="5B8F06D2" w14:textId="44C8CA43" w:rsidR="00B72884" w:rsidRDefault="00B72884"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The second respondent claimed that it was a </w:t>
      </w:r>
      <w:r>
        <w:rPr>
          <w:rFonts w:ascii="Times New Roman" w:hAnsi="Times New Roman" w:cs="Times New Roman"/>
          <w:kern w:val="0"/>
          <w14:ligatures w14:val="none"/>
        </w:rPr>
        <w:t xml:space="preserve">consultant who acted professionally in line with its mandate and the first respondent could either accept or reject its recommendations. In terms of the mandate, the second respondent was required to come up with a </w:t>
      </w:r>
      <w:r w:rsidR="009847E0">
        <w:rPr>
          <w:rFonts w:ascii="Times New Roman" w:hAnsi="Times New Roman" w:cs="Times New Roman"/>
          <w:kern w:val="0"/>
          <w14:ligatures w14:val="none"/>
        </w:rPr>
        <w:t>validation based</w:t>
      </w:r>
      <w:r>
        <w:rPr>
          <w:rFonts w:ascii="Times New Roman" w:hAnsi="Times New Roman" w:cs="Times New Roman"/>
          <w:kern w:val="0"/>
          <w14:ligatures w14:val="none"/>
        </w:rPr>
        <w:t xml:space="preserve"> on the submissions made by the parties as of October 2023. The decision to adopt the second respondent’s recommendations was for the first respondent to make and that being the case, the second respondent was improperly joined to the proceedings as it was not an administrative authority.</w:t>
      </w:r>
    </w:p>
    <w:p w14:paraId="6DFD228E" w14:textId="2F586932" w:rsidR="005A4B84" w:rsidRDefault="00612CFC"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 xml:space="preserve"> The second respondent denied that farmers had a free had to submit fresh, detailed and tailored information. It insisted that it limited its findings to the submissions filed by the parties as </w:t>
      </w:r>
      <w:r w:rsidR="000348CF">
        <w:rPr>
          <w:rFonts w:ascii="Times New Roman" w:hAnsi="Times New Roman" w:cs="Times New Roman"/>
          <w:kern w:val="0"/>
          <w14:ligatures w14:val="none"/>
        </w:rPr>
        <w:t>of</w:t>
      </w:r>
      <w:r>
        <w:rPr>
          <w:rFonts w:ascii="Times New Roman" w:hAnsi="Times New Roman" w:cs="Times New Roman"/>
          <w:kern w:val="0"/>
          <w14:ligatures w14:val="none"/>
        </w:rPr>
        <w:t xml:space="preserve"> October 2023. Its findings were based on efficient farmer and efficient miller. The second respondent heard both parties and utilised the submissions in terms of its scope. No new submissions were allowed. The </w:t>
      </w:r>
      <w:r w:rsidR="005A4B84">
        <w:rPr>
          <w:rFonts w:ascii="Times New Roman" w:hAnsi="Times New Roman" w:cs="Times New Roman"/>
          <w:kern w:val="0"/>
          <w14:ligatures w14:val="none"/>
        </w:rPr>
        <w:t>parties’</w:t>
      </w:r>
      <w:r>
        <w:rPr>
          <w:rFonts w:ascii="Times New Roman" w:hAnsi="Times New Roman" w:cs="Times New Roman"/>
          <w:kern w:val="0"/>
          <w14:ligatures w14:val="none"/>
        </w:rPr>
        <w:t xml:space="preserve"> submissions are what the second respondent utilised to come up </w:t>
      </w:r>
      <w:r w:rsidR="005A4B84">
        <w:rPr>
          <w:rFonts w:ascii="Times New Roman" w:hAnsi="Times New Roman" w:cs="Times New Roman"/>
          <w:kern w:val="0"/>
          <w14:ligatures w14:val="none"/>
        </w:rPr>
        <w:t xml:space="preserve">with its findings using the methodology stated in its report. The second respondent also argued that its findings could not be discredited simply by comparison with world statistics since circumstances differed from country to country. </w:t>
      </w:r>
    </w:p>
    <w:p w14:paraId="43D07DC1" w14:textId="2A55E6E3" w:rsidR="005A4B84" w:rsidRPr="000348CF" w:rsidRDefault="005A4B84" w:rsidP="005A4B84">
      <w:pPr>
        <w:tabs>
          <w:tab w:val="left" w:pos="426"/>
        </w:tabs>
        <w:spacing w:after="0" w:line="360" w:lineRule="auto"/>
        <w:jc w:val="both"/>
        <w:rPr>
          <w:rFonts w:ascii="Times New Roman" w:hAnsi="Times New Roman" w:cs="Times New Roman"/>
          <w:b/>
          <w:bCs/>
          <w:kern w:val="0"/>
          <w:u w:val="single"/>
          <w14:ligatures w14:val="none"/>
        </w:rPr>
      </w:pPr>
      <w:r w:rsidRPr="000348CF">
        <w:rPr>
          <w:rFonts w:ascii="Times New Roman" w:hAnsi="Times New Roman" w:cs="Times New Roman"/>
          <w:b/>
          <w:bCs/>
          <w:kern w:val="0"/>
          <w:u w:val="single"/>
          <w14:ligatures w14:val="none"/>
        </w:rPr>
        <w:t xml:space="preserve">Third to Thirteenth Respondents Case </w:t>
      </w:r>
    </w:p>
    <w:p w14:paraId="2C565BFF" w14:textId="5B89AC03" w:rsidR="001A52B7" w:rsidRDefault="005A4B84"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opposing affidavit was deposed to by one Langton Chivasa in his capacity as an executive member of the fourth respondent. He also deposed to the affidavit based on a resolution </w:t>
      </w:r>
      <w:r w:rsidR="009847E0">
        <w:rPr>
          <w:rFonts w:ascii="Times New Roman" w:hAnsi="Times New Roman" w:cs="Times New Roman"/>
          <w:kern w:val="0"/>
          <w14:ligatures w14:val="none"/>
        </w:rPr>
        <w:t xml:space="preserve">prepared </w:t>
      </w:r>
      <w:r>
        <w:rPr>
          <w:rFonts w:ascii="Times New Roman" w:hAnsi="Times New Roman" w:cs="Times New Roman"/>
          <w:kern w:val="0"/>
          <w14:ligatures w14:val="none"/>
        </w:rPr>
        <w:t xml:space="preserve">by the third to thirteenth respondents. His deposition was as follows. At all material times he was one of the representatives of the third to thirteenth respondents in the Technical Working Group (TWG) which dealt with the DoP issue. </w:t>
      </w:r>
    </w:p>
    <w:p w14:paraId="735C7CDA" w14:textId="0C6F3C70" w:rsidR="0078115D" w:rsidRPr="000348CF" w:rsidRDefault="00AD31E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third to </w:t>
      </w:r>
      <w:r w:rsidRPr="001E6739">
        <w:rPr>
          <w:rFonts w:ascii="Times New Roman" w:hAnsi="Times New Roman" w:cs="Times New Roman"/>
          <w:kern w:val="0"/>
          <w14:ligatures w14:val="none"/>
        </w:rPr>
        <w:t xml:space="preserve">thirteenth </w:t>
      </w:r>
      <w:r w:rsidR="00B370FC" w:rsidRPr="001E6739">
        <w:rPr>
          <w:rFonts w:ascii="Times New Roman" w:hAnsi="Times New Roman" w:cs="Times New Roman"/>
          <w:kern w:val="0"/>
          <w14:ligatures w14:val="none"/>
        </w:rPr>
        <w:t xml:space="preserve">respondents </w:t>
      </w:r>
      <w:r w:rsidR="001E6739" w:rsidRPr="001E6739">
        <w:rPr>
          <w:rFonts w:ascii="Times New Roman" w:hAnsi="Times New Roman" w:cs="Times New Roman"/>
          <w:kern w:val="0"/>
          <w14:ligatures w14:val="none"/>
        </w:rPr>
        <w:t>were</w:t>
      </w:r>
      <w:r w:rsidR="001E6739">
        <w:rPr>
          <w:rFonts w:ascii="Times New Roman" w:hAnsi="Times New Roman" w:cs="Times New Roman"/>
          <w:kern w:val="0"/>
          <w14:ligatures w14:val="none"/>
        </w:rPr>
        <w:t xml:space="preserve"> </w:t>
      </w:r>
      <w:r>
        <w:rPr>
          <w:rFonts w:ascii="Times New Roman" w:hAnsi="Times New Roman" w:cs="Times New Roman"/>
          <w:kern w:val="0"/>
          <w14:ligatures w14:val="none"/>
        </w:rPr>
        <w:t xml:space="preserve">associations/mill groups comprised of out grower cane </w:t>
      </w:r>
      <w:r w:rsidR="001E6739">
        <w:rPr>
          <w:rFonts w:ascii="Times New Roman" w:hAnsi="Times New Roman" w:cs="Times New Roman"/>
          <w:kern w:val="0"/>
          <w14:ligatures w14:val="none"/>
        </w:rPr>
        <w:t>farmers,</w:t>
      </w:r>
      <w:r>
        <w:rPr>
          <w:rFonts w:ascii="Times New Roman" w:hAnsi="Times New Roman" w:cs="Times New Roman"/>
          <w:kern w:val="0"/>
          <w14:ligatures w14:val="none"/>
        </w:rPr>
        <w:t xml:space="preserve"> and their membership </w:t>
      </w:r>
      <w:r w:rsidR="00536CB6">
        <w:rPr>
          <w:rFonts w:ascii="Times New Roman" w:hAnsi="Times New Roman" w:cs="Times New Roman"/>
          <w:kern w:val="0"/>
          <w14:ligatures w14:val="none"/>
        </w:rPr>
        <w:t xml:space="preserve">exceeded </w:t>
      </w:r>
      <w:r>
        <w:rPr>
          <w:rFonts w:ascii="Times New Roman" w:hAnsi="Times New Roman" w:cs="Times New Roman"/>
          <w:kern w:val="0"/>
          <w14:ligatures w14:val="none"/>
        </w:rPr>
        <w:t xml:space="preserve">1200 farmers. They were all beneficiaries of the agrarian land reform, and they had a combined total land under cane of approximately 20 240 hectares and collectively contributed 44% of the total industry cane delivered to the two mills </w:t>
      </w:r>
      <w:r w:rsidRPr="000348CF">
        <w:rPr>
          <w:rFonts w:ascii="Times New Roman" w:hAnsi="Times New Roman" w:cs="Times New Roman"/>
          <w:kern w:val="0"/>
          <w14:ligatures w14:val="none"/>
        </w:rPr>
        <w:t xml:space="preserve">owned by the applicants. </w:t>
      </w:r>
    </w:p>
    <w:p w14:paraId="338E453D" w14:textId="0ED98EB9" w:rsidR="00AD31E8" w:rsidRPr="000348CF" w:rsidRDefault="00AD31E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0348CF">
        <w:rPr>
          <w:rFonts w:ascii="Times New Roman" w:hAnsi="Times New Roman" w:cs="Times New Roman"/>
          <w:kern w:val="0"/>
          <w14:ligatures w14:val="none"/>
        </w:rPr>
        <w:t xml:space="preserve">From 2016, the industry had been operating under a draft EY determined DoP ratio of 23% (milling charge) and 77% (farmer share). The DoP ratio was directed by </w:t>
      </w:r>
      <w:r w:rsidR="009847E0">
        <w:rPr>
          <w:rFonts w:ascii="Times New Roman" w:hAnsi="Times New Roman" w:cs="Times New Roman"/>
          <w:kern w:val="0"/>
          <w14:ligatures w14:val="none"/>
        </w:rPr>
        <w:t xml:space="preserve">the </w:t>
      </w:r>
      <w:r w:rsidRPr="000348CF">
        <w:rPr>
          <w:rFonts w:ascii="Times New Roman" w:hAnsi="Times New Roman" w:cs="Times New Roman"/>
          <w:kern w:val="0"/>
          <w14:ligatures w14:val="none"/>
        </w:rPr>
        <w:t xml:space="preserve">then </w:t>
      </w:r>
      <w:r w:rsidR="009847E0">
        <w:rPr>
          <w:rFonts w:ascii="Times New Roman" w:hAnsi="Times New Roman" w:cs="Times New Roman"/>
          <w:kern w:val="0"/>
          <w14:ligatures w14:val="none"/>
        </w:rPr>
        <w:t>M</w:t>
      </w:r>
      <w:r w:rsidRPr="000348CF">
        <w:rPr>
          <w:rFonts w:ascii="Times New Roman" w:hAnsi="Times New Roman" w:cs="Times New Roman"/>
          <w:kern w:val="0"/>
          <w14:ligatures w14:val="none"/>
        </w:rPr>
        <w:t>inister of</w:t>
      </w:r>
      <w:r w:rsidR="00446139" w:rsidRPr="00446139">
        <w:rPr>
          <w:rFonts w:ascii="Times New Roman" w:hAnsi="Times New Roman" w:cs="Times New Roman"/>
          <w:kern w:val="0"/>
          <w14:ligatures w14:val="none"/>
        </w:rPr>
        <w:t>was communicated through a directive issued by the Minister</w:t>
      </w:r>
      <w:r w:rsidRPr="000348CF">
        <w:rPr>
          <w:rFonts w:ascii="Times New Roman" w:hAnsi="Times New Roman" w:cs="Times New Roman"/>
          <w:kern w:val="0"/>
          <w14:ligatures w14:val="none"/>
        </w:rPr>
        <w:t xml:space="preserve"> Industry and Commerce in 2016 in a letter dated 23 November 2016. The applicant and the third to thirteenth respondents acted on the directive and the DoP </w:t>
      </w:r>
      <w:r w:rsidR="00262D97">
        <w:rPr>
          <w:rFonts w:ascii="Times New Roman" w:hAnsi="Times New Roman" w:cs="Times New Roman"/>
          <w:kern w:val="0"/>
          <w14:ligatures w14:val="none"/>
        </w:rPr>
        <w:t xml:space="preserve">was </w:t>
      </w:r>
      <w:r w:rsidRPr="000348CF">
        <w:rPr>
          <w:rFonts w:ascii="Times New Roman" w:hAnsi="Times New Roman" w:cs="Times New Roman"/>
          <w:kern w:val="0"/>
          <w14:ligatures w14:val="none"/>
        </w:rPr>
        <w:t xml:space="preserve">applied pending validation since both the applicants and the third to thirteenth respondents had reservations about the ratio. </w:t>
      </w:r>
      <w:r w:rsidR="0078115D" w:rsidRPr="000348CF">
        <w:rPr>
          <w:rFonts w:ascii="Times New Roman" w:hAnsi="Times New Roman" w:cs="Times New Roman"/>
          <w:kern w:val="0"/>
          <w14:ligatures w14:val="none"/>
        </w:rPr>
        <w:t xml:space="preserve">The applicants and the third to thirteenth respondents belonged to the Zimbabwe Sugar Association, an association of sugarcane farmers and the two sugarcane millers. </w:t>
      </w:r>
    </w:p>
    <w:p w14:paraId="07B1D556" w14:textId="074F7B95" w:rsidR="00CA11E0" w:rsidRDefault="00CA11E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0348CF">
        <w:rPr>
          <w:rFonts w:ascii="Times New Roman" w:hAnsi="Times New Roman" w:cs="Times New Roman"/>
          <w:kern w:val="0"/>
          <w14:ligatures w14:val="none"/>
        </w:rPr>
        <w:t xml:space="preserve"> Further according to the deponent, the EY report did not result in the full and final resolution of the dispute between the applicants and the respondents. There were several inaccuracies in the draft report and that both parties herein were not </w:t>
      </w:r>
      <w:r>
        <w:rPr>
          <w:rFonts w:ascii="Times New Roman" w:hAnsi="Times New Roman" w:cs="Times New Roman"/>
          <w:kern w:val="0"/>
          <w14:ligatures w14:val="none"/>
        </w:rPr>
        <w:t xml:space="preserve">content with. The </w:t>
      </w:r>
      <w:r w:rsidR="00262D97">
        <w:rPr>
          <w:rFonts w:ascii="Times New Roman" w:hAnsi="Times New Roman" w:cs="Times New Roman"/>
          <w:kern w:val="0"/>
          <w14:ligatures w14:val="none"/>
        </w:rPr>
        <w:t>validation process</w:t>
      </w:r>
      <w:r>
        <w:rPr>
          <w:rFonts w:ascii="Times New Roman" w:hAnsi="Times New Roman" w:cs="Times New Roman"/>
          <w:kern w:val="0"/>
          <w14:ligatures w14:val="none"/>
        </w:rPr>
        <w:t xml:space="preserve"> would factor in the concerns of the farmers and millers to come up with a final DoP ratio. </w:t>
      </w:r>
    </w:p>
    <w:p w14:paraId="3DF147AE" w14:textId="59856367" w:rsidR="009E0441" w:rsidRDefault="00CA11E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color w:val="EE0000"/>
          <w:kern w:val="0"/>
          <w14:ligatures w14:val="none"/>
        </w:rPr>
        <w:lastRenderedPageBreak/>
        <w:t xml:space="preserve"> </w:t>
      </w:r>
      <w:r w:rsidRPr="00CA11E0">
        <w:rPr>
          <w:rFonts w:ascii="Times New Roman" w:hAnsi="Times New Roman" w:cs="Times New Roman"/>
          <w:kern w:val="0"/>
          <w14:ligatures w14:val="none"/>
        </w:rPr>
        <w:t xml:space="preserve">On </w:t>
      </w:r>
      <w:r>
        <w:rPr>
          <w:rFonts w:ascii="Times New Roman" w:hAnsi="Times New Roman" w:cs="Times New Roman"/>
          <w:kern w:val="0"/>
          <w14:ligatures w14:val="none"/>
        </w:rPr>
        <w:t xml:space="preserve">8 June 2021, the applicants and the third to thirteenth respondents’ representatives attended a mediation meeting before the then </w:t>
      </w:r>
      <w:r w:rsidR="0087066F">
        <w:rPr>
          <w:rFonts w:ascii="Times New Roman" w:hAnsi="Times New Roman" w:cs="Times New Roman"/>
          <w:kern w:val="0"/>
          <w14:ligatures w14:val="none"/>
        </w:rPr>
        <w:t xml:space="preserve">Chairman of the Zimbabwe Sugar Association, </w:t>
      </w:r>
      <w:r>
        <w:rPr>
          <w:rFonts w:ascii="Times New Roman" w:hAnsi="Times New Roman" w:cs="Times New Roman"/>
          <w:kern w:val="0"/>
          <w14:ligatures w14:val="none"/>
        </w:rPr>
        <w:t xml:space="preserve">Muchadeyi Masunda to discuss the issues in dispute. The issues remained unresolved. After failing to </w:t>
      </w:r>
      <w:r w:rsidR="00A30F14">
        <w:rPr>
          <w:rFonts w:ascii="Times New Roman" w:hAnsi="Times New Roman" w:cs="Times New Roman"/>
          <w:kern w:val="0"/>
          <w14:ligatures w14:val="none"/>
        </w:rPr>
        <w:t xml:space="preserve">reach a </w:t>
      </w:r>
      <w:r w:rsidR="00536CB6">
        <w:rPr>
          <w:rFonts w:ascii="Times New Roman" w:hAnsi="Times New Roman" w:cs="Times New Roman"/>
          <w:kern w:val="0"/>
          <w14:ligatures w14:val="none"/>
        </w:rPr>
        <w:t xml:space="preserve">resolution through </w:t>
      </w:r>
      <w:r>
        <w:rPr>
          <w:rFonts w:ascii="Times New Roman" w:hAnsi="Times New Roman" w:cs="Times New Roman"/>
          <w:kern w:val="0"/>
          <w14:ligatures w14:val="none"/>
        </w:rPr>
        <w:t xml:space="preserve">the Zimbabwe Sugar Association route, the parties (millers and farmers) approached the first respondent and sought its assistance in resolving the dispute between them. </w:t>
      </w:r>
    </w:p>
    <w:p w14:paraId="56A1C1B7" w14:textId="79F537F3" w:rsidR="00CA11E0" w:rsidRPr="00E4684D" w:rsidRDefault="00CA11E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When the dispute </w:t>
      </w:r>
      <w:r w:rsidR="00884F46">
        <w:rPr>
          <w:rFonts w:ascii="Times New Roman" w:hAnsi="Times New Roman" w:cs="Times New Roman"/>
          <w:kern w:val="0"/>
          <w14:ligatures w14:val="none"/>
        </w:rPr>
        <w:t xml:space="preserve">remained unresolved, the first respondent with the concurrence of the parties agreed to have the dispute resolved through arbitration. </w:t>
      </w:r>
      <w:r w:rsidR="009E0441">
        <w:rPr>
          <w:rFonts w:ascii="Times New Roman" w:hAnsi="Times New Roman" w:cs="Times New Roman"/>
          <w:kern w:val="0"/>
          <w14:ligatures w14:val="none"/>
        </w:rPr>
        <w:t xml:space="preserve">An arbitral tribunal was appointed with the participation of the applicants and the third and thirteenth respondents’ representatives. The parties met at the instance of the </w:t>
      </w:r>
      <w:r w:rsidR="009E0441" w:rsidRPr="00E4684D">
        <w:rPr>
          <w:rFonts w:ascii="Times New Roman" w:hAnsi="Times New Roman" w:cs="Times New Roman"/>
          <w:kern w:val="0"/>
          <w14:ligatures w14:val="none"/>
        </w:rPr>
        <w:t xml:space="preserve">arbitral tribunal and agreed on the issues for resolution.  Other issues such as the DoP were referred to the Technical Working Group (TWG) as they could not be dealt with at arbitration. </w:t>
      </w:r>
    </w:p>
    <w:p w14:paraId="22A4D774" w14:textId="25283310" w:rsidR="009E0441" w:rsidRDefault="009E0441"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 The TWG had millers and farmers willingly engaging on industry matters and these matters extended to the appointment of Zimbabwe Sugar Association chair</w:t>
      </w:r>
      <w:r w:rsidR="0087066F">
        <w:rPr>
          <w:rFonts w:ascii="Times New Roman" w:hAnsi="Times New Roman" w:cs="Times New Roman"/>
          <w:kern w:val="0"/>
          <w14:ligatures w14:val="none"/>
        </w:rPr>
        <w:t>person</w:t>
      </w:r>
      <w:r w:rsidRPr="00E4684D">
        <w:rPr>
          <w:rFonts w:ascii="Times New Roman" w:hAnsi="Times New Roman" w:cs="Times New Roman"/>
          <w:kern w:val="0"/>
          <w14:ligatures w14:val="none"/>
        </w:rPr>
        <w:t xml:space="preserve">, whose mandate was </w:t>
      </w:r>
      <w:r w:rsidRPr="008F4C08">
        <w:rPr>
          <w:rFonts w:ascii="Times New Roman" w:hAnsi="Times New Roman" w:cs="Times New Roman"/>
          <w:kern w:val="0"/>
          <w14:ligatures w14:val="none"/>
        </w:rPr>
        <w:t>not</w:t>
      </w:r>
      <w:r w:rsidR="00536CB6" w:rsidRPr="008F4C08">
        <w:rPr>
          <w:rFonts w:ascii="Times New Roman" w:hAnsi="Times New Roman" w:cs="Times New Roman"/>
          <w:kern w:val="0"/>
          <w14:ligatures w14:val="none"/>
        </w:rPr>
        <w:t xml:space="preserve"> limited to</w:t>
      </w:r>
      <w:r w:rsidRPr="008F4C08">
        <w:rPr>
          <w:rFonts w:ascii="Times New Roman" w:hAnsi="Times New Roman" w:cs="Times New Roman"/>
          <w:kern w:val="0"/>
          <w14:ligatures w14:val="none"/>
        </w:rPr>
        <w:t xml:space="preserve"> issues to</w:t>
      </w:r>
      <w:r w:rsidRPr="00E4684D">
        <w:rPr>
          <w:rFonts w:ascii="Times New Roman" w:hAnsi="Times New Roman" w:cs="Times New Roman"/>
          <w:kern w:val="0"/>
          <w14:ligatures w14:val="none"/>
        </w:rPr>
        <w:t xml:space="preserve"> deal with DoP alone. The deponent averred that the second respondent was contracted by the applicant</w:t>
      </w:r>
      <w:r w:rsidR="00262D97" w:rsidRPr="00E4684D">
        <w:rPr>
          <w:rFonts w:ascii="Times New Roman" w:hAnsi="Times New Roman" w:cs="Times New Roman"/>
          <w:kern w:val="0"/>
          <w14:ligatures w14:val="none"/>
        </w:rPr>
        <w:t>s</w:t>
      </w:r>
      <w:r w:rsidRPr="00E4684D">
        <w:rPr>
          <w:rFonts w:ascii="Times New Roman" w:hAnsi="Times New Roman" w:cs="Times New Roman"/>
          <w:kern w:val="0"/>
          <w14:ligatures w14:val="none"/>
        </w:rPr>
        <w:t xml:space="preserve"> and representatives of the third to thirteenth respondents</w:t>
      </w:r>
      <w:r w:rsidR="00E63366" w:rsidRPr="00E4684D">
        <w:rPr>
          <w:rFonts w:ascii="Times New Roman" w:hAnsi="Times New Roman" w:cs="Times New Roman"/>
          <w:kern w:val="0"/>
          <w14:ligatures w14:val="none"/>
        </w:rPr>
        <w:t xml:space="preserve">. The first respondent </w:t>
      </w:r>
      <w:r w:rsidR="0087066F">
        <w:rPr>
          <w:rFonts w:ascii="Times New Roman" w:hAnsi="Times New Roman" w:cs="Times New Roman"/>
          <w:kern w:val="0"/>
          <w14:ligatures w14:val="none"/>
        </w:rPr>
        <w:t xml:space="preserve">merely </w:t>
      </w:r>
      <w:r w:rsidR="00E63366" w:rsidRPr="00E4684D">
        <w:rPr>
          <w:rFonts w:ascii="Times New Roman" w:hAnsi="Times New Roman" w:cs="Times New Roman"/>
          <w:kern w:val="0"/>
          <w14:ligatures w14:val="none"/>
        </w:rPr>
        <w:t xml:space="preserve">played a facilitative role in signing the contract upon being requested to do so by the parties.  </w:t>
      </w:r>
      <w:r w:rsidR="00262D97" w:rsidRPr="00E4684D">
        <w:rPr>
          <w:rFonts w:ascii="Times New Roman" w:hAnsi="Times New Roman" w:cs="Times New Roman"/>
          <w:kern w:val="0"/>
          <w14:ligatures w14:val="none"/>
        </w:rPr>
        <w:t>T</w:t>
      </w:r>
      <w:r w:rsidR="00E63366" w:rsidRPr="00E4684D">
        <w:rPr>
          <w:rFonts w:ascii="Times New Roman" w:hAnsi="Times New Roman" w:cs="Times New Roman"/>
          <w:kern w:val="0"/>
          <w14:ligatures w14:val="none"/>
        </w:rPr>
        <w:t xml:space="preserve">he two parties remained the principals in the contract. The second respondent was chosen to do the validation following a selection process in which both millers and farmers participated. The contractual obligations remained with the applicants and the third to thirteenth respondents who settled the second respondent’s fee as the key player. The </w:t>
      </w:r>
      <w:r w:rsidR="00E63366">
        <w:rPr>
          <w:rFonts w:ascii="Times New Roman" w:hAnsi="Times New Roman" w:cs="Times New Roman"/>
          <w:kern w:val="0"/>
          <w14:ligatures w14:val="none"/>
        </w:rPr>
        <w:t xml:space="preserve">second respondent was therefore engaged by the applicants and the third to thirteenth </w:t>
      </w:r>
      <w:r w:rsidR="00924A2E">
        <w:rPr>
          <w:rFonts w:ascii="Times New Roman" w:hAnsi="Times New Roman" w:cs="Times New Roman"/>
          <w:kern w:val="0"/>
          <w14:ligatures w14:val="none"/>
        </w:rPr>
        <w:t>respondents’</w:t>
      </w:r>
      <w:r w:rsidR="00E63366">
        <w:rPr>
          <w:rFonts w:ascii="Times New Roman" w:hAnsi="Times New Roman" w:cs="Times New Roman"/>
          <w:kern w:val="0"/>
          <w14:ligatures w14:val="none"/>
        </w:rPr>
        <w:t xml:space="preserve"> representatives, both of whom went on to develop the terms of reference upon which the second respondent would be engaged</w:t>
      </w:r>
      <w:r w:rsidR="004C7677">
        <w:rPr>
          <w:rFonts w:ascii="Times New Roman" w:hAnsi="Times New Roman" w:cs="Times New Roman"/>
          <w:kern w:val="0"/>
          <w14:ligatures w14:val="none"/>
        </w:rPr>
        <w:t>.</w:t>
      </w:r>
    </w:p>
    <w:p w14:paraId="71937772" w14:textId="7FB005AB" w:rsidR="004C7677" w:rsidRPr="00E4684D" w:rsidRDefault="004C7677"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According to the deponent, all farmers supplying sugarcane to the applicants namely those under the Cane Purchase Agreement (CPA) and those under the Sugar Milling Agreement (SMA) were paid in terms of the DoP ratio for their cane delivered to the mill. The only difference was that those under the CPA were paid part of their proceeds in advance whilst </w:t>
      </w:r>
      <w:r w:rsidR="008A4D5B">
        <w:rPr>
          <w:rFonts w:ascii="Times New Roman" w:hAnsi="Times New Roman" w:cs="Times New Roman"/>
          <w:kern w:val="0"/>
          <w14:ligatures w14:val="none"/>
        </w:rPr>
        <w:t xml:space="preserve">those under the </w:t>
      </w:r>
      <w:r w:rsidR="00262D97">
        <w:rPr>
          <w:rFonts w:ascii="Times New Roman" w:hAnsi="Times New Roman" w:cs="Times New Roman"/>
          <w:kern w:val="0"/>
          <w14:ligatures w14:val="none"/>
        </w:rPr>
        <w:t>SMA were</w:t>
      </w:r>
      <w:r w:rsidR="008A4D5B">
        <w:rPr>
          <w:rFonts w:ascii="Times New Roman" w:hAnsi="Times New Roman" w:cs="Times New Roman"/>
          <w:kern w:val="0"/>
          <w14:ligatures w14:val="none"/>
        </w:rPr>
        <w:t xml:space="preserve"> paid on a cash received basis, a function of actual sugar received. Further, whilst those under the CPA </w:t>
      </w:r>
      <w:r w:rsidR="00262D97">
        <w:rPr>
          <w:rFonts w:ascii="Times New Roman" w:hAnsi="Times New Roman" w:cs="Times New Roman"/>
          <w:kern w:val="0"/>
          <w14:ligatures w14:val="none"/>
        </w:rPr>
        <w:t>were paid</w:t>
      </w:r>
      <w:r w:rsidR="008A4D5B">
        <w:rPr>
          <w:rFonts w:ascii="Times New Roman" w:hAnsi="Times New Roman" w:cs="Times New Roman"/>
          <w:kern w:val="0"/>
          <w14:ligatures w14:val="none"/>
        </w:rPr>
        <w:t xml:space="preserve"> a fixed price determined with reference to </w:t>
      </w:r>
      <w:r w:rsidR="00262D97">
        <w:rPr>
          <w:rFonts w:ascii="Times New Roman" w:hAnsi="Times New Roman" w:cs="Times New Roman"/>
          <w:kern w:val="0"/>
          <w14:ligatures w14:val="none"/>
        </w:rPr>
        <w:t>DoP and</w:t>
      </w:r>
      <w:r w:rsidR="008A4D5B">
        <w:rPr>
          <w:rFonts w:ascii="Times New Roman" w:hAnsi="Times New Roman" w:cs="Times New Roman"/>
          <w:kern w:val="0"/>
          <w14:ligatures w14:val="none"/>
        </w:rPr>
        <w:t xml:space="preserve"> other factors stated in s 10 of the Sugar Production and Control Act, any change in the DoP ratio would result in a </w:t>
      </w:r>
      <w:r w:rsidR="008A4D5B" w:rsidRPr="00E4684D">
        <w:rPr>
          <w:rFonts w:ascii="Times New Roman" w:hAnsi="Times New Roman" w:cs="Times New Roman"/>
          <w:kern w:val="0"/>
          <w14:ligatures w14:val="none"/>
        </w:rPr>
        <w:t xml:space="preserve">corresponding change to the cane fixed price on </w:t>
      </w:r>
      <w:r w:rsidR="008A4D5B" w:rsidRPr="00E4684D">
        <w:rPr>
          <w:rFonts w:ascii="Times New Roman" w:hAnsi="Times New Roman" w:cs="Times New Roman"/>
          <w:kern w:val="0"/>
          <w14:ligatures w14:val="none"/>
        </w:rPr>
        <w:lastRenderedPageBreak/>
        <w:t xml:space="preserve">a pro rata basis. Clause 1.17 of the Farmers DoP percentage of the CPA clearly stated that the percentage was 77% and that such ratio was subject to change by mutual agreement. </w:t>
      </w:r>
    </w:p>
    <w:p w14:paraId="24AF0EE9" w14:textId="123BAF47" w:rsidR="008A4D5B" w:rsidRDefault="008A4D5B"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 It was further averred that s 10 of the Sugar Production Control Act provided guidelines to be applied in </w:t>
      </w:r>
      <w:r w:rsidR="0087066F">
        <w:rPr>
          <w:rFonts w:ascii="Times New Roman" w:hAnsi="Times New Roman" w:cs="Times New Roman"/>
          <w:kern w:val="0"/>
          <w14:ligatures w14:val="none"/>
        </w:rPr>
        <w:t xml:space="preserve">determining </w:t>
      </w:r>
      <w:r w:rsidRPr="00E4684D">
        <w:rPr>
          <w:rFonts w:ascii="Times New Roman" w:hAnsi="Times New Roman" w:cs="Times New Roman"/>
          <w:kern w:val="0"/>
          <w14:ligatures w14:val="none"/>
        </w:rPr>
        <w:t>the price of cane for farmers. These were the same factors referred to by the applicants herein and these factors were applied to both CPA and SMA</w:t>
      </w:r>
      <w:r w:rsidR="00E232A3" w:rsidRPr="00E4684D">
        <w:rPr>
          <w:rFonts w:ascii="Times New Roman" w:hAnsi="Times New Roman" w:cs="Times New Roman"/>
          <w:kern w:val="0"/>
          <w14:ligatures w14:val="none"/>
        </w:rPr>
        <w:t xml:space="preserve"> price determination. Further the applicants had through a letter by Mr Gavin Hudson of 20 September </w:t>
      </w:r>
      <w:r w:rsidR="00E232A3">
        <w:rPr>
          <w:rFonts w:ascii="Times New Roman" w:hAnsi="Times New Roman" w:cs="Times New Roman"/>
          <w:kern w:val="0"/>
          <w14:ligatures w14:val="none"/>
        </w:rPr>
        <w:t xml:space="preserve">2022, confirmed that the provisions of s 10 of the Act were applicable to the milling agreement. The applicants seemed to be suggesting that s 10 of the said Act were not applicable to the </w:t>
      </w:r>
      <w:r w:rsidR="00262D97">
        <w:rPr>
          <w:rFonts w:ascii="Times New Roman" w:hAnsi="Times New Roman" w:cs="Times New Roman"/>
          <w:kern w:val="0"/>
          <w14:ligatures w14:val="none"/>
        </w:rPr>
        <w:t>DoP under</w:t>
      </w:r>
      <w:r w:rsidR="00E232A3">
        <w:rPr>
          <w:rFonts w:ascii="Times New Roman" w:hAnsi="Times New Roman" w:cs="Times New Roman"/>
          <w:kern w:val="0"/>
          <w14:ligatures w14:val="none"/>
        </w:rPr>
        <w:t xml:space="preserve"> a milling agreement, an assertion that was contradictory to what they stated in their said letter. </w:t>
      </w:r>
    </w:p>
    <w:p w14:paraId="43108AC4" w14:textId="64A98089" w:rsidR="00E232A3" w:rsidRDefault="00E232A3"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It was further averred that while the PWC review was validated by the parties, the one carried out by EY was not, hence it remained a draft. </w:t>
      </w:r>
      <w:r w:rsidR="00812600">
        <w:rPr>
          <w:rFonts w:ascii="Times New Roman" w:hAnsi="Times New Roman" w:cs="Times New Roman"/>
          <w:kern w:val="0"/>
          <w14:ligatures w14:val="none"/>
        </w:rPr>
        <w:t xml:space="preserve">The build up to the DoP validation was very </w:t>
      </w:r>
      <w:r w:rsidR="00262D97">
        <w:rPr>
          <w:rFonts w:ascii="Times New Roman" w:hAnsi="Times New Roman" w:cs="Times New Roman"/>
          <w:kern w:val="0"/>
          <w14:ligatures w14:val="none"/>
        </w:rPr>
        <w:t>clear and</w:t>
      </w:r>
      <w:r w:rsidR="00812600">
        <w:rPr>
          <w:rFonts w:ascii="Times New Roman" w:hAnsi="Times New Roman" w:cs="Times New Roman"/>
          <w:kern w:val="0"/>
          <w14:ligatures w14:val="none"/>
        </w:rPr>
        <w:t xml:space="preserve"> had a decision trail that was well documented. All parties were provided with the opportunity to furnish a detailed </w:t>
      </w:r>
      <w:r w:rsidR="00262D97">
        <w:rPr>
          <w:rFonts w:ascii="Times New Roman" w:hAnsi="Times New Roman" w:cs="Times New Roman"/>
          <w:kern w:val="0"/>
          <w14:ligatures w14:val="none"/>
        </w:rPr>
        <w:t>issue-based</w:t>
      </w:r>
      <w:r w:rsidR="00812600">
        <w:rPr>
          <w:rFonts w:ascii="Times New Roman" w:hAnsi="Times New Roman" w:cs="Times New Roman"/>
          <w:kern w:val="0"/>
          <w14:ligatures w14:val="none"/>
        </w:rPr>
        <w:t xml:space="preserve"> submission</w:t>
      </w:r>
      <w:r w:rsidR="00262D97">
        <w:rPr>
          <w:rFonts w:ascii="Times New Roman" w:hAnsi="Times New Roman" w:cs="Times New Roman"/>
          <w:kern w:val="0"/>
          <w14:ligatures w14:val="none"/>
        </w:rPr>
        <w:t>s</w:t>
      </w:r>
      <w:r w:rsidR="00812600">
        <w:rPr>
          <w:rFonts w:ascii="Times New Roman" w:hAnsi="Times New Roman" w:cs="Times New Roman"/>
          <w:kern w:val="0"/>
          <w14:ligatures w14:val="none"/>
        </w:rPr>
        <w:t xml:space="preserve"> on what they perceived to be errors in the EY DoP ratio calculation per their draft. Whilst it was noted that farmers were a diversified group with different levels of literacy, financial expertise, and business acumen, the adoption of an efficient model for the applicants and farmers was meant to ensure </w:t>
      </w:r>
      <w:r w:rsidR="00262D97">
        <w:rPr>
          <w:rFonts w:ascii="Times New Roman" w:hAnsi="Times New Roman" w:cs="Times New Roman"/>
          <w:kern w:val="0"/>
          <w14:ligatures w14:val="none"/>
        </w:rPr>
        <w:t>equity and</w:t>
      </w:r>
      <w:r w:rsidR="00812600">
        <w:rPr>
          <w:rFonts w:ascii="Times New Roman" w:hAnsi="Times New Roman" w:cs="Times New Roman"/>
          <w:kern w:val="0"/>
          <w14:ligatures w14:val="none"/>
        </w:rPr>
        <w:t xml:space="preserve"> that the applicants were not disadvantaged. Standard costings and capital investment were good benchmarks for arriving at sugarcane production costing and capital employed representative of cane growing costs and capital employed for efficient farmer model adopted by EY.</w:t>
      </w:r>
    </w:p>
    <w:p w14:paraId="352BCC08" w14:textId="4C8CCE3C" w:rsidR="00812600" w:rsidRPr="00E4684D" w:rsidRDefault="0081260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DoP validation was agreed between the applicants and farmers who both contested the EY DoP findings. Both parties had the opportunity to present their issues in greater detail on the back of an agreement wherein the parties agreed to be bound by the outcome of the validation exercise. There was an agreement between the applicants and the third to thirteenth respondents to that effect. </w:t>
      </w:r>
      <w:r w:rsidR="005C508A">
        <w:rPr>
          <w:rFonts w:ascii="Times New Roman" w:hAnsi="Times New Roman" w:cs="Times New Roman"/>
          <w:kern w:val="0"/>
          <w14:ligatures w14:val="none"/>
        </w:rPr>
        <w:t xml:space="preserve">There was never any imposition by the first </w:t>
      </w:r>
      <w:r w:rsidR="005C508A" w:rsidRPr="00E4684D">
        <w:rPr>
          <w:rFonts w:ascii="Times New Roman" w:hAnsi="Times New Roman" w:cs="Times New Roman"/>
          <w:kern w:val="0"/>
          <w14:ligatures w14:val="none"/>
        </w:rPr>
        <w:t xml:space="preserve">respondent. </w:t>
      </w:r>
      <w:r w:rsidR="00911FD9" w:rsidRPr="00E4684D">
        <w:rPr>
          <w:rFonts w:ascii="Times New Roman" w:hAnsi="Times New Roman" w:cs="Times New Roman"/>
          <w:kern w:val="0"/>
          <w14:ligatures w14:val="none"/>
        </w:rPr>
        <w:t xml:space="preserve">The deponent also denied that the applicants were forced into the DoP validation. In their letter of 5 October 2023, the applicants acknowledged the TWG, a formation of the meeting on the Policy Framework of the Sugar </w:t>
      </w:r>
      <w:r w:rsidR="008F4C08" w:rsidRPr="00E4684D">
        <w:rPr>
          <w:rFonts w:ascii="Times New Roman" w:hAnsi="Times New Roman" w:cs="Times New Roman"/>
          <w:kern w:val="0"/>
          <w14:ligatures w14:val="none"/>
        </w:rPr>
        <w:t>Value</w:t>
      </w:r>
      <w:r w:rsidR="00911FD9" w:rsidRPr="00E4684D">
        <w:rPr>
          <w:rFonts w:ascii="Times New Roman" w:hAnsi="Times New Roman" w:cs="Times New Roman"/>
          <w:kern w:val="0"/>
          <w14:ligatures w14:val="none"/>
        </w:rPr>
        <w:t xml:space="preserve"> Chain, including División of Proceeds. </w:t>
      </w:r>
      <w:r w:rsidR="00AB1449" w:rsidRPr="00E4684D">
        <w:rPr>
          <w:rFonts w:ascii="Times New Roman" w:hAnsi="Times New Roman" w:cs="Times New Roman"/>
          <w:kern w:val="0"/>
          <w14:ligatures w14:val="none"/>
        </w:rPr>
        <w:t xml:space="preserve">The decision to carry out a DoP validation exercise was never directed by the first respondent. It was reached by consensus as part of the TWG implementation matrix. Further, the DoP being a </w:t>
      </w:r>
      <w:r w:rsidR="008F4C08" w:rsidRPr="00E4684D">
        <w:rPr>
          <w:rFonts w:ascii="Times New Roman" w:hAnsi="Times New Roman" w:cs="Times New Roman"/>
          <w:kern w:val="0"/>
          <w14:ligatures w14:val="none"/>
        </w:rPr>
        <w:t>long, drawn-out</w:t>
      </w:r>
      <w:r w:rsidR="00AB1449" w:rsidRPr="00E4684D">
        <w:rPr>
          <w:rFonts w:ascii="Times New Roman" w:hAnsi="Times New Roman" w:cs="Times New Roman"/>
          <w:kern w:val="0"/>
          <w14:ligatures w14:val="none"/>
        </w:rPr>
        <w:t xml:space="preserve"> issue of contention between the applicants and farmers, it was only proper to go </w:t>
      </w:r>
      <w:r w:rsidR="00AB1449" w:rsidRPr="00E4684D">
        <w:rPr>
          <w:rFonts w:ascii="Times New Roman" w:hAnsi="Times New Roman" w:cs="Times New Roman"/>
          <w:kern w:val="0"/>
          <w14:ligatures w14:val="none"/>
        </w:rPr>
        <w:lastRenderedPageBreak/>
        <w:t>for validation and in the process respecting the wishes of key industry players such as millers and farmers.</w:t>
      </w:r>
    </w:p>
    <w:p w14:paraId="4067F073" w14:textId="283B715C" w:rsidR="00AB1449" w:rsidRDefault="00AB1449"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 </w:t>
      </w:r>
      <w:r w:rsidR="00402533" w:rsidRPr="00E4684D">
        <w:rPr>
          <w:rFonts w:ascii="Times New Roman" w:hAnsi="Times New Roman" w:cs="Times New Roman"/>
          <w:kern w:val="0"/>
          <w14:ligatures w14:val="none"/>
        </w:rPr>
        <w:t xml:space="preserve">On the EY report, the </w:t>
      </w:r>
      <w:r w:rsidRPr="00E4684D">
        <w:rPr>
          <w:rFonts w:ascii="Times New Roman" w:hAnsi="Times New Roman" w:cs="Times New Roman"/>
          <w:kern w:val="0"/>
          <w14:ligatures w14:val="none"/>
        </w:rPr>
        <w:t xml:space="preserve">deponent also averred that it was surprised that the applicants </w:t>
      </w:r>
      <w:r w:rsidR="00402533">
        <w:rPr>
          <w:rFonts w:ascii="Times New Roman" w:hAnsi="Times New Roman" w:cs="Times New Roman"/>
          <w:kern w:val="0"/>
          <w14:ligatures w14:val="none"/>
        </w:rPr>
        <w:t xml:space="preserve">went on to submit </w:t>
      </w:r>
      <w:r w:rsidR="00402533" w:rsidRPr="00262D97">
        <w:rPr>
          <w:rFonts w:ascii="Times New Roman" w:hAnsi="Times New Roman" w:cs="Times New Roman"/>
          <w:kern w:val="0"/>
          <w14:ligatures w14:val="none"/>
        </w:rPr>
        <w:t xml:space="preserve">‘brief and concise’ submissions on the assumption that EY ‘had a background with the matter’. The </w:t>
      </w:r>
      <w:r w:rsidR="00262D97" w:rsidRPr="00262D97">
        <w:rPr>
          <w:rFonts w:ascii="Times New Roman" w:hAnsi="Times New Roman" w:cs="Times New Roman"/>
          <w:kern w:val="0"/>
          <w14:ligatures w14:val="none"/>
        </w:rPr>
        <w:t>applicants</w:t>
      </w:r>
      <w:r w:rsidR="00402533" w:rsidRPr="00262D97">
        <w:rPr>
          <w:rFonts w:ascii="Times New Roman" w:hAnsi="Times New Roman" w:cs="Times New Roman"/>
          <w:kern w:val="0"/>
          <w14:ligatures w14:val="none"/>
        </w:rPr>
        <w:t xml:space="preserve"> could not query the findings of EY and allege that the findings were flawed</w:t>
      </w:r>
      <w:r w:rsidR="00402533">
        <w:rPr>
          <w:rFonts w:ascii="Times New Roman" w:hAnsi="Times New Roman" w:cs="Times New Roman"/>
          <w:kern w:val="0"/>
          <w14:ligatures w14:val="none"/>
        </w:rPr>
        <w:t xml:space="preserve"> whilst at the same time suggesting that they assumed EY had background with the matter, presupposing that EY was going to correct </w:t>
      </w:r>
      <w:r w:rsidR="0087066F">
        <w:rPr>
          <w:rFonts w:ascii="Times New Roman" w:hAnsi="Times New Roman" w:cs="Times New Roman"/>
          <w:kern w:val="0"/>
          <w14:ligatures w14:val="none"/>
        </w:rPr>
        <w:t>its</w:t>
      </w:r>
      <w:r w:rsidR="00402533">
        <w:rPr>
          <w:rFonts w:ascii="Times New Roman" w:hAnsi="Times New Roman" w:cs="Times New Roman"/>
          <w:kern w:val="0"/>
          <w14:ligatures w14:val="none"/>
        </w:rPr>
        <w:t xml:space="preserve"> own errors in favour of the applicants. In the absence of anything to the contrary, such an assumption could only apply if the applicants had been given an assurance by EY that EY was privy to the specific errors in the findings. To expect EY to do it differently without providing them with details of the perceived specific errors was to stretch it too far. EY or the second respondent could not guess what the correct values claimed to have been understated in the EY report should be. The applicants only had themselves to blame. </w:t>
      </w:r>
    </w:p>
    <w:p w14:paraId="6763A0F8" w14:textId="50D0ABFD" w:rsidR="00402533" w:rsidRPr="00E4684D" w:rsidRDefault="00402533"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It was also averred that the selection of the second respondent was done through the TWG where decisions were made collectively by mutual agreement between the applicants and the third to thirteenth respondents’ representatives. Whilst the MOU signed by the parties specifically</w:t>
      </w:r>
      <w:r w:rsidR="00F022D6">
        <w:rPr>
          <w:rFonts w:ascii="Times New Roman" w:hAnsi="Times New Roman" w:cs="Times New Roman"/>
          <w:kern w:val="0"/>
          <w14:ligatures w14:val="none"/>
        </w:rPr>
        <w:t xml:space="preserve"> </w:t>
      </w:r>
      <w:r w:rsidR="00F022D6" w:rsidRPr="00F022D6">
        <w:rPr>
          <w:rFonts w:ascii="Times New Roman" w:hAnsi="Times New Roman" w:cs="Times New Roman"/>
          <w:kern w:val="0"/>
          <w14:ligatures w14:val="none"/>
        </w:rPr>
        <w:t xml:space="preserve">identified EY as the entity </w:t>
      </w:r>
      <w:r>
        <w:rPr>
          <w:rFonts w:ascii="Times New Roman" w:hAnsi="Times New Roman" w:cs="Times New Roman"/>
          <w:kern w:val="0"/>
          <w14:ligatures w14:val="none"/>
        </w:rPr>
        <w:t>to carry out the validation</w:t>
      </w:r>
      <w:r w:rsidR="00023A1D">
        <w:rPr>
          <w:rFonts w:ascii="Times New Roman" w:hAnsi="Times New Roman" w:cs="Times New Roman"/>
          <w:kern w:val="0"/>
          <w14:ligatures w14:val="none"/>
        </w:rPr>
        <w:t xml:space="preserve">, it was of no material consequence that the validation was done </w:t>
      </w:r>
      <w:r w:rsidR="00023A1D" w:rsidRPr="00E4684D">
        <w:rPr>
          <w:rFonts w:ascii="Times New Roman" w:hAnsi="Times New Roman" w:cs="Times New Roman"/>
          <w:kern w:val="0"/>
          <w14:ligatures w14:val="none"/>
        </w:rPr>
        <w:t xml:space="preserve">by the second respondent. In any event, the applicants fully participated in the whole process leading to the appointment of the second respondent with both parties fully aware that EY had recused themselves. The respondents also denied that they filed fresh submissions to the second respondent, insisting that the submissions dated 27 March 2024 were the same as the submissions earlier submitted save for the date. </w:t>
      </w:r>
    </w:p>
    <w:p w14:paraId="46417FD0" w14:textId="1B6E1F43" w:rsidR="00023A1D" w:rsidRPr="00E4684D" w:rsidRDefault="00023A1D"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 The respondents averred that the second respondent’s focus was confined to </w:t>
      </w:r>
      <w:r w:rsidR="00F022D6" w:rsidRPr="00F022D6">
        <w:rPr>
          <w:rFonts w:ascii="Times New Roman" w:hAnsi="Times New Roman" w:cs="Times New Roman"/>
          <w:kern w:val="0"/>
          <w14:ligatures w14:val="none"/>
        </w:rPr>
        <w:t>issues detailed in the submissions made by the millers and farmers</w:t>
      </w:r>
      <w:r w:rsidR="00F022D6">
        <w:rPr>
          <w:rFonts w:ascii="Times New Roman" w:hAnsi="Times New Roman" w:cs="Times New Roman"/>
          <w:kern w:val="0"/>
          <w14:ligatures w14:val="none"/>
        </w:rPr>
        <w:t xml:space="preserve">. </w:t>
      </w:r>
      <w:r w:rsidRPr="00E4684D">
        <w:rPr>
          <w:rFonts w:ascii="Times New Roman" w:hAnsi="Times New Roman" w:cs="Times New Roman"/>
          <w:kern w:val="0"/>
          <w14:ligatures w14:val="none"/>
        </w:rPr>
        <w:t>Whilst they were denied access to the EY report, they were furnished with a reproduced report on the ministry</w:t>
      </w:r>
      <w:r w:rsidR="00F022D6">
        <w:rPr>
          <w:rFonts w:ascii="Times New Roman" w:hAnsi="Times New Roman" w:cs="Times New Roman"/>
          <w:kern w:val="0"/>
          <w14:ligatures w14:val="none"/>
        </w:rPr>
        <w:t>’s</w:t>
      </w:r>
      <w:r w:rsidRPr="00E4684D">
        <w:rPr>
          <w:rFonts w:ascii="Times New Roman" w:hAnsi="Times New Roman" w:cs="Times New Roman"/>
          <w:kern w:val="0"/>
          <w14:ligatures w14:val="none"/>
        </w:rPr>
        <w:t xml:space="preserve"> letterhead with similar details as that on the EY letterhead. As farmers, the respondents were </w:t>
      </w:r>
      <w:r w:rsidR="00EC7DDB" w:rsidRPr="00E4684D">
        <w:rPr>
          <w:rFonts w:ascii="Times New Roman" w:hAnsi="Times New Roman" w:cs="Times New Roman"/>
          <w:kern w:val="0"/>
          <w14:ligatures w14:val="none"/>
        </w:rPr>
        <w:t xml:space="preserve">concerned that the same report denied the second respondent was now the same report forming the applicants’ record. While the respondents raised numerous issues which may not have been highlighted in the second respondent’s report, they respected the second respondent’s </w:t>
      </w:r>
      <w:r w:rsidR="00F022D6">
        <w:rPr>
          <w:rFonts w:ascii="Times New Roman" w:hAnsi="Times New Roman" w:cs="Times New Roman"/>
          <w:kern w:val="0"/>
          <w14:ligatures w14:val="none"/>
        </w:rPr>
        <w:t>findings.</w:t>
      </w:r>
      <w:r w:rsidR="00EC7DDB" w:rsidRPr="00E4684D">
        <w:rPr>
          <w:rFonts w:ascii="Times New Roman" w:hAnsi="Times New Roman" w:cs="Times New Roman"/>
          <w:kern w:val="0"/>
          <w14:ligatures w14:val="none"/>
        </w:rPr>
        <w:t xml:space="preserve"> </w:t>
      </w:r>
    </w:p>
    <w:p w14:paraId="151D687C" w14:textId="561F7479" w:rsidR="00EC7DDB" w:rsidRDefault="00EC7DDB"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color w:val="EE0000"/>
          <w:kern w:val="0"/>
          <w14:ligatures w14:val="none"/>
        </w:rPr>
        <w:t xml:space="preserve"> </w:t>
      </w:r>
      <w:r w:rsidRPr="00701E55">
        <w:rPr>
          <w:rFonts w:ascii="Times New Roman" w:hAnsi="Times New Roman" w:cs="Times New Roman"/>
          <w:kern w:val="0"/>
          <w14:ligatures w14:val="none"/>
        </w:rPr>
        <w:t xml:space="preserve">The deponent also averred that </w:t>
      </w:r>
      <w:r w:rsidR="00996C66" w:rsidRPr="00701E55">
        <w:rPr>
          <w:rFonts w:ascii="Times New Roman" w:hAnsi="Times New Roman" w:cs="Times New Roman"/>
          <w:kern w:val="0"/>
          <w14:ligatures w14:val="none"/>
        </w:rPr>
        <w:t xml:space="preserve">the EY DoP review assumed </w:t>
      </w:r>
      <w:r w:rsidR="007A7752">
        <w:rPr>
          <w:rFonts w:ascii="Times New Roman" w:hAnsi="Times New Roman" w:cs="Times New Roman"/>
          <w:kern w:val="0"/>
          <w14:ligatures w14:val="none"/>
        </w:rPr>
        <w:t xml:space="preserve">an efficient farmer whilst for the applicants the actual production volumes were applied. The respondents argued that </w:t>
      </w:r>
      <w:r w:rsidR="007A7752">
        <w:rPr>
          <w:rFonts w:ascii="Times New Roman" w:hAnsi="Times New Roman" w:cs="Times New Roman"/>
          <w:kern w:val="0"/>
          <w14:ligatures w14:val="none"/>
        </w:rPr>
        <w:lastRenderedPageBreak/>
        <w:t>mill efficiency should not be a function of the cane through put or cane production. The efficiency model assumed installed capacity. In the case of farmers, EY assumed 100 tons per hectare and ERC of 12.5%. The 640,0</w:t>
      </w:r>
      <w:r w:rsidR="008C3A61">
        <w:rPr>
          <w:rFonts w:ascii="Times New Roman" w:hAnsi="Times New Roman" w:cs="Times New Roman"/>
          <w:kern w:val="0"/>
          <w14:ligatures w14:val="none"/>
        </w:rPr>
        <w:t>0</w:t>
      </w:r>
      <w:r w:rsidR="007A7752">
        <w:rPr>
          <w:rFonts w:ascii="Times New Roman" w:hAnsi="Times New Roman" w:cs="Times New Roman"/>
          <w:kern w:val="0"/>
          <w14:ligatures w14:val="none"/>
        </w:rPr>
        <w:t xml:space="preserve">0 tons installed capacity for the applicants was well documented in published financials for one of the applicants. The third to thirteenth respondents certainly referred to the 640,000 tons in their submission. </w:t>
      </w:r>
    </w:p>
    <w:p w14:paraId="5778A7B1" w14:textId="453C6FC5" w:rsidR="007A7752" w:rsidRDefault="007A7752"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It was also submitted that the applicants were reported as the highest contributors to the Tongaat Hulett group’s profitability and history confirmed that the millers had a high profit margin of safety. Their operations or profitability would not be significantly impacted by a DoP of 80.5% to 19.5%. The industry once operated at a DoP of 82.65% to 17.35% from </w:t>
      </w:r>
      <w:r w:rsidR="00326DE3">
        <w:rPr>
          <w:rFonts w:ascii="Times New Roman" w:hAnsi="Times New Roman" w:cs="Times New Roman"/>
          <w:kern w:val="0"/>
          <w14:ligatures w14:val="none"/>
        </w:rPr>
        <w:t xml:space="preserve">2014 to 2016 and the first applicant still managed to post significant profits. The farmers were merely seeking an equitable share of revenue, leaving the strategies for profit enhancement for the milling operation to the applicants as the owners of the milling plants. It was further averred that the farmers were contending that if an assumption was applied in arriving at a common ratio impacting more than one player, it was crucial that there be consistency. What the applicants were not mentioning was that the overall profitability of their operation, which they left to the court to speculate. The applicants could not be allowed to make super profits at the expense of the farmers. </w:t>
      </w:r>
    </w:p>
    <w:p w14:paraId="1048C2B7" w14:textId="06ED46F3" w:rsidR="00326DE3" w:rsidRDefault="00326DE3"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According to the respondents, the focus was </w:t>
      </w:r>
      <w:r w:rsidR="00F8790C">
        <w:rPr>
          <w:rFonts w:ascii="Times New Roman" w:hAnsi="Times New Roman" w:cs="Times New Roman"/>
          <w:kern w:val="0"/>
          <w14:ligatures w14:val="none"/>
        </w:rPr>
        <w:t xml:space="preserve">on </w:t>
      </w:r>
      <w:r>
        <w:rPr>
          <w:rFonts w:ascii="Times New Roman" w:hAnsi="Times New Roman" w:cs="Times New Roman"/>
          <w:kern w:val="0"/>
          <w14:ligatures w14:val="none"/>
        </w:rPr>
        <w:t>arriving at an equitable ratio that was fair and just reflective of economic fundamentals inherent in the sugar production value chain. It was a given that such a DoP was inclusive of VAT even as was the case with the 77% to 23% DoP. In any event, issues of VAT were for ZIMRA’s consideration as it fell under their purview. The second respondent’s mandate was narrowly focused on the validation of the EY DoP review findings</w:t>
      </w:r>
      <w:r w:rsidR="00A12741">
        <w:rPr>
          <w:rFonts w:ascii="Times New Roman" w:hAnsi="Times New Roman" w:cs="Times New Roman"/>
          <w:kern w:val="0"/>
          <w14:ligatures w14:val="none"/>
        </w:rPr>
        <w:t xml:space="preserve">, confining themselves to the issues raised by the disputants in their submissions. </w:t>
      </w:r>
      <w:r w:rsidR="00960ED5">
        <w:rPr>
          <w:rFonts w:ascii="Times New Roman" w:hAnsi="Times New Roman" w:cs="Times New Roman"/>
          <w:kern w:val="0"/>
          <w14:ligatures w14:val="none"/>
        </w:rPr>
        <w:t>T</w:t>
      </w:r>
      <w:r w:rsidR="00A12741">
        <w:rPr>
          <w:rFonts w:ascii="Times New Roman" w:hAnsi="Times New Roman" w:cs="Times New Roman"/>
          <w:kern w:val="0"/>
          <w14:ligatures w14:val="none"/>
        </w:rPr>
        <w:t xml:space="preserve">heir mandate was not to extend into the DoP review. </w:t>
      </w:r>
    </w:p>
    <w:p w14:paraId="556EBB7B" w14:textId="523E55D2" w:rsidR="00D61005" w:rsidRPr="00D61005" w:rsidRDefault="00D61005" w:rsidP="00D61005">
      <w:pPr>
        <w:pStyle w:val="ListParagraph"/>
        <w:tabs>
          <w:tab w:val="left" w:pos="426"/>
        </w:tabs>
        <w:spacing w:after="0" w:line="360" w:lineRule="auto"/>
        <w:ind w:left="0"/>
        <w:jc w:val="both"/>
        <w:rPr>
          <w:rFonts w:ascii="Times New Roman" w:hAnsi="Times New Roman" w:cs="Times New Roman"/>
          <w:b/>
          <w:bCs/>
          <w:kern w:val="0"/>
          <w:u w:val="single"/>
          <w14:ligatures w14:val="none"/>
        </w:rPr>
      </w:pPr>
      <w:r>
        <w:rPr>
          <w:rFonts w:ascii="Times New Roman" w:hAnsi="Times New Roman" w:cs="Times New Roman"/>
          <w:b/>
          <w:bCs/>
          <w:kern w:val="0"/>
          <w:u w:val="single"/>
          <w14:ligatures w14:val="none"/>
        </w:rPr>
        <w:t xml:space="preserve">The </w:t>
      </w:r>
      <w:r w:rsidR="00960ED5">
        <w:rPr>
          <w:rFonts w:ascii="Times New Roman" w:hAnsi="Times New Roman" w:cs="Times New Roman"/>
          <w:b/>
          <w:bCs/>
          <w:kern w:val="0"/>
          <w:u w:val="single"/>
          <w14:ligatures w14:val="none"/>
        </w:rPr>
        <w:t>s</w:t>
      </w:r>
      <w:r>
        <w:rPr>
          <w:rFonts w:ascii="Times New Roman" w:hAnsi="Times New Roman" w:cs="Times New Roman"/>
          <w:b/>
          <w:bCs/>
          <w:kern w:val="0"/>
          <w:u w:val="single"/>
          <w14:ligatures w14:val="none"/>
        </w:rPr>
        <w:t xml:space="preserve">ubmissions </w:t>
      </w:r>
      <w:r w:rsidR="003A47AA">
        <w:rPr>
          <w:rFonts w:ascii="Times New Roman" w:hAnsi="Times New Roman" w:cs="Times New Roman"/>
          <w:b/>
          <w:bCs/>
          <w:kern w:val="0"/>
          <w:u w:val="single"/>
          <w14:ligatures w14:val="none"/>
        </w:rPr>
        <w:t xml:space="preserve">on the </w:t>
      </w:r>
      <w:r w:rsidR="00960ED5">
        <w:rPr>
          <w:rFonts w:ascii="Times New Roman" w:hAnsi="Times New Roman" w:cs="Times New Roman"/>
          <w:b/>
          <w:bCs/>
          <w:kern w:val="0"/>
          <w:u w:val="single"/>
          <w14:ligatures w14:val="none"/>
        </w:rPr>
        <w:t xml:space="preserve">preliminary points </w:t>
      </w:r>
    </w:p>
    <w:p w14:paraId="5A05C5C8" w14:textId="4C9F0386" w:rsidR="00475886" w:rsidRDefault="00960ED5"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first respondent raised two preliminary points in its heads of argument. The first was that the application was bad in law. It was submitted that what was before the court was a</w:t>
      </w:r>
      <w:r w:rsidR="008F4C08">
        <w:rPr>
          <w:rFonts w:ascii="Times New Roman" w:hAnsi="Times New Roman" w:cs="Times New Roman"/>
          <w:kern w:val="0"/>
          <w14:ligatures w14:val="none"/>
        </w:rPr>
        <w:t>n</w:t>
      </w:r>
      <w:r>
        <w:rPr>
          <w:rFonts w:ascii="Times New Roman" w:hAnsi="Times New Roman" w:cs="Times New Roman"/>
          <w:kern w:val="0"/>
          <w14:ligatures w14:val="none"/>
        </w:rPr>
        <w:t xml:space="preserve"> application for</w:t>
      </w:r>
      <w:r w:rsidR="00EE29B0">
        <w:rPr>
          <w:rFonts w:ascii="Times New Roman" w:hAnsi="Times New Roman" w:cs="Times New Roman"/>
          <w:kern w:val="0"/>
          <w14:ligatures w14:val="none"/>
        </w:rPr>
        <w:t xml:space="preserve"> review cleverly clothed as one for a </w:t>
      </w:r>
      <w:r w:rsidRPr="00EE29B0">
        <w:rPr>
          <w:rFonts w:ascii="Times New Roman" w:hAnsi="Times New Roman" w:cs="Times New Roman"/>
          <w:i/>
          <w:iCs/>
          <w:kern w:val="0"/>
          <w14:ligatures w14:val="none"/>
        </w:rPr>
        <w:t>declaratur</w:t>
      </w:r>
      <w:r w:rsidR="00EE29B0">
        <w:rPr>
          <w:rFonts w:ascii="Times New Roman" w:hAnsi="Times New Roman" w:cs="Times New Roman"/>
          <w:kern w:val="0"/>
          <w14:ligatures w14:val="none"/>
        </w:rPr>
        <w:t xml:space="preserve">. </w:t>
      </w:r>
      <w:r w:rsidR="005C5ADE">
        <w:rPr>
          <w:rFonts w:ascii="Times New Roman" w:hAnsi="Times New Roman" w:cs="Times New Roman"/>
          <w:kern w:val="0"/>
          <w14:ligatures w14:val="none"/>
        </w:rPr>
        <w:t xml:space="preserve">The </w:t>
      </w:r>
      <w:r w:rsidR="005C5ADE" w:rsidRPr="00EE29B0">
        <w:rPr>
          <w:rFonts w:ascii="Times New Roman" w:hAnsi="Times New Roman" w:cs="Times New Roman"/>
          <w:kern w:val="0"/>
          <w14:ligatures w14:val="none"/>
        </w:rPr>
        <w:t>substance</w:t>
      </w:r>
      <w:r w:rsidR="00EE29B0">
        <w:rPr>
          <w:rFonts w:ascii="Times New Roman" w:hAnsi="Times New Roman" w:cs="Times New Roman"/>
          <w:kern w:val="0"/>
          <w14:ligatures w14:val="none"/>
        </w:rPr>
        <w:t xml:space="preserve"> of the application showed that it was an application for review. </w:t>
      </w:r>
      <w:r w:rsidR="005C5ADE">
        <w:rPr>
          <w:rFonts w:ascii="Times New Roman" w:hAnsi="Times New Roman" w:cs="Times New Roman"/>
          <w:kern w:val="0"/>
          <w14:ligatures w14:val="none"/>
        </w:rPr>
        <w:t>A perusal of the founding affidavit showed that the applicants</w:t>
      </w:r>
      <w:r w:rsidR="00475886">
        <w:rPr>
          <w:rFonts w:ascii="Times New Roman" w:hAnsi="Times New Roman" w:cs="Times New Roman"/>
          <w:kern w:val="0"/>
          <w14:ligatures w14:val="none"/>
        </w:rPr>
        <w:t xml:space="preserve"> complained about the following: lack of jurisdiction on the part of the first respondent to determine the DoP ratios; gross irregularities in the appointment of the second respondent and the process of calculating the DoP ratio adopted by the second respondent and the alleged bias. </w:t>
      </w:r>
    </w:p>
    <w:p w14:paraId="766ADEF4" w14:textId="663CC6B2" w:rsidR="00D61005" w:rsidRDefault="00475886"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9434B1">
        <w:rPr>
          <w:rFonts w:ascii="Times New Roman" w:hAnsi="Times New Roman" w:cs="Times New Roman"/>
          <w:kern w:val="0"/>
          <w14:ligatures w14:val="none"/>
        </w:rPr>
        <w:lastRenderedPageBreak/>
        <w:t xml:space="preserve"> In his submissions, </w:t>
      </w:r>
      <w:r w:rsidRPr="0041767F">
        <w:rPr>
          <w:rFonts w:ascii="Times New Roman" w:hAnsi="Times New Roman" w:cs="Times New Roman"/>
          <w:i/>
          <w:iCs/>
          <w:kern w:val="0"/>
          <w14:ligatures w14:val="none"/>
        </w:rPr>
        <w:t>Mr</w:t>
      </w:r>
      <w:r w:rsidRPr="009434B1">
        <w:rPr>
          <w:rFonts w:ascii="Times New Roman" w:hAnsi="Times New Roman" w:cs="Times New Roman"/>
          <w:kern w:val="0"/>
          <w14:ligatures w14:val="none"/>
        </w:rPr>
        <w:t xml:space="preserve"> </w:t>
      </w:r>
      <w:r w:rsidRPr="009434B1">
        <w:rPr>
          <w:rFonts w:ascii="Times New Roman" w:hAnsi="Times New Roman" w:cs="Times New Roman"/>
          <w:i/>
          <w:iCs/>
          <w:kern w:val="0"/>
          <w14:ligatures w14:val="none"/>
        </w:rPr>
        <w:t>Madhuku</w:t>
      </w:r>
      <w:r w:rsidRPr="009434B1">
        <w:rPr>
          <w:rFonts w:ascii="Times New Roman" w:hAnsi="Times New Roman" w:cs="Times New Roman"/>
          <w:kern w:val="0"/>
          <w14:ligatures w14:val="none"/>
        </w:rPr>
        <w:t xml:space="preserve"> for the first respondent submitted that from a reading of paragraph 6 of the founding affidavit, it was clear that the application sought relief by way of review and </w:t>
      </w:r>
      <w:r w:rsidRPr="009434B1">
        <w:rPr>
          <w:rFonts w:ascii="Times New Roman" w:hAnsi="Times New Roman" w:cs="Times New Roman"/>
          <w:i/>
          <w:iCs/>
          <w:kern w:val="0"/>
          <w14:ligatures w14:val="none"/>
        </w:rPr>
        <w:t>declaratur</w:t>
      </w:r>
      <w:r w:rsidRPr="009434B1">
        <w:rPr>
          <w:rFonts w:ascii="Times New Roman" w:hAnsi="Times New Roman" w:cs="Times New Roman"/>
          <w:kern w:val="0"/>
          <w14:ligatures w14:val="none"/>
        </w:rPr>
        <w:t xml:space="preserve">.  What was before the court was therefore a combination of two applications. Counsel further submitted that it was irregular to </w:t>
      </w:r>
      <w:r w:rsidR="00530B6A" w:rsidRPr="009434B1">
        <w:rPr>
          <w:rFonts w:ascii="Times New Roman" w:hAnsi="Times New Roman" w:cs="Times New Roman"/>
          <w:kern w:val="0"/>
          <w14:ligatures w14:val="none"/>
        </w:rPr>
        <w:t xml:space="preserve">combine a review under s 4 of the AJA and a </w:t>
      </w:r>
      <w:r w:rsidR="00530B6A" w:rsidRPr="009434B1">
        <w:rPr>
          <w:rFonts w:ascii="Times New Roman" w:hAnsi="Times New Roman" w:cs="Times New Roman"/>
          <w:i/>
          <w:iCs/>
          <w:kern w:val="0"/>
          <w14:ligatures w14:val="none"/>
        </w:rPr>
        <w:t>declaratur</w:t>
      </w:r>
      <w:r w:rsidR="00530B6A" w:rsidRPr="009434B1">
        <w:rPr>
          <w:rFonts w:ascii="Times New Roman" w:hAnsi="Times New Roman" w:cs="Times New Roman"/>
          <w:kern w:val="0"/>
          <w14:ligatures w14:val="none"/>
        </w:rPr>
        <w:t xml:space="preserve"> under s 14 of the High Court Act. </w:t>
      </w:r>
      <w:r w:rsidR="0091546B" w:rsidRPr="009434B1">
        <w:rPr>
          <w:rFonts w:ascii="Times New Roman" w:hAnsi="Times New Roman" w:cs="Times New Roman"/>
          <w:kern w:val="0"/>
          <w14:ligatures w14:val="none"/>
        </w:rPr>
        <w:t xml:space="preserve">It was further submitted that an application for review had to comply with r 62 of the High Court </w:t>
      </w:r>
      <w:r w:rsidR="00F8790C">
        <w:rPr>
          <w:rFonts w:ascii="Times New Roman" w:hAnsi="Times New Roman" w:cs="Times New Roman"/>
          <w:kern w:val="0"/>
          <w14:ligatures w14:val="none"/>
        </w:rPr>
        <w:t>R</w:t>
      </w:r>
      <w:r w:rsidR="0091546B" w:rsidRPr="009434B1">
        <w:rPr>
          <w:rFonts w:ascii="Times New Roman" w:hAnsi="Times New Roman" w:cs="Times New Roman"/>
          <w:kern w:val="0"/>
          <w14:ligatures w14:val="none"/>
        </w:rPr>
        <w:t>ules</w:t>
      </w:r>
      <w:r w:rsidR="009434B1" w:rsidRPr="009434B1">
        <w:rPr>
          <w:rFonts w:ascii="Times New Roman" w:hAnsi="Times New Roman" w:cs="Times New Roman"/>
          <w:kern w:val="0"/>
          <w14:ligatures w14:val="none"/>
        </w:rPr>
        <w:t>, and that was mandatory</w:t>
      </w:r>
      <w:r w:rsidR="0091546B" w:rsidRPr="009434B1">
        <w:rPr>
          <w:rFonts w:ascii="Times New Roman" w:hAnsi="Times New Roman" w:cs="Times New Roman"/>
          <w:kern w:val="0"/>
          <w14:ligatures w14:val="none"/>
        </w:rPr>
        <w:t xml:space="preserve">. The grounds for review had to be set out on the face of the application. </w:t>
      </w:r>
    </w:p>
    <w:p w14:paraId="1BAA03B7" w14:textId="38761209" w:rsidR="009434B1" w:rsidRPr="009434B1" w:rsidRDefault="009434B1"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Pr="0041767F">
        <w:rPr>
          <w:rFonts w:ascii="Times New Roman" w:hAnsi="Times New Roman" w:cs="Times New Roman"/>
          <w:i/>
          <w:iCs/>
          <w:kern w:val="0"/>
          <w14:ligatures w14:val="none"/>
        </w:rPr>
        <w:t xml:space="preserve">Mr </w:t>
      </w:r>
      <w:r w:rsidRPr="00590B79">
        <w:rPr>
          <w:rFonts w:ascii="Times New Roman" w:hAnsi="Times New Roman" w:cs="Times New Roman"/>
          <w:i/>
          <w:iCs/>
          <w:kern w:val="0"/>
          <w14:ligatures w14:val="none"/>
        </w:rPr>
        <w:t>Madhuku</w:t>
      </w:r>
      <w:r>
        <w:rPr>
          <w:rFonts w:ascii="Times New Roman" w:hAnsi="Times New Roman" w:cs="Times New Roman"/>
          <w:kern w:val="0"/>
          <w14:ligatures w14:val="none"/>
        </w:rPr>
        <w:t xml:space="preserve"> further submitted that one could not combine two causes of action, that is a </w:t>
      </w:r>
      <w:r w:rsidRPr="009434B1">
        <w:rPr>
          <w:rFonts w:ascii="Times New Roman" w:hAnsi="Times New Roman" w:cs="Times New Roman"/>
          <w:i/>
          <w:iCs/>
          <w:kern w:val="0"/>
          <w14:ligatures w14:val="none"/>
        </w:rPr>
        <w:t xml:space="preserve">declaratur </w:t>
      </w:r>
      <w:r>
        <w:rPr>
          <w:rFonts w:ascii="Times New Roman" w:hAnsi="Times New Roman" w:cs="Times New Roman"/>
          <w:kern w:val="0"/>
          <w14:ligatures w14:val="none"/>
        </w:rPr>
        <w:t xml:space="preserve">and a review without being clear on what remedy they </w:t>
      </w:r>
      <w:r w:rsidR="0041767F">
        <w:rPr>
          <w:rFonts w:ascii="Times New Roman" w:hAnsi="Times New Roman" w:cs="Times New Roman"/>
          <w:kern w:val="0"/>
          <w14:ligatures w14:val="none"/>
        </w:rPr>
        <w:t xml:space="preserve">were seeking </w:t>
      </w:r>
      <w:r>
        <w:rPr>
          <w:rFonts w:ascii="Times New Roman" w:hAnsi="Times New Roman" w:cs="Times New Roman"/>
          <w:kern w:val="0"/>
          <w14:ligatures w14:val="none"/>
        </w:rPr>
        <w:t xml:space="preserve">before the court. </w:t>
      </w:r>
    </w:p>
    <w:p w14:paraId="4A49D3AE" w14:textId="6E72CA11" w:rsidR="00A726CB" w:rsidRDefault="0012026F"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Still on the same point, </w:t>
      </w:r>
      <w:r w:rsidRPr="0041767F">
        <w:rPr>
          <w:rFonts w:ascii="Times New Roman" w:hAnsi="Times New Roman" w:cs="Times New Roman"/>
          <w:i/>
          <w:iCs/>
          <w:kern w:val="0"/>
          <w14:ligatures w14:val="none"/>
        </w:rPr>
        <w:t xml:space="preserve">Mr </w:t>
      </w:r>
      <w:r w:rsidRPr="0012026F">
        <w:rPr>
          <w:rFonts w:ascii="Times New Roman" w:hAnsi="Times New Roman" w:cs="Times New Roman"/>
          <w:i/>
          <w:iCs/>
          <w:kern w:val="0"/>
          <w14:ligatures w14:val="none"/>
        </w:rPr>
        <w:t>Madzoka</w:t>
      </w:r>
      <w:r>
        <w:rPr>
          <w:rFonts w:ascii="Times New Roman" w:hAnsi="Times New Roman" w:cs="Times New Roman"/>
          <w:kern w:val="0"/>
          <w14:ligatures w14:val="none"/>
        </w:rPr>
        <w:t xml:space="preserve"> for the third to thirteenth respondents submitted as follows. The application before the court was </w:t>
      </w:r>
      <w:r w:rsidR="00F8790C">
        <w:rPr>
          <w:rFonts w:ascii="Times New Roman" w:hAnsi="Times New Roman" w:cs="Times New Roman"/>
          <w:kern w:val="0"/>
          <w14:ligatures w14:val="none"/>
        </w:rPr>
        <w:t xml:space="preserve">brought </w:t>
      </w:r>
      <w:r>
        <w:rPr>
          <w:rFonts w:ascii="Times New Roman" w:hAnsi="Times New Roman" w:cs="Times New Roman"/>
          <w:kern w:val="0"/>
          <w14:ligatures w14:val="none"/>
        </w:rPr>
        <w:t>in terms of s 4 of the AJA. To that end, it was one for judicial review. The applicants’ own submissions confirmed it was one for review. Counsel pointed to several instances in the applicants’ heads of argument where</w:t>
      </w:r>
      <w:r w:rsidR="0041767F">
        <w:rPr>
          <w:rFonts w:ascii="Times New Roman" w:hAnsi="Times New Roman" w:cs="Times New Roman"/>
          <w:kern w:val="0"/>
          <w14:ligatures w14:val="none"/>
        </w:rPr>
        <w:t xml:space="preserve"> </w:t>
      </w:r>
      <w:r>
        <w:rPr>
          <w:rFonts w:ascii="Times New Roman" w:hAnsi="Times New Roman" w:cs="Times New Roman"/>
          <w:kern w:val="0"/>
          <w14:ligatures w14:val="none"/>
        </w:rPr>
        <w:t>specific reference</w:t>
      </w:r>
      <w:r w:rsidR="0041767F">
        <w:rPr>
          <w:rFonts w:ascii="Times New Roman" w:hAnsi="Times New Roman" w:cs="Times New Roman"/>
          <w:kern w:val="0"/>
          <w14:ligatures w14:val="none"/>
        </w:rPr>
        <w:t xml:space="preserve"> was made to</w:t>
      </w:r>
      <w:r>
        <w:rPr>
          <w:rFonts w:ascii="Times New Roman" w:hAnsi="Times New Roman" w:cs="Times New Roman"/>
          <w:kern w:val="0"/>
          <w14:ligatures w14:val="none"/>
        </w:rPr>
        <w:t xml:space="preserve"> judicial review. </w:t>
      </w:r>
    </w:p>
    <w:p w14:paraId="5C05C5EC" w14:textId="393DB07B" w:rsidR="0012026F" w:rsidRPr="00860B2B" w:rsidRDefault="001F6453"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Pr="0041767F">
        <w:rPr>
          <w:rFonts w:ascii="Times New Roman" w:hAnsi="Times New Roman" w:cs="Times New Roman"/>
          <w:i/>
          <w:iCs/>
          <w:kern w:val="0"/>
          <w14:ligatures w14:val="none"/>
        </w:rPr>
        <w:t>Mr</w:t>
      </w:r>
      <w:r>
        <w:rPr>
          <w:rFonts w:ascii="Times New Roman" w:hAnsi="Times New Roman" w:cs="Times New Roman"/>
          <w:kern w:val="0"/>
          <w14:ligatures w14:val="none"/>
        </w:rPr>
        <w:t xml:space="preserve"> </w:t>
      </w:r>
      <w:r w:rsidRPr="001F6453">
        <w:rPr>
          <w:rFonts w:ascii="Times New Roman" w:hAnsi="Times New Roman" w:cs="Times New Roman"/>
          <w:i/>
          <w:iCs/>
          <w:kern w:val="0"/>
          <w14:ligatures w14:val="none"/>
        </w:rPr>
        <w:t xml:space="preserve">Madzoka </w:t>
      </w:r>
      <w:r>
        <w:rPr>
          <w:rFonts w:ascii="Times New Roman" w:hAnsi="Times New Roman" w:cs="Times New Roman"/>
          <w:kern w:val="0"/>
          <w14:ligatures w14:val="none"/>
        </w:rPr>
        <w:t xml:space="preserve">further submitted that the </w:t>
      </w:r>
      <w:r w:rsidRPr="00860B2B">
        <w:rPr>
          <w:rFonts w:ascii="Times New Roman" w:hAnsi="Times New Roman" w:cs="Times New Roman"/>
          <w:kern w:val="0"/>
          <w14:ligatures w14:val="none"/>
        </w:rPr>
        <w:t xml:space="preserve">applicants ought to have complied with </w:t>
      </w:r>
      <w:r w:rsidR="00F8790C">
        <w:rPr>
          <w:rFonts w:ascii="Times New Roman" w:hAnsi="Times New Roman" w:cs="Times New Roman"/>
          <w:kern w:val="0"/>
          <w14:ligatures w14:val="none"/>
        </w:rPr>
        <w:t>rr 62 and 95 o</w:t>
      </w:r>
      <w:r w:rsidRPr="00860B2B">
        <w:rPr>
          <w:rFonts w:ascii="Times New Roman" w:hAnsi="Times New Roman" w:cs="Times New Roman"/>
          <w:kern w:val="0"/>
          <w14:ligatures w14:val="none"/>
        </w:rPr>
        <w:t>f the High Court rules which deal</w:t>
      </w:r>
      <w:r w:rsidR="008F4C08">
        <w:rPr>
          <w:rFonts w:ascii="Times New Roman" w:hAnsi="Times New Roman" w:cs="Times New Roman"/>
          <w:kern w:val="0"/>
          <w14:ligatures w14:val="none"/>
        </w:rPr>
        <w:t>t</w:t>
      </w:r>
      <w:r w:rsidRPr="00860B2B">
        <w:rPr>
          <w:rFonts w:ascii="Times New Roman" w:hAnsi="Times New Roman" w:cs="Times New Roman"/>
          <w:kern w:val="0"/>
          <w14:ligatures w14:val="none"/>
        </w:rPr>
        <w:t xml:space="preserve"> with judicial review. The mere fact that the application was made in terms of s 4 of the AJA did not </w:t>
      </w:r>
      <w:r w:rsidR="008F4C08">
        <w:rPr>
          <w:rFonts w:ascii="Times New Roman" w:hAnsi="Times New Roman" w:cs="Times New Roman"/>
          <w:kern w:val="0"/>
          <w14:ligatures w14:val="none"/>
        </w:rPr>
        <w:t>excuse</w:t>
      </w:r>
      <w:r w:rsidRPr="00860B2B">
        <w:rPr>
          <w:rFonts w:ascii="Times New Roman" w:hAnsi="Times New Roman" w:cs="Times New Roman"/>
          <w:kern w:val="0"/>
          <w14:ligatures w14:val="none"/>
        </w:rPr>
        <w:t xml:space="preserve"> the applicants from complying with the said provisions of the rules. </w:t>
      </w:r>
    </w:p>
    <w:p w14:paraId="79472C2D" w14:textId="456B9934" w:rsidR="001F6453" w:rsidRPr="00860B2B" w:rsidRDefault="001F6453"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Counsel also submitted that at any rate, the decision that the applicants sought to have reviewed was </w:t>
      </w:r>
      <w:r w:rsidR="00F8790C" w:rsidRPr="008F4C08">
        <w:rPr>
          <w:rFonts w:ascii="Times New Roman" w:hAnsi="Times New Roman" w:cs="Times New Roman"/>
          <w:kern w:val="0"/>
          <w14:ligatures w14:val="none"/>
        </w:rPr>
        <w:t xml:space="preserve">merely </w:t>
      </w:r>
      <w:r w:rsidRPr="008F4C08">
        <w:rPr>
          <w:rFonts w:ascii="Times New Roman" w:hAnsi="Times New Roman" w:cs="Times New Roman"/>
          <w:kern w:val="0"/>
          <w14:ligatures w14:val="none"/>
        </w:rPr>
        <w:t>an opinion</w:t>
      </w:r>
      <w:r w:rsidRPr="00860B2B">
        <w:rPr>
          <w:rFonts w:ascii="Times New Roman" w:hAnsi="Times New Roman" w:cs="Times New Roman"/>
          <w:kern w:val="0"/>
          <w14:ligatures w14:val="none"/>
        </w:rPr>
        <w:t xml:space="preserve"> of the second respondent which was made at the instance of the first respondent. The applicants had no right to seek a review of </w:t>
      </w:r>
      <w:r w:rsidR="001678F6" w:rsidRPr="00860B2B">
        <w:rPr>
          <w:rFonts w:ascii="Times New Roman" w:hAnsi="Times New Roman" w:cs="Times New Roman"/>
          <w:kern w:val="0"/>
          <w14:ligatures w14:val="none"/>
        </w:rPr>
        <w:t>an opinion of the second respondent.</w:t>
      </w:r>
    </w:p>
    <w:p w14:paraId="61AC8550" w14:textId="16CD86A1" w:rsidR="001678F6" w:rsidRDefault="001678F6"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In his response, </w:t>
      </w:r>
      <w:r w:rsidRPr="0041767F">
        <w:rPr>
          <w:rFonts w:ascii="Times New Roman" w:hAnsi="Times New Roman" w:cs="Times New Roman"/>
          <w:i/>
          <w:iCs/>
          <w:kern w:val="0"/>
          <w14:ligatures w14:val="none"/>
        </w:rPr>
        <w:t xml:space="preserve">Mr </w:t>
      </w:r>
      <w:r w:rsidRPr="00860B2B">
        <w:rPr>
          <w:rFonts w:ascii="Times New Roman" w:hAnsi="Times New Roman" w:cs="Times New Roman"/>
          <w:i/>
          <w:iCs/>
          <w:kern w:val="0"/>
          <w14:ligatures w14:val="none"/>
        </w:rPr>
        <w:t xml:space="preserve">Mpofu </w:t>
      </w:r>
      <w:r w:rsidRPr="00860B2B">
        <w:rPr>
          <w:rFonts w:ascii="Times New Roman" w:hAnsi="Times New Roman" w:cs="Times New Roman"/>
          <w:kern w:val="0"/>
          <w14:ligatures w14:val="none"/>
        </w:rPr>
        <w:t xml:space="preserve">for the applicants submitted that paragraph 6 of the founding affidavit was clear on what </w:t>
      </w:r>
      <w:r w:rsidR="008F4C08">
        <w:rPr>
          <w:rFonts w:ascii="Times New Roman" w:hAnsi="Times New Roman" w:cs="Times New Roman"/>
          <w:kern w:val="0"/>
          <w14:ligatures w14:val="none"/>
        </w:rPr>
        <w:t xml:space="preserve">the </w:t>
      </w:r>
      <w:r w:rsidRPr="00860B2B">
        <w:rPr>
          <w:rFonts w:ascii="Times New Roman" w:hAnsi="Times New Roman" w:cs="Times New Roman"/>
          <w:kern w:val="0"/>
          <w14:ligatures w14:val="none"/>
        </w:rPr>
        <w:t>application before the court</w:t>
      </w:r>
      <w:r w:rsidR="008F4C08">
        <w:rPr>
          <w:rFonts w:ascii="Times New Roman" w:hAnsi="Times New Roman" w:cs="Times New Roman"/>
          <w:kern w:val="0"/>
          <w14:ligatures w14:val="none"/>
        </w:rPr>
        <w:t xml:space="preserve"> was</w:t>
      </w:r>
      <w:r w:rsidRPr="00860B2B">
        <w:rPr>
          <w:rFonts w:ascii="Times New Roman" w:hAnsi="Times New Roman" w:cs="Times New Roman"/>
          <w:kern w:val="0"/>
          <w14:ligatures w14:val="none"/>
        </w:rPr>
        <w:t xml:space="preserve">. </w:t>
      </w:r>
      <w:r w:rsidR="003A47AA" w:rsidRPr="00860B2B">
        <w:rPr>
          <w:rFonts w:ascii="Times New Roman" w:hAnsi="Times New Roman" w:cs="Times New Roman"/>
          <w:kern w:val="0"/>
          <w14:ligatures w14:val="none"/>
        </w:rPr>
        <w:t xml:space="preserve">Once it was accepted that the application was filed under s 4 of the AJA, then it was not necessary to bring it within the ambit of the High Court rules. Counsel referred to the case of </w:t>
      </w:r>
      <w:r w:rsidR="003A47AA" w:rsidRPr="00860B2B">
        <w:rPr>
          <w:rFonts w:ascii="Times New Roman" w:hAnsi="Times New Roman" w:cs="Times New Roman"/>
          <w:i/>
          <w:iCs/>
          <w:kern w:val="0"/>
          <w14:ligatures w14:val="none"/>
        </w:rPr>
        <w:t>Gwarazimba N.O. v Gurta A.G.</w:t>
      </w:r>
      <w:r w:rsidR="005833FA" w:rsidRPr="00860B2B">
        <w:rPr>
          <w:rStyle w:val="FootnoteReference"/>
          <w:rFonts w:ascii="Times New Roman" w:hAnsi="Times New Roman" w:cs="Times New Roman"/>
          <w:i/>
          <w:iCs/>
          <w:kern w:val="0"/>
          <w14:ligatures w14:val="none"/>
        </w:rPr>
        <w:footnoteReference w:id="2"/>
      </w:r>
      <w:r w:rsidR="003A47AA" w:rsidRPr="00860B2B">
        <w:rPr>
          <w:rFonts w:ascii="Times New Roman" w:hAnsi="Times New Roman" w:cs="Times New Roman"/>
          <w:kern w:val="0"/>
          <w14:ligatures w14:val="none"/>
        </w:rPr>
        <w:t xml:space="preserve"> to support this point. Counsel also submitted that an application for a </w:t>
      </w:r>
      <w:r w:rsidR="003A47AA" w:rsidRPr="00860B2B">
        <w:rPr>
          <w:rFonts w:ascii="Times New Roman" w:hAnsi="Times New Roman" w:cs="Times New Roman"/>
          <w:i/>
          <w:iCs/>
          <w:kern w:val="0"/>
          <w14:ligatures w14:val="none"/>
        </w:rPr>
        <w:t>declaratur</w:t>
      </w:r>
      <w:r w:rsidR="003A47AA" w:rsidRPr="00860B2B">
        <w:rPr>
          <w:rFonts w:ascii="Times New Roman" w:hAnsi="Times New Roman" w:cs="Times New Roman"/>
          <w:kern w:val="0"/>
          <w14:ligatures w14:val="none"/>
        </w:rPr>
        <w:t xml:space="preserve"> could also be brought under s 4 of the AJA. </w:t>
      </w:r>
    </w:p>
    <w:p w14:paraId="5BA13F3A" w14:textId="20070DB6" w:rsidR="003A47AA" w:rsidRPr="00860B2B" w:rsidRDefault="00A70296" w:rsidP="003A47AA">
      <w:pPr>
        <w:pStyle w:val="ListParagraph"/>
        <w:tabs>
          <w:tab w:val="left" w:pos="426"/>
        </w:tabs>
        <w:spacing w:after="0" w:line="360" w:lineRule="auto"/>
        <w:ind w:left="0"/>
        <w:jc w:val="both"/>
        <w:rPr>
          <w:rFonts w:ascii="Times New Roman" w:hAnsi="Times New Roman" w:cs="Times New Roman"/>
          <w:b/>
          <w:bCs/>
          <w:kern w:val="0"/>
          <w:u w:val="single"/>
          <w14:ligatures w14:val="none"/>
        </w:rPr>
      </w:pPr>
      <w:r>
        <w:rPr>
          <w:rFonts w:ascii="Times New Roman" w:hAnsi="Times New Roman" w:cs="Times New Roman"/>
          <w:b/>
          <w:bCs/>
          <w:kern w:val="0"/>
          <w:u w:val="single"/>
          <w14:ligatures w14:val="none"/>
        </w:rPr>
        <w:t>A</w:t>
      </w:r>
      <w:r w:rsidR="003A47AA" w:rsidRPr="00860B2B">
        <w:rPr>
          <w:rFonts w:ascii="Times New Roman" w:hAnsi="Times New Roman" w:cs="Times New Roman"/>
          <w:b/>
          <w:bCs/>
          <w:kern w:val="0"/>
          <w:u w:val="single"/>
          <w14:ligatures w14:val="none"/>
        </w:rPr>
        <w:t>nalysis of the preliminary point</w:t>
      </w:r>
      <w:r w:rsidR="008F4C08">
        <w:rPr>
          <w:rFonts w:ascii="Times New Roman" w:hAnsi="Times New Roman" w:cs="Times New Roman"/>
          <w:b/>
          <w:bCs/>
          <w:kern w:val="0"/>
          <w:u w:val="single"/>
          <w14:ligatures w14:val="none"/>
        </w:rPr>
        <w:t xml:space="preserve"> whether the application was properly before the court</w:t>
      </w:r>
    </w:p>
    <w:p w14:paraId="1295F8D1" w14:textId="7CFBE7B3" w:rsidR="003A47AA" w:rsidRPr="00860B2B" w:rsidRDefault="003A47AA" w:rsidP="008759C7">
      <w:pPr>
        <w:pStyle w:val="ListParagraph"/>
        <w:numPr>
          <w:ilvl w:val="0"/>
          <w:numId w:val="12"/>
        </w:numPr>
        <w:tabs>
          <w:tab w:val="left" w:pos="426"/>
        </w:tabs>
        <w:spacing w:after="0" w:line="360" w:lineRule="auto"/>
        <w:ind w:left="0" w:firstLine="0"/>
        <w:jc w:val="both"/>
        <w:rPr>
          <w:rFonts w:ascii="Times New Roman" w:hAnsi="Times New Roman" w:cs="Times New Roman"/>
          <w:b/>
          <w:bCs/>
          <w:kern w:val="0"/>
          <w14:ligatures w14:val="none"/>
        </w:rPr>
      </w:pPr>
      <w:r w:rsidRPr="00860B2B">
        <w:rPr>
          <w:rFonts w:ascii="Times New Roman" w:hAnsi="Times New Roman" w:cs="Times New Roman"/>
          <w:kern w:val="0"/>
          <w14:ligatures w14:val="none"/>
        </w:rPr>
        <w:lastRenderedPageBreak/>
        <w:t xml:space="preserve"> The issue for determination arising from the preliminary point is whether there was a proper application before the court. To resolve that issue, it is critical to understand </w:t>
      </w:r>
      <w:r w:rsidR="0041767F">
        <w:rPr>
          <w:rFonts w:ascii="Times New Roman" w:hAnsi="Times New Roman" w:cs="Times New Roman"/>
          <w:kern w:val="0"/>
          <w14:ligatures w14:val="none"/>
        </w:rPr>
        <w:t xml:space="preserve">the nature of the </w:t>
      </w:r>
      <w:r w:rsidRPr="00860B2B">
        <w:rPr>
          <w:rFonts w:ascii="Times New Roman" w:hAnsi="Times New Roman" w:cs="Times New Roman"/>
          <w:kern w:val="0"/>
          <w14:ligatures w14:val="none"/>
        </w:rPr>
        <w:t xml:space="preserve">application before the court.  </w:t>
      </w:r>
      <w:r w:rsidR="001C3B36" w:rsidRPr="00860B2B">
        <w:rPr>
          <w:rFonts w:ascii="Times New Roman" w:hAnsi="Times New Roman" w:cs="Times New Roman"/>
          <w:kern w:val="0"/>
          <w14:ligatures w14:val="none"/>
        </w:rPr>
        <w:t xml:space="preserve">The heading on the </w:t>
      </w:r>
      <w:r w:rsidR="008E6032">
        <w:rPr>
          <w:rFonts w:ascii="Times New Roman" w:hAnsi="Times New Roman" w:cs="Times New Roman"/>
          <w:kern w:val="0"/>
          <w14:ligatures w14:val="none"/>
        </w:rPr>
        <w:t xml:space="preserve">cover </w:t>
      </w:r>
      <w:r w:rsidR="001C3B36" w:rsidRPr="00860B2B">
        <w:rPr>
          <w:rFonts w:ascii="Times New Roman" w:hAnsi="Times New Roman" w:cs="Times New Roman"/>
          <w:kern w:val="0"/>
          <w14:ligatures w14:val="none"/>
        </w:rPr>
        <w:t>of the application describe</w:t>
      </w:r>
      <w:r w:rsidR="008E6032">
        <w:rPr>
          <w:rFonts w:ascii="Times New Roman" w:hAnsi="Times New Roman" w:cs="Times New Roman"/>
          <w:kern w:val="0"/>
          <w14:ligatures w14:val="none"/>
        </w:rPr>
        <w:t>d</w:t>
      </w:r>
      <w:r w:rsidR="001C3B36" w:rsidRPr="00860B2B">
        <w:rPr>
          <w:rFonts w:ascii="Times New Roman" w:hAnsi="Times New Roman" w:cs="Times New Roman"/>
          <w:kern w:val="0"/>
          <w14:ligatures w14:val="none"/>
        </w:rPr>
        <w:t xml:space="preserve"> it as an </w:t>
      </w:r>
      <w:r w:rsidR="001C3B36" w:rsidRPr="00860B2B">
        <w:rPr>
          <w:rFonts w:ascii="Times New Roman" w:hAnsi="Times New Roman" w:cs="Times New Roman"/>
          <w:b/>
          <w:bCs/>
          <w:kern w:val="0"/>
          <w14:ligatures w14:val="none"/>
        </w:rPr>
        <w:t>“URGENT COURT APPLICATION FOR A DECLARATUR”.</w:t>
      </w:r>
      <w:r w:rsidR="001C3B36" w:rsidRPr="00860B2B">
        <w:rPr>
          <w:rFonts w:ascii="Times New Roman" w:hAnsi="Times New Roman" w:cs="Times New Roman"/>
          <w:kern w:val="0"/>
          <w14:ligatures w14:val="none"/>
        </w:rPr>
        <w:t xml:space="preserve"> Paragraph 6 of the founding affidavit, which is under the heading </w:t>
      </w:r>
      <w:r w:rsidR="001C3B36" w:rsidRPr="00860B2B">
        <w:rPr>
          <w:rFonts w:ascii="Times New Roman" w:hAnsi="Times New Roman" w:cs="Times New Roman"/>
          <w:b/>
          <w:bCs/>
          <w:kern w:val="0"/>
          <w14:ligatures w14:val="none"/>
        </w:rPr>
        <w:t xml:space="preserve">“Nature of Application” </w:t>
      </w:r>
      <w:r w:rsidR="001C3B36" w:rsidRPr="00860B2B">
        <w:rPr>
          <w:rFonts w:ascii="Times New Roman" w:hAnsi="Times New Roman" w:cs="Times New Roman"/>
          <w:kern w:val="0"/>
          <w14:ligatures w14:val="none"/>
        </w:rPr>
        <w:t>state</w:t>
      </w:r>
      <w:r w:rsidR="008E6032">
        <w:rPr>
          <w:rFonts w:ascii="Times New Roman" w:hAnsi="Times New Roman" w:cs="Times New Roman"/>
          <w:kern w:val="0"/>
          <w14:ligatures w14:val="none"/>
        </w:rPr>
        <w:t>d</w:t>
      </w:r>
      <w:r w:rsidR="001C3B36" w:rsidRPr="00860B2B">
        <w:rPr>
          <w:rFonts w:ascii="Times New Roman" w:hAnsi="Times New Roman" w:cs="Times New Roman"/>
          <w:kern w:val="0"/>
          <w14:ligatures w14:val="none"/>
        </w:rPr>
        <w:t xml:space="preserve"> as follows: </w:t>
      </w:r>
    </w:p>
    <w:p w14:paraId="640C1781" w14:textId="24031C5C" w:rsidR="001C3B36" w:rsidRPr="00860B2B" w:rsidRDefault="001C3B36" w:rsidP="00360D4A">
      <w:pPr>
        <w:tabs>
          <w:tab w:val="left" w:pos="426"/>
          <w:tab w:val="left" w:pos="1134"/>
        </w:tabs>
        <w:spacing w:after="0" w:line="240" w:lineRule="auto"/>
        <w:ind w:left="720" w:hanging="1026"/>
        <w:jc w:val="both"/>
        <w:rPr>
          <w:rFonts w:ascii="Times New Roman" w:hAnsi="Times New Roman" w:cs="Times New Roman"/>
          <w:kern w:val="0"/>
          <w:sz w:val="22"/>
          <w:szCs w:val="22"/>
          <w14:ligatures w14:val="none"/>
        </w:rPr>
      </w:pPr>
      <w:r w:rsidRPr="00860B2B">
        <w:rPr>
          <w:rFonts w:ascii="Times New Roman" w:hAnsi="Times New Roman" w:cs="Times New Roman"/>
          <w:kern w:val="0"/>
          <w14:ligatures w14:val="none"/>
        </w:rPr>
        <w:tab/>
      </w:r>
      <w:r w:rsidRPr="00860B2B">
        <w:rPr>
          <w:rFonts w:ascii="Times New Roman" w:hAnsi="Times New Roman" w:cs="Times New Roman"/>
          <w:kern w:val="0"/>
          <w:sz w:val="22"/>
          <w:szCs w:val="22"/>
          <w14:ligatures w14:val="none"/>
        </w:rPr>
        <w:t>“6.</w:t>
      </w:r>
      <w:r w:rsidRPr="00860B2B">
        <w:rPr>
          <w:rFonts w:ascii="Times New Roman" w:hAnsi="Times New Roman" w:cs="Times New Roman"/>
          <w:kern w:val="0"/>
          <w:sz w:val="22"/>
          <w:szCs w:val="22"/>
          <w14:ligatures w14:val="none"/>
        </w:rPr>
        <w:tab/>
        <w:t xml:space="preserve">This is an application made in terms of section 4(1) of the Administrative Justice Act [Chapter </w:t>
      </w:r>
      <w:r w:rsidR="00360D4A" w:rsidRPr="00860B2B">
        <w:rPr>
          <w:rFonts w:ascii="Times New Roman" w:hAnsi="Times New Roman" w:cs="Times New Roman"/>
          <w:kern w:val="0"/>
          <w:sz w:val="22"/>
          <w:szCs w:val="22"/>
          <w14:ligatures w14:val="none"/>
        </w:rPr>
        <w:t>10</w:t>
      </w:r>
      <w:r w:rsidRPr="00860B2B">
        <w:rPr>
          <w:rFonts w:ascii="Times New Roman" w:hAnsi="Times New Roman" w:cs="Times New Roman"/>
          <w:kern w:val="0"/>
          <w:sz w:val="22"/>
          <w:szCs w:val="22"/>
          <w14:ligatures w14:val="none"/>
        </w:rPr>
        <w:t>:</w:t>
      </w:r>
      <w:r w:rsidR="00360D4A" w:rsidRPr="00860B2B">
        <w:rPr>
          <w:rFonts w:ascii="Times New Roman" w:hAnsi="Times New Roman" w:cs="Times New Roman"/>
          <w:kern w:val="0"/>
          <w:sz w:val="22"/>
          <w:szCs w:val="22"/>
          <w14:ligatures w14:val="none"/>
        </w:rPr>
        <w:t>28</w:t>
      </w:r>
      <w:r w:rsidRPr="00860B2B">
        <w:rPr>
          <w:rFonts w:ascii="Times New Roman" w:hAnsi="Times New Roman" w:cs="Times New Roman"/>
          <w:kern w:val="0"/>
          <w:sz w:val="22"/>
          <w:szCs w:val="22"/>
          <w14:ligatures w14:val="none"/>
        </w:rPr>
        <w:t>]</w:t>
      </w:r>
      <w:r w:rsidR="00360D4A" w:rsidRPr="00860B2B">
        <w:rPr>
          <w:rFonts w:ascii="Times New Roman" w:hAnsi="Times New Roman" w:cs="Times New Roman"/>
          <w:kern w:val="0"/>
          <w:sz w:val="22"/>
          <w:szCs w:val="22"/>
          <w14:ligatures w14:val="none"/>
        </w:rPr>
        <w:t xml:space="preserve"> and section 14 of the High Court Act [Chapter 07:06] </w:t>
      </w:r>
      <w:r w:rsidR="002617A9" w:rsidRPr="00860B2B">
        <w:rPr>
          <w:rFonts w:ascii="Times New Roman" w:hAnsi="Times New Roman" w:cs="Times New Roman"/>
          <w:kern w:val="0"/>
          <w:sz w:val="22"/>
          <w:szCs w:val="22"/>
          <w14:ligatures w14:val="none"/>
        </w:rPr>
        <w:t>for….</w:t>
      </w:r>
      <w:r w:rsidR="00360D4A" w:rsidRPr="00860B2B">
        <w:rPr>
          <w:rFonts w:ascii="Times New Roman" w:hAnsi="Times New Roman" w:cs="Times New Roman"/>
          <w:kern w:val="0"/>
          <w:sz w:val="22"/>
          <w:szCs w:val="22"/>
          <w14:ligatures w14:val="none"/>
        </w:rPr>
        <w:t>”</w:t>
      </w:r>
    </w:p>
    <w:p w14:paraId="70612A3D" w14:textId="77777777" w:rsidR="00360D4A" w:rsidRPr="00860B2B" w:rsidRDefault="00360D4A" w:rsidP="00360D4A">
      <w:pPr>
        <w:tabs>
          <w:tab w:val="left" w:pos="426"/>
          <w:tab w:val="left" w:pos="1134"/>
        </w:tabs>
        <w:spacing w:after="0" w:line="240" w:lineRule="auto"/>
        <w:ind w:left="720" w:hanging="1026"/>
        <w:jc w:val="both"/>
        <w:rPr>
          <w:rFonts w:ascii="Times New Roman" w:hAnsi="Times New Roman" w:cs="Times New Roman"/>
          <w:b/>
          <w:bCs/>
          <w:kern w:val="0"/>
          <w:sz w:val="22"/>
          <w:szCs w:val="22"/>
          <w14:ligatures w14:val="none"/>
        </w:rPr>
      </w:pPr>
    </w:p>
    <w:p w14:paraId="05E6369E" w14:textId="64DE7D77" w:rsidR="003F6C67" w:rsidRPr="00860B2B" w:rsidRDefault="00360D4A"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b/>
          <w:bCs/>
          <w:kern w:val="0"/>
          <w14:ligatures w14:val="none"/>
        </w:rPr>
        <w:t xml:space="preserve"> </w:t>
      </w:r>
      <w:r w:rsidRPr="00860B2B">
        <w:rPr>
          <w:rFonts w:ascii="Times New Roman" w:hAnsi="Times New Roman" w:cs="Times New Roman"/>
          <w:kern w:val="0"/>
          <w14:ligatures w14:val="none"/>
        </w:rPr>
        <w:t xml:space="preserve">The way para 6 above </w:t>
      </w:r>
      <w:r w:rsidR="008E6032">
        <w:rPr>
          <w:rFonts w:ascii="Times New Roman" w:hAnsi="Times New Roman" w:cs="Times New Roman"/>
          <w:kern w:val="0"/>
          <w14:ligatures w14:val="none"/>
        </w:rPr>
        <w:t>wa</w:t>
      </w:r>
      <w:r w:rsidRPr="00860B2B">
        <w:rPr>
          <w:rFonts w:ascii="Times New Roman" w:hAnsi="Times New Roman" w:cs="Times New Roman"/>
          <w:kern w:val="0"/>
          <w14:ligatures w14:val="none"/>
        </w:rPr>
        <w:t>s phrased le</w:t>
      </w:r>
      <w:r w:rsidR="008E6032">
        <w:rPr>
          <w:rFonts w:ascii="Times New Roman" w:hAnsi="Times New Roman" w:cs="Times New Roman"/>
          <w:kern w:val="0"/>
          <w14:ligatures w14:val="none"/>
        </w:rPr>
        <w:t xml:space="preserve">ft </w:t>
      </w:r>
      <w:r w:rsidRPr="00860B2B">
        <w:rPr>
          <w:rFonts w:ascii="Times New Roman" w:hAnsi="Times New Roman" w:cs="Times New Roman"/>
          <w:kern w:val="0"/>
          <w14:ligatures w14:val="none"/>
        </w:rPr>
        <w:t>one with the impression that what</w:t>
      </w:r>
      <w:r w:rsidR="008E6032">
        <w:rPr>
          <w:rFonts w:ascii="Times New Roman" w:hAnsi="Times New Roman" w:cs="Times New Roman"/>
          <w:kern w:val="0"/>
          <w14:ligatures w14:val="none"/>
        </w:rPr>
        <w:t xml:space="preserve"> was</w:t>
      </w:r>
      <w:r w:rsidRPr="00860B2B">
        <w:rPr>
          <w:rFonts w:ascii="Times New Roman" w:hAnsi="Times New Roman" w:cs="Times New Roman"/>
          <w:kern w:val="0"/>
          <w14:ligatures w14:val="none"/>
        </w:rPr>
        <w:t xml:space="preserve"> before the court </w:t>
      </w:r>
      <w:r w:rsidR="008E6032">
        <w:rPr>
          <w:rFonts w:ascii="Times New Roman" w:hAnsi="Times New Roman" w:cs="Times New Roman"/>
          <w:kern w:val="0"/>
          <w14:ligatures w14:val="none"/>
        </w:rPr>
        <w:t>wa</w:t>
      </w:r>
      <w:r w:rsidRPr="00860B2B">
        <w:rPr>
          <w:rFonts w:ascii="Times New Roman" w:hAnsi="Times New Roman" w:cs="Times New Roman"/>
          <w:kern w:val="0"/>
          <w14:ligatures w14:val="none"/>
        </w:rPr>
        <w:t xml:space="preserve">s a composite application for review and a </w:t>
      </w:r>
      <w:r w:rsidRPr="00860B2B">
        <w:rPr>
          <w:rFonts w:ascii="Times New Roman" w:hAnsi="Times New Roman" w:cs="Times New Roman"/>
          <w:i/>
          <w:iCs/>
          <w:kern w:val="0"/>
          <w14:ligatures w14:val="none"/>
        </w:rPr>
        <w:t>declaratur</w:t>
      </w:r>
      <w:r w:rsidRPr="00860B2B">
        <w:rPr>
          <w:rFonts w:ascii="Times New Roman" w:hAnsi="Times New Roman" w:cs="Times New Roman"/>
          <w:kern w:val="0"/>
          <w14:ligatures w14:val="none"/>
        </w:rPr>
        <w:t xml:space="preserve">. </w:t>
      </w:r>
      <w:r w:rsidR="008E6032">
        <w:rPr>
          <w:rFonts w:ascii="Times New Roman" w:hAnsi="Times New Roman" w:cs="Times New Roman"/>
          <w:kern w:val="0"/>
          <w14:ligatures w14:val="none"/>
        </w:rPr>
        <w:t xml:space="preserve">To </w:t>
      </w:r>
      <w:r w:rsidR="00673053" w:rsidRPr="00860B2B">
        <w:rPr>
          <w:rFonts w:ascii="Times New Roman" w:hAnsi="Times New Roman" w:cs="Times New Roman"/>
          <w:kern w:val="0"/>
          <w14:ligatures w14:val="none"/>
        </w:rPr>
        <w:t xml:space="preserve">have a fuller appreciation of the two provisions, it is necessary to recite them hereunder. </w:t>
      </w:r>
    </w:p>
    <w:p w14:paraId="7C5BFD5D" w14:textId="5EA4FDF9" w:rsidR="003F6C67" w:rsidRPr="00860B2B" w:rsidRDefault="003F6C67" w:rsidP="003F6C67">
      <w:pPr>
        <w:pStyle w:val="ListParagraph"/>
        <w:tabs>
          <w:tab w:val="left" w:pos="426"/>
        </w:tabs>
        <w:spacing w:after="0" w:line="360" w:lineRule="auto"/>
        <w:ind w:left="0"/>
        <w:jc w:val="both"/>
        <w:rPr>
          <w:rFonts w:ascii="Times New Roman" w:hAnsi="Times New Roman" w:cs="Times New Roman"/>
          <w:b/>
          <w:bCs/>
          <w:kern w:val="0"/>
          <w:u w:val="single"/>
          <w14:ligatures w14:val="none"/>
        </w:rPr>
      </w:pPr>
      <w:r w:rsidRPr="00860B2B">
        <w:rPr>
          <w:rFonts w:ascii="Times New Roman" w:hAnsi="Times New Roman" w:cs="Times New Roman"/>
          <w:b/>
          <w:bCs/>
          <w:kern w:val="0"/>
          <w:u w:val="single"/>
          <w14:ligatures w14:val="none"/>
        </w:rPr>
        <w:t xml:space="preserve">The AJA </w:t>
      </w:r>
    </w:p>
    <w:p w14:paraId="539F409F" w14:textId="69BBE25F" w:rsidR="001C3B36" w:rsidRPr="00860B2B" w:rsidRDefault="00D0136A"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Section 4 of the AJA states as follows:</w:t>
      </w:r>
    </w:p>
    <w:p w14:paraId="02BF4A8F" w14:textId="6029E921" w:rsidR="00D0136A" w:rsidRPr="00860B2B" w:rsidRDefault="00D0136A" w:rsidP="00D71F96">
      <w:pPr>
        <w:pStyle w:val="lrsecthead"/>
        <w:spacing w:before="0" w:after="0" w:line="240" w:lineRule="auto"/>
        <w:ind w:right="142"/>
        <w:rPr>
          <w:rFonts w:ascii="Times New Roman" w:hAnsi="Times New Roman"/>
        </w:rPr>
      </w:pPr>
      <w:r w:rsidRPr="00860B2B">
        <w:rPr>
          <w:rFonts w:ascii="Times New Roman" w:hAnsi="Times New Roman"/>
        </w:rPr>
        <w:tab/>
        <w:t>“4</w:t>
      </w:r>
      <w:r w:rsidRPr="00860B2B">
        <w:rPr>
          <w:rFonts w:ascii="Times New Roman" w:hAnsi="Times New Roman"/>
        </w:rPr>
        <w:tab/>
        <w:t>Relief against administrative authorities</w:t>
      </w:r>
    </w:p>
    <w:p w14:paraId="7F9C0BE3" w14:textId="45D541EF" w:rsidR="00D0136A" w:rsidRPr="00860B2B" w:rsidRDefault="00D0136A" w:rsidP="00D71F96">
      <w:pPr>
        <w:pStyle w:val="lrsection"/>
        <w:spacing w:after="0" w:line="240" w:lineRule="auto"/>
        <w:ind w:left="369" w:right="142" w:firstLine="0"/>
      </w:pPr>
      <w:r w:rsidRPr="00860B2B">
        <w:t>(1)  Subject to this Act and any other law, any person who is aggrieved by the failure of an administrative authority to comply with section</w:t>
      </w:r>
      <w:r w:rsidRPr="00860B2B">
        <w:rPr>
          <w:i/>
        </w:rPr>
        <w:t xml:space="preserve"> three</w:t>
      </w:r>
      <w:r w:rsidRPr="00860B2B">
        <w:t xml:space="preserve"> may apply to the High Court for relief.</w:t>
      </w:r>
    </w:p>
    <w:p w14:paraId="20810FA9" w14:textId="77777777" w:rsidR="00D0136A" w:rsidRPr="00860B2B" w:rsidRDefault="00D0136A" w:rsidP="00D0136A">
      <w:pPr>
        <w:pStyle w:val="lrsection"/>
        <w:tabs>
          <w:tab w:val="clear" w:pos="369"/>
          <w:tab w:val="left" w:pos="851"/>
        </w:tabs>
        <w:spacing w:after="0" w:line="240" w:lineRule="auto"/>
        <w:ind w:left="369" w:right="142" w:firstLine="0"/>
      </w:pPr>
      <w:r w:rsidRPr="00860B2B">
        <w:t>(2)  Upon an application being made to it in terms of subsection (1), the High Court may, as may be appropriate—</w:t>
      </w:r>
    </w:p>
    <w:p w14:paraId="12428B1B" w14:textId="77777777" w:rsidR="00D0136A" w:rsidRPr="00860B2B" w:rsidRDefault="00D0136A" w:rsidP="00D0136A">
      <w:pPr>
        <w:pStyle w:val="lrpara-a"/>
        <w:spacing w:after="0" w:line="240" w:lineRule="auto"/>
        <w:ind w:right="142"/>
      </w:pPr>
      <w:r w:rsidRPr="00860B2B">
        <w:tab/>
        <w:t>(a)</w:t>
      </w:r>
      <w:r w:rsidRPr="00860B2B">
        <w:tab/>
        <w:t>confirm or set aside the decision concerned;</w:t>
      </w:r>
    </w:p>
    <w:p w14:paraId="1DDF53F1" w14:textId="77777777" w:rsidR="00D0136A" w:rsidRPr="00860B2B" w:rsidRDefault="00D0136A" w:rsidP="00D0136A">
      <w:pPr>
        <w:pStyle w:val="lrpara-a"/>
        <w:spacing w:after="0" w:line="240" w:lineRule="auto"/>
        <w:ind w:right="142"/>
      </w:pPr>
      <w:r w:rsidRPr="00860B2B">
        <w:tab/>
        <w:t>(b)</w:t>
      </w:r>
      <w:r w:rsidRPr="00860B2B">
        <w:tab/>
        <w:t>refer the matter back to the administrative authority concerned for consideration or reconsideration;</w:t>
      </w:r>
    </w:p>
    <w:p w14:paraId="1BA402D2" w14:textId="77777777" w:rsidR="00D0136A" w:rsidRPr="00860B2B" w:rsidRDefault="00D0136A" w:rsidP="00D0136A">
      <w:pPr>
        <w:pStyle w:val="lrpara-a"/>
        <w:spacing w:after="0" w:line="240" w:lineRule="auto"/>
        <w:ind w:right="142"/>
      </w:pPr>
      <w:r w:rsidRPr="00860B2B">
        <w:tab/>
        <w:t>(c)</w:t>
      </w:r>
      <w:r w:rsidRPr="00860B2B">
        <w:tab/>
        <w:t>direct the administrative authority to take administrative action within the relevant period specified by law or, if no such period is specified, within a period fixed by the High Court;</w:t>
      </w:r>
    </w:p>
    <w:p w14:paraId="7E0CE397" w14:textId="77777777" w:rsidR="00D0136A" w:rsidRPr="00860B2B" w:rsidRDefault="00D0136A" w:rsidP="00D0136A">
      <w:pPr>
        <w:pStyle w:val="lrpara-a"/>
        <w:spacing w:after="0" w:line="240" w:lineRule="auto"/>
        <w:ind w:right="142"/>
      </w:pPr>
      <w:r w:rsidRPr="00860B2B">
        <w:tab/>
        <w:t>(d)</w:t>
      </w:r>
      <w:r w:rsidRPr="00860B2B">
        <w:tab/>
        <w:t>direct the administrative authority to supply reasons for its administrative action within the relevant period specified by law or, if no such period is specified, within a period fixed by the High Court;</w:t>
      </w:r>
    </w:p>
    <w:p w14:paraId="4F8405A0" w14:textId="77777777" w:rsidR="00D0136A" w:rsidRPr="00D0136A" w:rsidRDefault="00D0136A" w:rsidP="00D0136A">
      <w:pPr>
        <w:pStyle w:val="lrpara-a"/>
        <w:spacing w:after="0" w:line="240" w:lineRule="auto"/>
        <w:ind w:right="142"/>
      </w:pPr>
      <w:r w:rsidRPr="00860B2B">
        <w:tab/>
        <w:t>(e)</w:t>
      </w:r>
      <w:r w:rsidRPr="00860B2B">
        <w:tab/>
        <w:t>give such directions as the High Court may consider nece</w:t>
      </w:r>
      <w:r w:rsidRPr="00D0136A">
        <w:t>ssary or desirable to achieve compliance by the administrative authority with section</w:t>
      </w:r>
      <w:r w:rsidRPr="00D0136A">
        <w:rPr>
          <w:i/>
        </w:rPr>
        <w:t xml:space="preserve"> three</w:t>
      </w:r>
      <w:r w:rsidRPr="00D0136A">
        <w:t>.</w:t>
      </w:r>
    </w:p>
    <w:p w14:paraId="10D8A26C" w14:textId="6F4D556B" w:rsidR="00D0136A" w:rsidRPr="00D0136A" w:rsidRDefault="00D0136A" w:rsidP="008E6032">
      <w:pPr>
        <w:pStyle w:val="lrsection"/>
        <w:spacing w:after="0" w:line="240" w:lineRule="auto"/>
        <w:ind w:left="369" w:right="142" w:firstLine="0"/>
      </w:pPr>
      <w:r w:rsidRPr="00D0136A">
        <w:t>(3)  </w:t>
      </w:r>
      <w:r w:rsidR="008E6032">
        <w:t>……..</w:t>
      </w:r>
      <w:r w:rsidRPr="00D0136A">
        <w:t>).</w:t>
      </w:r>
      <w:r>
        <w:t>”</w:t>
      </w:r>
    </w:p>
    <w:p w14:paraId="0764373F" w14:textId="61DBC3E7" w:rsidR="00D0136A" w:rsidRPr="00D0136A" w:rsidRDefault="00D0136A" w:rsidP="00D0136A">
      <w:pPr>
        <w:pStyle w:val="ListParagraph"/>
        <w:tabs>
          <w:tab w:val="left" w:pos="426"/>
        </w:tabs>
        <w:spacing w:after="0" w:line="240" w:lineRule="auto"/>
        <w:ind w:left="0"/>
        <w:jc w:val="both"/>
        <w:rPr>
          <w:rFonts w:ascii="Times New Roman" w:hAnsi="Times New Roman" w:cs="Times New Roman"/>
          <w:kern w:val="0"/>
          <w:lang w:val="en-GB"/>
          <w14:ligatures w14:val="none"/>
        </w:rPr>
      </w:pPr>
    </w:p>
    <w:p w14:paraId="2CF8CC7E" w14:textId="315B46A4" w:rsidR="00D0136A" w:rsidRDefault="0067609F"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DD60A8">
        <w:rPr>
          <w:rFonts w:ascii="Times New Roman" w:hAnsi="Times New Roman" w:cs="Times New Roman"/>
          <w:kern w:val="0"/>
          <w14:ligatures w14:val="none"/>
        </w:rPr>
        <w:t xml:space="preserve"> Section 2 of the AJA defines an administrative authority to include a minister or deputy minister of the State. </w:t>
      </w:r>
      <w:r w:rsidR="00DD60A8">
        <w:rPr>
          <w:rFonts w:ascii="Times New Roman" w:hAnsi="Times New Roman" w:cs="Times New Roman"/>
          <w:kern w:val="0"/>
          <w14:ligatures w14:val="none"/>
        </w:rPr>
        <w:t xml:space="preserve">Section 3 of the AJA prescribes the duties of an administrative authority. An administrative authority is required to act in a lawful, reasonable and fair manner. In doing so it must act within the period specified by law, and in the absence of such a specified period, within a reasonable period of being requested to take such action. Where </w:t>
      </w:r>
      <w:r w:rsidR="00DD60A8" w:rsidRPr="009A3AA2">
        <w:rPr>
          <w:rFonts w:ascii="Times New Roman" w:hAnsi="Times New Roman" w:cs="Times New Roman"/>
          <w:kern w:val="0"/>
          <w14:ligatures w14:val="none"/>
        </w:rPr>
        <w:t xml:space="preserve">action </w:t>
      </w:r>
      <w:r w:rsidR="00A70296" w:rsidRPr="00A70296">
        <w:rPr>
          <w:rFonts w:ascii="Times New Roman" w:hAnsi="Times New Roman" w:cs="Times New Roman"/>
          <w:kern w:val="0"/>
          <w14:ligatures w14:val="none"/>
        </w:rPr>
        <w:t>was taken</w:t>
      </w:r>
      <w:r w:rsidR="00DD60A8" w:rsidRPr="009A3AA2">
        <w:rPr>
          <w:rFonts w:ascii="Times New Roman" w:hAnsi="Times New Roman" w:cs="Times New Roman"/>
          <w:kern w:val="0"/>
          <w14:ligatures w14:val="none"/>
        </w:rPr>
        <w:t>,</w:t>
      </w:r>
      <w:r w:rsidR="00DD60A8">
        <w:rPr>
          <w:rFonts w:ascii="Times New Roman" w:hAnsi="Times New Roman" w:cs="Times New Roman"/>
          <w:kern w:val="0"/>
          <w14:ligatures w14:val="none"/>
        </w:rPr>
        <w:t xml:space="preserve"> then written reason</w:t>
      </w:r>
      <w:r w:rsidR="009A3AA2">
        <w:rPr>
          <w:rFonts w:ascii="Times New Roman" w:hAnsi="Times New Roman" w:cs="Times New Roman"/>
          <w:kern w:val="0"/>
          <w14:ligatures w14:val="none"/>
        </w:rPr>
        <w:t>s</w:t>
      </w:r>
      <w:r w:rsidR="00DD60A8">
        <w:rPr>
          <w:rFonts w:ascii="Times New Roman" w:hAnsi="Times New Roman" w:cs="Times New Roman"/>
          <w:kern w:val="0"/>
          <w14:ligatures w14:val="none"/>
        </w:rPr>
        <w:t xml:space="preserve"> for such administrative action </w:t>
      </w:r>
      <w:r w:rsidR="008E6032">
        <w:rPr>
          <w:rFonts w:ascii="Times New Roman" w:hAnsi="Times New Roman" w:cs="Times New Roman"/>
          <w:kern w:val="0"/>
          <w14:ligatures w14:val="none"/>
        </w:rPr>
        <w:t xml:space="preserve">had to </w:t>
      </w:r>
      <w:r w:rsidR="00DD60A8">
        <w:rPr>
          <w:rFonts w:ascii="Times New Roman" w:hAnsi="Times New Roman" w:cs="Times New Roman"/>
          <w:kern w:val="0"/>
          <w14:ligatures w14:val="none"/>
        </w:rPr>
        <w:t xml:space="preserve">be furnished. </w:t>
      </w:r>
    </w:p>
    <w:p w14:paraId="6010E605" w14:textId="60E12EF6" w:rsidR="003478F8" w:rsidRPr="00801661" w:rsidRDefault="00DD60A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What is clear from a reading of the above provisions is that the law aims to regulate the administrative </w:t>
      </w:r>
      <w:r w:rsidR="003478F8">
        <w:rPr>
          <w:rFonts w:ascii="Times New Roman" w:hAnsi="Times New Roman" w:cs="Times New Roman"/>
          <w:kern w:val="0"/>
          <w14:ligatures w14:val="none"/>
        </w:rPr>
        <w:t>conduct of</w:t>
      </w:r>
      <w:r>
        <w:rPr>
          <w:rFonts w:ascii="Times New Roman" w:hAnsi="Times New Roman" w:cs="Times New Roman"/>
          <w:kern w:val="0"/>
          <w14:ligatures w14:val="none"/>
        </w:rPr>
        <w:t xml:space="preserve"> administrative authorities to ensure accountability by those who hold public office. </w:t>
      </w:r>
      <w:r w:rsidR="003478F8">
        <w:rPr>
          <w:rFonts w:ascii="Times New Roman" w:hAnsi="Times New Roman" w:cs="Times New Roman"/>
          <w:kern w:val="0"/>
          <w14:ligatures w14:val="none"/>
        </w:rPr>
        <w:t>Sections</w:t>
      </w:r>
      <w:r w:rsidR="00A70296" w:rsidRPr="00A70296">
        <w:rPr>
          <w:rFonts w:ascii="Times New Roman" w:hAnsi="Times New Roman" w:cs="Times New Roman"/>
          <w:kern w:val="0"/>
          <w14:ligatures w14:val="none"/>
        </w:rPr>
        <w:t xml:space="preserve"> </w:t>
      </w:r>
      <w:r w:rsidR="003478F8">
        <w:rPr>
          <w:rFonts w:ascii="Times New Roman" w:hAnsi="Times New Roman" w:cs="Times New Roman"/>
          <w:kern w:val="0"/>
          <w14:ligatures w14:val="none"/>
        </w:rPr>
        <w:t xml:space="preserve">3 and 4 of the AJA subject administrative conduct to judicial review to interrogate its compliance with the legal framework under which it was exercised. </w:t>
      </w:r>
      <w:r w:rsidR="003478F8">
        <w:rPr>
          <w:rFonts w:ascii="Times New Roman" w:hAnsi="Times New Roman" w:cs="Times New Roman"/>
          <w:kern w:val="0"/>
          <w14:ligatures w14:val="none"/>
        </w:rPr>
        <w:lastRenderedPageBreak/>
        <w:t xml:space="preserve">This position of the law was confirmed in </w:t>
      </w:r>
      <w:r w:rsidR="00801661">
        <w:rPr>
          <w:rFonts w:ascii="Times New Roman" w:hAnsi="Times New Roman" w:cs="Times New Roman"/>
          <w:kern w:val="0"/>
          <w14:ligatures w14:val="none"/>
        </w:rPr>
        <w:t xml:space="preserve">the </w:t>
      </w:r>
      <w:bookmarkStart w:id="1" w:name="_Hlk182763848"/>
      <w:r w:rsidR="00801661" w:rsidRPr="00056A98">
        <w:rPr>
          <w:rFonts w:ascii="Times New Roman" w:hAnsi="Times New Roman" w:cs="Times New Roman"/>
          <w:i/>
          <w:iCs/>
        </w:rPr>
        <w:t>Gwarazimba N.O. v Gurta A.G</w:t>
      </w:r>
      <w:bookmarkEnd w:id="1"/>
      <w:r w:rsidR="003F6C67">
        <w:rPr>
          <w:rFonts w:ascii="Times New Roman" w:hAnsi="Times New Roman" w:cs="Times New Roman"/>
          <w:i/>
          <w:iCs/>
        </w:rPr>
        <w:t xml:space="preserve"> (supra)</w:t>
      </w:r>
      <w:r w:rsidR="00801661">
        <w:rPr>
          <w:rFonts w:ascii="Times New Roman" w:hAnsi="Times New Roman" w:cs="Times New Roman"/>
          <w:i/>
          <w:iCs/>
        </w:rPr>
        <w:t xml:space="preserve">, </w:t>
      </w:r>
      <w:r w:rsidR="00801661">
        <w:rPr>
          <w:rFonts w:ascii="Times New Roman" w:hAnsi="Times New Roman" w:cs="Times New Roman"/>
        </w:rPr>
        <w:t>where the court held as follows:</w:t>
      </w:r>
    </w:p>
    <w:p w14:paraId="0C172ED0" w14:textId="2BA9168E" w:rsidR="00801661" w:rsidRPr="0024455A" w:rsidRDefault="00801661" w:rsidP="0024455A">
      <w:pPr>
        <w:spacing w:after="0" w:line="240" w:lineRule="auto"/>
        <w:ind w:left="720"/>
        <w:jc w:val="both"/>
        <w:rPr>
          <w:rFonts w:ascii="Times New Roman" w:hAnsi="Times New Roman" w:cs="Times New Roman"/>
          <w:sz w:val="22"/>
          <w:szCs w:val="22"/>
        </w:rPr>
      </w:pPr>
      <w:r w:rsidRPr="0024455A">
        <w:rPr>
          <w:rFonts w:ascii="Times New Roman" w:hAnsi="Times New Roman" w:cs="Times New Roman"/>
          <w:sz w:val="22"/>
          <w:szCs w:val="22"/>
        </w:rPr>
        <w:t xml:space="preserve">“I find little to fault in the reasoning of the court </w:t>
      </w:r>
      <w:r w:rsidRPr="0024455A">
        <w:rPr>
          <w:rFonts w:ascii="Times New Roman" w:hAnsi="Times New Roman" w:cs="Times New Roman"/>
          <w:i/>
          <w:sz w:val="22"/>
          <w:szCs w:val="22"/>
        </w:rPr>
        <w:t>a quo</w:t>
      </w:r>
      <w:r w:rsidRPr="0024455A">
        <w:rPr>
          <w:rFonts w:ascii="Times New Roman" w:hAnsi="Times New Roman" w:cs="Times New Roman"/>
          <w:sz w:val="22"/>
          <w:szCs w:val="22"/>
        </w:rPr>
        <w:t xml:space="preserve"> on this point. As correctly stated, s 4 (1) of the Administrative Court Act (“the Act”) provides that the statutory relief referred to by the judge </w:t>
      </w:r>
      <w:r w:rsidRPr="0024455A">
        <w:rPr>
          <w:rFonts w:ascii="Times New Roman" w:hAnsi="Times New Roman" w:cs="Times New Roman"/>
          <w:i/>
          <w:sz w:val="22"/>
          <w:szCs w:val="22"/>
        </w:rPr>
        <w:t>a quo</w:t>
      </w:r>
      <w:r w:rsidRPr="0024455A">
        <w:rPr>
          <w:rFonts w:ascii="Times New Roman" w:hAnsi="Times New Roman" w:cs="Times New Roman"/>
          <w:sz w:val="22"/>
          <w:szCs w:val="22"/>
        </w:rPr>
        <w:t xml:space="preserve"> may be sought by way of an application to the High Court.  </w:t>
      </w:r>
      <w:r w:rsidRPr="00C104F8">
        <w:rPr>
          <w:rFonts w:ascii="Times New Roman" w:hAnsi="Times New Roman" w:cs="Times New Roman"/>
          <w:sz w:val="22"/>
          <w:szCs w:val="22"/>
        </w:rPr>
        <w:t>However no specific format for such application is prescribed.  While a review in terms of the High Court Rules is a special form of application, there is nothing in s 4(1) to suggest that any other form of application for judicial review would in any way offend against that sub-section as long as it meets the requirements of an ordinary court application</w:t>
      </w:r>
      <w:r w:rsidRPr="0024455A">
        <w:rPr>
          <w:rFonts w:ascii="Times New Roman" w:hAnsi="Times New Roman" w:cs="Times New Roman"/>
          <w:sz w:val="22"/>
          <w:szCs w:val="22"/>
        </w:rPr>
        <w:t xml:space="preserve">.” </w:t>
      </w:r>
    </w:p>
    <w:p w14:paraId="02BE4BA2" w14:textId="48C81754" w:rsidR="00801661" w:rsidRDefault="003F6C67" w:rsidP="008759C7">
      <w:pPr>
        <w:pStyle w:val="ListParagraph"/>
        <w:numPr>
          <w:ilvl w:val="0"/>
          <w:numId w:val="12"/>
        </w:numPr>
        <w:tabs>
          <w:tab w:val="left" w:pos="426"/>
        </w:tabs>
        <w:spacing w:before="240"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In the </w:t>
      </w:r>
      <w:r w:rsidR="00850F30">
        <w:rPr>
          <w:rFonts w:ascii="Times New Roman" w:hAnsi="Times New Roman" w:cs="Times New Roman"/>
          <w:kern w:val="0"/>
          <w14:ligatures w14:val="none"/>
        </w:rPr>
        <w:t>same judgment</w:t>
      </w:r>
      <w:r>
        <w:rPr>
          <w:rFonts w:ascii="Times New Roman" w:hAnsi="Times New Roman" w:cs="Times New Roman"/>
          <w:kern w:val="0"/>
          <w14:ligatures w14:val="none"/>
        </w:rPr>
        <w:t>, the court also commented on the review powers of this court under s 27 of the High Court Act and s 4 of the AJA as follows:</w:t>
      </w:r>
    </w:p>
    <w:p w14:paraId="46FBF1FF" w14:textId="1A63D15A" w:rsidR="003F6C67" w:rsidRPr="0024455A" w:rsidRDefault="003F6C67" w:rsidP="003F6C67">
      <w:pPr>
        <w:spacing w:after="0" w:line="240" w:lineRule="auto"/>
        <w:ind w:left="720"/>
        <w:jc w:val="both"/>
        <w:rPr>
          <w:rFonts w:ascii="Times New Roman" w:hAnsi="Times New Roman" w:cs="Times New Roman"/>
          <w:sz w:val="22"/>
          <w:szCs w:val="22"/>
        </w:rPr>
      </w:pPr>
      <w:r w:rsidRPr="0024455A">
        <w:rPr>
          <w:rFonts w:ascii="Times New Roman" w:hAnsi="Times New Roman" w:cs="Times New Roman"/>
          <w:sz w:val="22"/>
          <w:szCs w:val="22"/>
        </w:rPr>
        <w:t xml:space="preserve">“My understanding of this provision (s 27) is that the High Court Act contemplates and permits review proceedings that are brought before it in terms of “any other law.”  Specifically, judicial review may be done in terms of another statute, for instance the Administrative Justice Act, as happened </w:t>
      </w:r>
      <w:r w:rsidRPr="0024455A">
        <w:rPr>
          <w:rFonts w:ascii="Times New Roman" w:hAnsi="Times New Roman" w:cs="Times New Roman"/>
          <w:i/>
          <w:sz w:val="22"/>
          <w:szCs w:val="22"/>
        </w:rPr>
        <w:t>in casu</w:t>
      </w:r>
      <w:r w:rsidRPr="0024455A">
        <w:rPr>
          <w:rFonts w:ascii="Times New Roman" w:hAnsi="Times New Roman" w:cs="Times New Roman"/>
          <w:sz w:val="22"/>
          <w:szCs w:val="22"/>
        </w:rPr>
        <w:t>.  Further to this, and as clearly indicated above in subsections (1) and (2) of s 27, grounds for review are not limited to those particularised in that section.  Other laws can properly dictate the consideration of, or specify, other grounds on the basis of which proceedings of a lower court or tribunal may properly be reviewed.”</w:t>
      </w:r>
    </w:p>
    <w:p w14:paraId="334B45A7" w14:textId="77777777" w:rsidR="003F6C67" w:rsidRPr="0024455A" w:rsidRDefault="003F6C67" w:rsidP="003F6C67">
      <w:pPr>
        <w:spacing w:after="0" w:line="240" w:lineRule="auto"/>
        <w:ind w:left="720"/>
        <w:jc w:val="both"/>
        <w:rPr>
          <w:rFonts w:ascii="Times New Roman" w:hAnsi="Times New Roman" w:cs="Times New Roman"/>
          <w:sz w:val="22"/>
          <w:szCs w:val="22"/>
        </w:rPr>
      </w:pPr>
    </w:p>
    <w:p w14:paraId="78E402B0" w14:textId="1DFE94EB" w:rsidR="00DD60A8" w:rsidRDefault="003478F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0008592E">
        <w:rPr>
          <w:rFonts w:ascii="Times New Roman" w:hAnsi="Times New Roman" w:cs="Times New Roman"/>
          <w:kern w:val="0"/>
          <w14:ligatures w14:val="none"/>
        </w:rPr>
        <w:t xml:space="preserve">A person aggrieved by the conduct of an administrative authority can competently </w:t>
      </w:r>
      <w:r w:rsidR="00850F30">
        <w:rPr>
          <w:rFonts w:ascii="Times New Roman" w:hAnsi="Times New Roman" w:cs="Times New Roman"/>
          <w:kern w:val="0"/>
          <w14:ligatures w14:val="none"/>
        </w:rPr>
        <w:t xml:space="preserve">challenge it </w:t>
      </w:r>
      <w:r w:rsidR="0008592E">
        <w:rPr>
          <w:rFonts w:ascii="Times New Roman" w:hAnsi="Times New Roman" w:cs="Times New Roman"/>
          <w:kern w:val="0"/>
          <w14:ligatures w14:val="none"/>
        </w:rPr>
        <w:t>in terms of s 4 of the AJA</w:t>
      </w:r>
      <w:r w:rsidR="008060A0">
        <w:rPr>
          <w:rFonts w:ascii="Times New Roman" w:hAnsi="Times New Roman" w:cs="Times New Roman"/>
          <w:kern w:val="0"/>
          <w14:ligatures w14:val="none"/>
        </w:rPr>
        <w:t xml:space="preserve">, as read with s 3(1) of the same Act. A s 4 application is independent of a s 27 application. </w:t>
      </w:r>
    </w:p>
    <w:p w14:paraId="4E703F23" w14:textId="1F5C02B0" w:rsidR="00CD0ED7" w:rsidRPr="00CD0ED7" w:rsidRDefault="00CD0ED7" w:rsidP="00CD0ED7">
      <w:pPr>
        <w:tabs>
          <w:tab w:val="left" w:pos="426"/>
        </w:tabs>
        <w:spacing w:after="0" w:line="360" w:lineRule="auto"/>
        <w:jc w:val="both"/>
        <w:rPr>
          <w:rFonts w:ascii="Times New Roman" w:hAnsi="Times New Roman" w:cs="Times New Roman"/>
          <w:b/>
          <w:bCs/>
          <w:i/>
          <w:iCs/>
          <w:kern w:val="0"/>
          <w:u w:val="single"/>
          <w14:ligatures w14:val="none"/>
        </w:rPr>
      </w:pPr>
      <w:r w:rsidRPr="00CD0ED7">
        <w:rPr>
          <w:rFonts w:ascii="Times New Roman" w:hAnsi="Times New Roman" w:cs="Times New Roman"/>
          <w:b/>
          <w:bCs/>
          <w:kern w:val="0"/>
          <w:u w:val="single"/>
          <w14:ligatures w14:val="none"/>
        </w:rPr>
        <w:t xml:space="preserve">The </w:t>
      </w:r>
      <w:r w:rsidRPr="00CD0ED7">
        <w:rPr>
          <w:rFonts w:ascii="Times New Roman" w:hAnsi="Times New Roman" w:cs="Times New Roman"/>
          <w:b/>
          <w:bCs/>
          <w:i/>
          <w:iCs/>
          <w:kern w:val="0"/>
          <w:u w:val="single"/>
          <w14:ligatures w14:val="none"/>
        </w:rPr>
        <w:t xml:space="preserve">declaratur </w:t>
      </w:r>
    </w:p>
    <w:p w14:paraId="371B3B41" w14:textId="0E5A9D2F" w:rsidR="00D0136A" w:rsidRDefault="008D179E"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relief of a declaratory order is provided for by s 14 of the High Court Act which states as follows:</w:t>
      </w:r>
    </w:p>
    <w:p w14:paraId="6512C915" w14:textId="0687A0BC" w:rsidR="00F704D4" w:rsidRDefault="00F704D4" w:rsidP="00F704D4">
      <w:pPr>
        <w:spacing w:after="0" w:line="240" w:lineRule="auto"/>
        <w:ind w:left="720" w:hanging="720"/>
        <w:jc w:val="both"/>
        <w:rPr>
          <w:rFonts w:ascii="Times New Roman" w:hAnsi="Times New Roman" w:cs="Times New Roman"/>
          <w:sz w:val="22"/>
          <w:szCs w:val="22"/>
        </w:rPr>
      </w:pPr>
      <w:r>
        <w:rPr>
          <w:rFonts w:ascii="Times New Roman" w:hAnsi="Times New Roman" w:cs="Times New Roman"/>
          <w:kern w:val="0"/>
          <w14:ligatures w14:val="none"/>
        </w:rPr>
        <w:tab/>
      </w:r>
      <w:r w:rsidRPr="008D179E">
        <w:rPr>
          <w:rFonts w:ascii="Times New Roman" w:hAnsi="Times New Roman" w:cs="Times New Roman"/>
          <w:sz w:val="22"/>
          <w:szCs w:val="22"/>
        </w:rPr>
        <w:t>“The High Court may, in its discretion at the instance of any interested person enquire into and determine any existing, future or contingent right or obligation, notwithstanding that such person cannot claim any relief consequential upon such determination”.</w:t>
      </w:r>
    </w:p>
    <w:p w14:paraId="1116CEAB" w14:textId="77777777" w:rsidR="00F704D4" w:rsidRDefault="00F704D4" w:rsidP="00F704D4">
      <w:pPr>
        <w:spacing w:after="0" w:line="240" w:lineRule="auto"/>
        <w:ind w:left="720" w:hanging="720"/>
        <w:jc w:val="both"/>
        <w:rPr>
          <w:rFonts w:ascii="Times New Roman" w:hAnsi="Times New Roman" w:cs="Times New Roman"/>
          <w:sz w:val="22"/>
          <w:szCs w:val="22"/>
        </w:rPr>
      </w:pPr>
    </w:p>
    <w:p w14:paraId="1DCC51FC" w14:textId="77777777" w:rsidR="0056266F" w:rsidRPr="00860B2B" w:rsidRDefault="00F704D4" w:rsidP="008759C7">
      <w:pPr>
        <w:pStyle w:val="ListParagraph"/>
        <w:numPr>
          <w:ilvl w:val="0"/>
          <w:numId w:val="12"/>
        </w:numPr>
        <w:tabs>
          <w:tab w:val="left" w:pos="426"/>
        </w:tabs>
        <w:spacing w:after="0" w:line="360" w:lineRule="auto"/>
        <w:ind w:left="0" w:firstLine="0"/>
        <w:jc w:val="both"/>
        <w:rPr>
          <w:rFonts w:ascii="Times New Roman" w:hAnsi="Times New Roman" w:cs="Times New Roman"/>
          <w:i/>
          <w:iCs/>
          <w:kern w:val="0"/>
          <w14:ligatures w14:val="none"/>
        </w:rPr>
      </w:pPr>
      <w:r>
        <w:rPr>
          <w:rFonts w:ascii="Times New Roman" w:hAnsi="Times New Roman" w:cs="Times New Roman"/>
          <w:kern w:val="0"/>
          <w14:ligatures w14:val="none"/>
        </w:rPr>
        <w:t xml:space="preserve"> A </w:t>
      </w:r>
      <w:r w:rsidRPr="00F704D4">
        <w:rPr>
          <w:rFonts w:ascii="Times New Roman" w:hAnsi="Times New Roman" w:cs="Times New Roman"/>
          <w:i/>
          <w:iCs/>
          <w:kern w:val="0"/>
          <w14:ligatures w14:val="none"/>
        </w:rPr>
        <w:t xml:space="preserve">declaratur </w:t>
      </w:r>
      <w:r>
        <w:rPr>
          <w:rFonts w:ascii="Times New Roman" w:hAnsi="Times New Roman" w:cs="Times New Roman"/>
          <w:kern w:val="0"/>
          <w14:ligatures w14:val="none"/>
        </w:rPr>
        <w:t xml:space="preserve">seeks to clarify or define </w:t>
      </w:r>
      <w:r w:rsidRPr="00860B2B">
        <w:rPr>
          <w:rFonts w:ascii="Times New Roman" w:hAnsi="Times New Roman" w:cs="Times New Roman"/>
          <w:kern w:val="0"/>
          <w14:ligatures w14:val="none"/>
        </w:rPr>
        <w:t>the parties’ legal rights, duties or obligations. It provides a binding statement of the law on what a party’s rights are</w:t>
      </w:r>
      <w:r w:rsidR="00AE02AA" w:rsidRPr="00860B2B">
        <w:rPr>
          <w:rFonts w:ascii="Times New Roman" w:hAnsi="Times New Roman" w:cs="Times New Roman"/>
          <w:kern w:val="0"/>
          <w14:ligatures w14:val="none"/>
        </w:rPr>
        <w:t xml:space="preserve">. The </w:t>
      </w:r>
      <w:r w:rsidRPr="00860B2B">
        <w:rPr>
          <w:rFonts w:ascii="Times New Roman" w:hAnsi="Times New Roman" w:cs="Times New Roman"/>
          <w:kern w:val="0"/>
          <w14:ligatures w14:val="none"/>
        </w:rPr>
        <w:t xml:space="preserve">party </w:t>
      </w:r>
      <w:r w:rsidR="00AE02AA" w:rsidRPr="00860B2B">
        <w:rPr>
          <w:rFonts w:ascii="Times New Roman" w:hAnsi="Times New Roman" w:cs="Times New Roman"/>
          <w:kern w:val="0"/>
          <w14:ligatures w14:val="none"/>
        </w:rPr>
        <w:t xml:space="preserve">approaching the court for </w:t>
      </w:r>
      <w:r w:rsidRPr="00860B2B">
        <w:rPr>
          <w:rFonts w:ascii="Times New Roman" w:hAnsi="Times New Roman" w:cs="Times New Roman"/>
          <w:kern w:val="0"/>
          <w14:ligatures w14:val="none"/>
        </w:rPr>
        <w:t xml:space="preserve">such relief must demonstrate that they are </w:t>
      </w:r>
      <w:r w:rsidRPr="00860B2B">
        <w:rPr>
          <w:rFonts w:ascii="Times New Roman" w:eastAsia="Cambria" w:hAnsi="Times New Roman" w:cs="Times New Roman"/>
          <w:lang w:val="en-US" w:bidi="en-US"/>
        </w:rPr>
        <w:t>an ‘interested person’, in the sense of having a direct and substantial interest in the subject matter of the suit which could be prejudicially affected by the judgment of the court.</w:t>
      </w:r>
      <w:r w:rsidRPr="00860B2B">
        <w:rPr>
          <w:rStyle w:val="FootnoteReference"/>
          <w:rFonts w:ascii="Times New Roman" w:eastAsia="Cambria" w:hAnsi="Times New Roman" w:cs="Times New Roman"/>
          <w:lang w:val="en-US" w:bidi="en-US"/>
        </w:rPr>
        <w:footnoteReference w:id="3"/>
      </w:r>
      <w:r w:rsidRPr="00860B2B">
        <w:rPr>
          <w:rFonts w:ascii="Times New Roman" w:eastAsia="Cambria" w:hAnsi="Times New Roman" w:cs="Times New Roman"/>
          <w:lang w:val="en-US" w:bidi="en-US"/>
        </w:rPr>
        <w:t xml:space="preserve"> </w:t>
      </w:r>
    </w:p>
    <w:p w14:paraId="24865703" w14:textId="4AA3ADDF" w:rsidR="00AE02AA" w:rsidRPr="0056266F" w:rsidRDefault="00AE02AA" w:rsidP="008759C7">
      <w:pPr>
        <w:pStyle w:val="ListParagraph"/>
        <w:numPr>
          <w:ilvl w:val="0"/>
          <w:numId w:val="12"/>
        </w:numPr>
        <w:tabs>
          <w:tab w:val="left" w:pos="426"/>
        </w:tabs>
        <w:spacing w:after="0" w:line="360" w:lineRule="auto"/>
        <w:ind w:left="0" w:firstLine="0"/>
        <w:jc w:val="both"/>
        <w:rPr>
          <w:rFonts w:ascii="Times New Roman" w:hAnsi="Times New Roman" w:cs="Times New Roman"/>
          <w:i/>
          <w:iCs/>
          <w:kern w:val="0"/>
          <w14:ligatures w14:val="none"/>
        </w:rPr>
      </w:pPr>
      <w:r w:rsidRPr="0056266F">
        <w:rPr>
          <w:rFonts w:ascii="Times New Roman" w:hAnsi="Times New Roman" w:cs="Times New Roman"/>
          <w:kern w:val="0"/>
          <w14:ligatures w14:val="none"/>
        </w:rPr>
        <w:t xml:space="preserve">To succeed in an application for a </w:t>
      </w:r>
      <w:r w:rsidRPr="0056266F">
        <w:rPr>
          <w:rFonts w:ascii="Times New Roman" w:hAnsi="Times New Roman" w:cs="Times New Roman"/>
          <w:i/>
          <w:iCs/>
          <w:kern w:val="0"/>
          <w14:ligatures w14:val="none"/>
        </w:rPr>
        <w:t>declaratur</w:t>
      </w:r>
      <w:r w:rsidRPr="0056266F">
        <w:rPr>
          <w:rFonts w:ascii="Times New Roman" w:hAnsi="Times New Roman" w:cs="Times New Roman"/>
          <w:kern w:val="0"/>
          <w14:ligatures w14:val="none"/>
        </w:rPr>
        <w:t xml:space="preserve">, </w:t>
      </w:r>
      <w:r w:rsidR="00911EB3" w:rsidRPr="0056266F">
        <w:rPr>
          <w:rFonts w:ascii="Times New Roman" w:hAnsi="Times New Roman" w:cs="Times New Roman"/>
          <w:kern w:val="0"/>
          <w14:ligatures w14:val="none"/>
        </w:rPr>
        <w:t>the nature of the right that an applicant seeks to assert must be clearly articulated</w:t>
      </w:r>
      <w:r w:rsidR="0056266F" w:rsidRPr="0056266F">
        <w:rPr>
          <w:rFonts w:ascii="Times New Roman" w:hAnsi="Times New Roman" w:cs="Times New Roman"/>
          <w:kern w:val="0"/>
          <w14:ligatures w14:val="none"/>
        </w:rPr>
        <w:t>. The point was made in the case of</w:t>
      </w:r>
      <w:r w:rsidRPr="0056266F">
        <w:rPr>
          <w:rFonts w:ascii="Times New Roman" w:eastAsia="Cambria" w:hAnsi="Times New Roman" w:cs="Times New Roman"/>
          <w:lang w:val="en-US" w:bidi="en-US"/>
        </w:rPr>
        <w:t xml:space="preserve"> </w:t>
      </w:r>
      <w:r w:rsidRPr="0056266F">
        <w:rPr>
          <w:rFonts w:ascii="Times New Roman" w:eastAsia="Cambria" w:hAnsi="Times New Roman" w:cs="Times New Roman"/>
          <w:i/>
          <w:lang w:val="en-US" w:bidi="en-US"/>
        </w:rPr>
        <w:t xml:space="preserve">Electrical </w:t>
      </w:r>
      <w:r w:rsidRPr="0056266F">
        <w:rPr>
          <w:rFonts w:ascii="Times New Roman" w:eastAsia="Cambria" w:hAnsi="Times New Roman" w:cs="Times New Roman"/>
          <w:i/>
          <w:lang w:val="en-US" w:bidi="en-US"/>
        </w:rPr>
        <w:lastRenderedPageBreak/>
        <w:t xml:space="preserve">Contractors' Association (South Africa) and Another v Building Industries Federation (South Africa) </w:t>
      </w:r>
      <w:r w:rsidRPr="0056266F">
        <w:rPr>
          <w:rFonts w:ascii="Times New Roman" w:eastAsia="Cambria" w:hAnsi="Times New Roman" w:cs="Times New Roman"/>
          <w:lang w:val="en-US" w:bidi="en-US"/>
        </w:rPr>
        <w:t>(2)</w:t>
      </w:r>
      <w:r w:rsidR="0056266F">
        <w:rPr>
          <w:rStyle w:val="FootnoteReference"/>
          <w:rFonts w:ascii="Times New Roman" w:eastAsia="Cambria" w:hAnsi="Times New Roman" w:cs="Times New Roman"/>
          <w:lang w:val="en-US" w:bidi="en-US"/>
        </w:rPr>
        <w:footnoteReference w:id="4"/>
      </w:r>
      <w:r w:rsidRPr="0056266F">
        <w:rPr>
          <w:rFonts w:ascii="Times New Roman" w:eastAsia="Cambria" w:hAnsi="Times New Roman" w:cs="Times New Roman"/>
          <w:lang w:val="en-US" w:bidi="en-US"/>
        </w:rPr>
        <w:t xml:space="preserve"> </w:t>
      </w:r>
      <w:r w:rsidR="0056266F">
        <w:rPr>
          <w:rFonts w:ascii="Times New Roman" w:eastAsia="Cambria" w:hAnsi="Times New Roman" w:cs="Times New Roman"/>
          <w:lang w:val="en-US" w:bidi="en-US"/>
        </w:rPr>
        <w:t>as follows</w:t>
      </w:r>
      <w:r w:rsidRPr="0056266F">
        <w:rPr>
          <w:rFonts w:ascii="Times New Roman" w:eastAsia="Cambria" w:hAnsi="Times New Roman" w:cs="Times New Roman"/>
          <w:lang w:val="en-US" w:bidi="en-US"/>
        </w:rPr>
        <w:t>: -</w:t>
      </w:r>
    </w:p>
    <w:p w14:paraId="283C28F7" w14:textId="50C4C1F1" w:rsidR="00AE02AA" w:rsidRDefault="00AE02AA" w:rsidP="0056266F">
      <w:pPr>
        <w:pStyle w:val="ListParagraph"/>
        <w:tabs>
          <w:tab w:val="left" w:pos="426"/>
        </w:tabs>
        <w:spacing w:after="0" w:line="240" w:lineRule="auto"/>
        <w:jc w:val="both"/>
        <w:rPr>
          <w:rFonts w:ascii="Times New Roman" w:eastAsia="Cambria" w:hAnsi="Times New Roman" w:cs="Times New Roman"/>
          <w:i/>
          <w:sz w:val="22"/>
          <w:szCs w:val="22"/>
          <w:lang w:val="en-US" w:bidi="en-US"/>
        </w:rPr>
      </w:pPr>
      <w:r w:rsidRPr="0056266F">
        <w:rPr>
          <w:rFonts w:ascii="Times New Roman" w:eastAsia="Cambria" w:hAnsi="Times New Roman" w:cs="Times New Roman"/>
          <w:sz w:val="22"/>
          <w:szCs w:val="22"/>
          <w:lang w:val="en-US" w:bidi="en-US"/>
        </w:rPr>
        <w:t xml:space="preserve">“A person seeking a declaration of rights must set forth his contention as to </w:t>
      </w:r>
      <w:r w:rsidRPr="0056266F">
        <w:rPr>
          <w:rFonts w:ascii="Times New Roman" w:eastAsia="Cambria" w:hAnsi="Times New Roman" w:cs="Times New Roman"/>
          <w:sz w:val="22"/>
          <w:szCs w:val="22"/>
          <w:u w:val="single"/>
          <w:lang w:val="en-US" w:bidi="en-US"/>
        </w:rPr>
        <w:t>what the alleged right is</w:t>
      </w:r>
      <w:r w:rsidRPr="0056266F">
        <w:rPr>
          <w:rFonts w:ascii="Times New Roman" w:eastAsia="Cambria" w:hAnsi="Times New Roman" w:cs="Times New Roman"/>
          <w:sz w:val="22"/>
          <w:szCs w:val="22"/>
          <w:lang w:val="en-US" w:bidi="en-US"/>
        </w:rPr>
        <w:t xml:space="preserve">. (See </w:t>
      </w:r>
      <w:r w:rsidRPr="0056266F">
        <w:rPr>
          <w:rFonts w:ascii="Times New Roman" w:eastAsia="Cambria" w:hAnsi="Times New Roman" w:cs="Times New Roman"/>
          <w:i/>
          <w:sz w:val="22"/>
          <w:szCs w:val="22"/>
          <w:lang w:val="en-US" w:bidi="en-US"/>
        </w:rPr>
        <w:t>O’Neill v Kruger’s Executrix and Others</w:t>
      </w:r>
      <w:r w:rsidRPr="0056266F">
        <w:rPr>
          <w:rFonts w:ascii="Times New Roman" w:eastAsia="Cambria" w:hAnsi="Times New Roman" w:cs="Times New Roman"/>
          <w:sz w:val="22"/>
          <w:szCs w:val="22"/>
          <w:lang w:val="en-US" w:bidi="en-US"/>
        </w:rPr>
        <w:t xml:space="preserve">) 1906 TS 342 at 344-5; </w:t>
      </w:r>
      <w:r w:rsidRPr="0056266F">
        <w:rPr>
          <w:rFonts w:ascii="Times New Roman" w:eastAsia="Cambria" w:hAnsi="Times New Roman" w:cs="Times New Roman"/>
          <w:i/>
          <w:sz w:val="22"/>
          <w:szCs w:val="22"/>
          <w:lang w:val="en-US" w:bidi="en-US"/>
        </w:rPr>
        <w:t>Smit v Roussow and Ors</w:t>
      </w:r>
      <w:r w:rsidRPr="0056266F">
        <w:rPr>
          <w:rFonts w:ascii="Times New Roman" w:eastAsia="Cambria" w:hAnsi="Times New Roman" w:cs="Times New Roman"/>
          <w:sz w:val="22"/>
          <w:szCs w:val="22"/>
          <w:lang w:val="en-US" w:bidi="en-US"/>
        </w:rPr>
        <w:t xml:space="preserve"> 1913 CPD 436 at 441.).” (</w:t>
      </w:r>
      <w:r w:rsidRPr="0056266F">
        <w:rPr>
          <w:rFonts w:ascii="Times New Roman" w:eastAsia="Cambria" w:hAnsi="Times New Roman" w:cs="Times New Roman"/>
          <w:i/>
          <w:sz w:val="22"/>
          <w:szCs w:val="22"/>
          <w:lang w:val="en-US" w:bidi="en-US"/>
        </w:rPr>
        <w:t>emphasis added).</w:t>
      </w:r>
    </w:p>
    <w:p w14:paraId="2B324A27" w14:textId="77777777" w:rsidR="0056266F" w:rsidRPr="0056266F" w:rsidRDefault="0056266F" w:rsidP="0056266F">
      <w:pPr>
        <w:pStyle w:val="ListParagraph"/>
        <w:tabs>
          <w:tab w:val="left" w:pos="426"/>
        </w:tabs>
        <w:spacing w:after="0" w:line="240" w:lineRule="auto"/>
        <w:jc w:val="both"/>
        <w:rPr>
          <w:rFonts w:ascii="Times New Roman" w:hAnsi="Times New Roman" w:cs="Times New Roman"/>
          <w:i/>
          <w:iCs/>
          <w:kern w:val="0"/>
          <w:sz w:val="22"/>
          <w:szCs w:val="22"/>
          <w14:ligatures w14:val="none"/>
        </w:rPr>
      </w:pPr>
    </w:p>
    <w:p w14:paraId="3EAD6015" w14:textId="2834980C" w:rsidR="00BE77CD" w:rsidRPr="00BE77CD" w:rsidRDefault="00BE77CD" w:rsidP="00BE77CD">
      <w:pPr>
        <w:pStyle w:val="ListParagraph"/>
        <w:tabs>
          <w:tab w:val="left" w:pos="426"/>
        </w:tabs>
        <w:spacing w:after="0" w:line="360" w:lineRule="auto"/>
        <w:ind w:left="0"/>
        <w:jc w:val="both"/>
        <w:rPr>
          <w:rFonts w:ascii="Times New Roman" w:hAnsi="Times New Roman" w:cs="Times New Roman"/>
          <w:kern w:val="0"/>
          <w14:ligatures w14:val="none"/>
        </w:rPr>
      </w:pPr>
      <w:r w:rsidRPr="00BE77CD">
        <w:rPr>
          <w:rFonts w:ascii="Times New Roman" w:hAnsi="Times New Roman" w:cs="Times New Roman"/>
          <w:b/>
          <w:bCs/>
          <w:i/>
          <w:iCs/>
          <w:kern w:val="0"/>
          <w:u w:val="single"/>
          <w14:ligatures w14:val="none"/>
        </w:rPr>
        <w:t>What application was before the Court</w:t>
      </w:r>
      <w:r w:rsidRPr="00BE77CD">
        <w:rPr>
          <w:rFonts w:ascii="Times New Roman" w:hAnsi="Times New Roman" w:cs="Times New Roman"/>
          <w:kern w:val="0"/>
          <w14:ligatures w14:val="none"/>
        </w:rPr>
        <w:t xml:space="preserve"> </w:t>
      </w:r>
    </w:p>
    <w:p w14:paraId="111849FD" w14:textId="0D1A3A0B" w:rsidR="00F704D4" w:rsidRDefault="0056266F"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Having</w:t>
      </w:r>
      <w:r w:rsidR="00C104F8">
        <w:rPr>
          <w:rFonts w:ascii="Times New Roman" w:hAnsi="Times New Roman" w:cs="Times New Roman"/>
          <w:kern w:val="0"/>
          <w14:ligatures w14:val="none"/>
        </w:rPr>
        <w:t xml:space="preserve"> explored </w:t>
      </w:r>
      <w:r>
        <w:rPr>
          <w:rFonts w:ascii="Times New Roman" w:hAnsi="Times New Roman" w:cs="Times New Roman"/>
          <w:kern w:val="0"/>
          <w14:ligatures w14:val="none"/>
        </w:rPr>
        <w:t xml:space="preserve">the legal foundation of the two forms of relief set out in the applicants’ founding affidavit, it still behoves the court to determine what application was before the court. </w:t>
      </w:r>
      <w:r w:rsidR="00E86CE7">
        <w:rPr>
          <w:rFonts w:ascii="Times New Roman" w:hAnsi="Times New Roman" w:cs="Times New Roman"/>
          <w:kern w:val="0"/>
          <w14:ligatures w14:val="none"/>
        </w:rPr>
        <w:t>The nature of the application before the court is resolved by reference to the contents of the founding affidavit where there appears to be a conflict between the heading on the cover of the application, the relief sought and the founding affidavit.</w:t>
      </w:r>
      <w:r w:rsidR="00E86CE7">
        <w:rPr>
          <w:rStyle w:val="FootnoteReference"/>
          <w:rFonts w:ascii="Times New Roman" w:hAnsi="Times New Roman" w:cs="Times New Roman"/>
          <w:kern w:val="0"/>
          <w14:ligatures w14:val="none"/>
        </w:rPr>
        <w:footnoteReference w:id="5"/>
      </w:r>
      <w:r w:rsidR="00E86CE7">
        <w:rPr>
          <w:rFonts w:ascii="Times New Roman" w:hAnsi="Times New Roman" w:cs="Times New Roman"/>
          <w:kern w:val="0"/>
          <w14:ligatures w14:val="none"/>
        </w:rPr>
        <w:t xml:space="preserve">  </w:t>
      </w:r>
    </w:p>
    <w:p w14:paraId="324E3E20" w14:textId="2F2CA3BA" w:rsidR="00F704D4" w:rsidRDefault="00725B89"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applicants’ case as pleaded in the founding affidavit show</w:t>
      </w:r>
      <w:r w:rsidR="00850F30">
        <w:rPr>
          <w:rFonts w:ascii="Times New Roman" w:hAnsi="Times New Roman" w:cs="Times New Roman"/>
          <w:kern w:val="0"/>
          <w14:ligatures w14:val="none"/>
        </w:rPr>
        <w:t>ed</w:t>
      </w:r>
      <w:r>
        <w:rPr>
          <w:rFonts w:ascii="Times New Roman" w:hAnsi="Times New Roman" w:cs="Times New Roman"/>
          <w:kern w:val="0"/>
          <w14:ligatures w14:val="none"/>
        </w:rPr>
        <w:t xml:space="preserve"> that their complaint </w:t>
      </w:r>
      <w:r w:rsidR="00850F30">
        <w:rPr>
          <w:rFonts w:ascii="Times New Roman" w:hAnsi="Times New Roman" w:cs="Times New Roman"/>
          <w:kern w:val="0"/>
          <w14:ligatures w14:val="none"/>
        </w:rPr>
        <w:t>wa</w:t>
      </w:r>
      <w:r>
        <w:rPr>
          <w:rFonts w:ascii="Times New Roman" w:hAnsi="Times New Roman" w:cs="Times New Roman"/>
          <w:kern w:val="0"/>
          <w14:ligatures w14:val="none"/>
        </w:rPr>
        <w:t xml:space="preserve">s more about the administrative conduct of the first respondent than anything else. In para 22 of the founding affidavit, the applicants complained about the validation of the EY report by the second respondent, which they dismissed as fundamentally flawed and grossly irregular for </w:t>
      </w:r>
      <w:r w:rsidR="009A3AA2">
        <w:rPr>
          <w:rFonts w:ascii="Times New Roman" w:hAnsi="Times New Roman" w:cs="Times New Roman"/>
          <w:kern w:val="0"/>
          <w14:ligatures w14:val="none"/>
        </w:rPr>
        <w:t xml:space="preserve">the </w:t>
      </w:r>
      <w:r>
        <w:rPr>
          <w:rFonts w:ascii="Times New Roman" w:hAnsi="Times New Roman" w:cs="Times New Roman"/>
          <w:kern w:val="0"/>
          <w14:ligatures w14:val="none"/>
        </w:rPr>
        <w:t>reasons</w:t>
      </w:r>
      <w:r w:rsidR="009A3AA2">
        <w:rPr>
          <w:rFonts w:ascii="Times New Roman" w:hAnsi="Times New Roman" w:cs="Times New Roman"/>
          <w:kern w:val="0"/>
          <w14:ligatures w14:val="none"/>
        </w:rPr>
        <w:t xml:space="preserve"> </w:t>
      </w:r>
      <w:r>
        <w:rPr>
          <w:rFonts w:ascii="Times New Roman" w:hAnsi="Times New Roman" w:cs="Times New Roman"/>
          <w:kern w:val="0"/>
          <w14:ligatures w14:val="none"/>
        </w:rPr>
        <w:t xml:space="preserve">set out in that paragraph. </w:t>
      </w:r>
      <w:r w:rsidR="008E67DD">
        <w:rPr>
          <w:rFonts w:ascii="Times New Roman" w:hAnsi="Times New Roman" w:cs="Times New Roman"/>
          <w:kern w:val="0"/>
          <w14:ligatures w14:val="none"/>
        </w:rPr>
        <w:t xml:space="preserve">In para 23, the applicants also averred that the first respondent’s directive, borne out of a fundamentally flawed report by the second respondent with cocktail of errors </w:t>
      </w:r>
      <w:r w:rsidR="008E67DD" w:rsidRPr="008E67DD">
        <w:rPr>
          <w:rFonts w:ascii="Times New Roman" w:hAnsi="Times New Roman" w:cs="Times New Roman"/>
          <w:i/>
          <w:iCs/>
          <w:kern w:val="0"/>
          <w14:ligatures w14:val="none"/>
        </w:rPr>
        <w:t>“cannot be reasonable, just and fair as is required of the 1</w:t>
      </w:r>
      <w:r w:rsidR="008E67DD" w:rsidRPr="008E67DD">
        <w:rPr>
          <w:rFonts w:ascii="Times New Roman" w:hAnsi="Times New Roman" w:cs="Times New Roman"/>
          <w:i/>
          <w:iCs/>
          <w:kern w:val="0"/>
          <w:vertAlign w:val="superscript"/>
          <w14:ligatures w14:val="none"/>
        </w:rPr>
        <w:t>st</w:t>
      </w:r>
      <w:r w:rsidR="008E67DD" w:rsidRPr="008E67DD">
        <w:rPr>
          <w:rFonts w:ascii="Times New Roman" w:hAnsi="Times New Roman" w:cs="Times New Roman"/>
          <w:i/>
          <w:iCs/>
          <w:kern w:val="0"/>
          <w14:ligatures w14:val="none"/>
        </w:rPr>
        <w:t xml:space="preserve"> Respondent in terms of his responsibility as an </w:t>
      </w:r>
      <w:r w:rsidR="008E67DD" w:rsidRPr="008E67DD">
        <w:rPr>
          <w:rFonts w:ascii="Times New Roman" w:hAnsi="Times New Roman" w:cs="Times New Roman"/>
          <w:i/>
          <w:iCs/>
          <w:kern w:val="0"/>
          <w:u w:val="single"/>
          <w14:ligatures w14:val="none"/>
        </w:rPr>
        <w:t>administrative authority</w:t>
      </w:r>
      <w:r w:rsidR="008E67DD" w:rsidRPr="008E67DD">
        <w:rPr>
          <w:rFonts w:ascii="Times New Roman" w:hAnsi="Times New Roman" w:cs="Times New Roman"/>
          <w:i/>
          <w:iCs/>
          <w:kern w:val="0"/>
          <w14:ligatures w14:val="none"/>
        </w:rPr>
        <w:t xml:space="preserve"> to act </w:t>
      </w:r>
      <w:r w:rsidR="008E67DD" w:rsidRPr="008E67DD">
        <w:rPr>
          <w:rFonts w:ascii="Times New Roman" w:hAnsi="Times New Roman" w:cs="Times New Roman"/>
          <w:i/>
          <w:iCs/>
          <w:kern w:val="0"/>
          <w:u w:val="single"/>
          <w14:ligatures w14:val="none"/>
        </w:rPr>
        <w:t>reasonably</w:t>
      </w:r>
      <w:r w:rsidR="008E67DD" w:rsidRPr="008E67DD">
        <w:rPr>
          <w:rFonts w:ascii="Times New Roman" w:hAnsi="Times New Roman" w:cs="Times New Roman"/>
          <w:i/>
          <w:iCs/>
          <w:kern w:val="0"/>
          <w14:ligatures w14:val="none"/>
        </w:rPr>
        <w:t xml:space="preserve"> and in </w:t>
      </w:r>
      <w:r w:rsidR="008E67DD" w:rsidRPr="008E67DD">
        <w:rPr>
          <w:rFonts w:ascii="Times New Roman" w:hAnsi="Times New Roman" w:cs="Times New Roman"/>
          <w:i/>
          <w:iCs/>
          <w:kern w:val="0"/>
          <w:u w:val="single"/>
          <w14:ligatures w14:val="none"/>
        </w:rPr>
        <w:t>a fair manner</w:t>
      </w:r>
      <w:r w:rsidR="008E67DD" w:rsidRPr="008E67DD">
        <w:rPr>
          <w:rFonts w:ascii="Times New Roman" w:hAnsi="Times New Roman" w:cs="Times New Roman"/>
          <w:i/>
          <w:iCs/>
          <w:kern w:val="0"/>
          <w14:ligatures w14:val="none"/>
        </w:rPr>
        <w:t xml:space="preserve">, and to give </w:t>
      </w:r>
      <w:r w:rsidR="008E67DD" w:rsidRPr="008E67DD">
        <w:rPr>
          <w:rFonts w:ascii="Times New Roman" w:hAnsi="Times New Roman" w:cs="Times New Roman"/>
          <w:i/>
          <w:iCs/>
          <w:kern w:val="0"/>
          <w:u w:val="single"/>
          <w14:ligatures w14:val="none"/>
        </w:rPr>
        <w:t>sufficient reasons</w:t>
      </w:r>
      <w:r w:rsidR="008E67DD" w:rsidRPr="008E67DD">
        <w:rPr>
          <w:rFonts w:ascii="Times New Roman" w:hAnsi="Times New Roman" w:cs="Times New Roman"/>
          <w:i/>
          <w:iCs/>
          <w:kern w:val="0"/>
          <w14:ligatures w14:val="none"/>
        </w:rPr>
        <w:t xml:space="preserve"> for his actions”</w:t>
      </w:r>
      <w:r w:rsidR="008E67DD">
        <w:rPr>
          <w:rFonts w:ascii="Times New Roman" w:hAnsi="Times New Roman" w:cs="Times New Roman"/>
          <w:kern w:val="0"/>
          <w14:ligatures w14:val="none"/>
        </w:rPr>
        <w:t xml:space="preserve">. </w:t>
      </w:r>
      <w:r>
        <w:rPr>
          <w:rFonts w:ascii="Times New Roman" w:hAnsi="Times New Roman" w:cs="Times New Roman"/>
          <w:kern w:val="0"/>
          <w14:ligatures w14:val="none"/>
        </w:rPr>
        <w:t>In paragraph 31 of the founding affidavit, the applicants averred that:</w:t>
      </w:r>
    </w:p>
    <w:p w14:paraId="72BF1722" w14:textId="77777777" w:rsidR="00C81E8C" w:rsidRDefault="00725B89" w:rsidP="00C81E8C">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r w:rsidRPr="00C81E8C">
        <w:rPr>
          <w:rFonts w:ascii="Times New Roman" w:hAnsi="Times New Roman" w:cs="Times New Roman"/>
          <w:kern w:val="0"/>
          <w:sz w:val="22"/>
          <w:szCs w:val="22"/>
          <w14:ligatures w14:val="none"/>
        </w:rPr>
        <w:t>“That the 1</w:t>
      </w:r>
      <w:r w:rsidRPr="00C81E8C">
        <w:rPr>
          <w:rFonts w:ascii="Times New Roman" w:hAnsi="Times New Roman" w:cs="Times New Roman"/>
          <w:kern w:val="0"/>
          <w:sz w:val="22"/>
          <w:szCs w:val="22"/>
          <w:vertAlign w:val="superscript"/>
          <w14:ligatures w14:val="none"/>
        </w:rPr>
        <w:t>st</w:t>
      </w:r>
      <w:r w:rsidRPr="00C81E8C">
        <w:rPr>
          <w:rFonts w:ascii="Times New Roman" w:hAnsi="Times New Roman" w:cs="Times New Roman"/>
          <w:kern w:val="0"/>
          <w:sz w:val="22"/>
          <w:szCs w:val="22"/>
          <w14:ligatures w14:val="none"/>
        </w:rPr>
        <w:t xml:space="preserve"> Respondent has an obligation, and resultantly that Applicant is entitled to </w:t>
      </w:r>
      <w:r w:rsidRPr="00C81E8C">
        <w:rPr>
          <w:rFonts w:ascii="Times New Roman" w:hAnsi="Times New Roman" w:cs="Times New Roman"/>
          <w:kern w:val="0"/>
          <w:sz w:val="22"/>
          <w:szCs w:val="22"/>
          <w:u w:val="single"/>
          <w14:ligatures w14:val="none"/>
        </w:rPr>
        <w:t>administrative action</w:t>
      </w:r>
      <w:r w:rsidRPr="00C81E8C">
        <w:rPr>
          <w:rFonts w:ascii="Times New Roman" w:hAnsi="Times New Roman" w:cs="Times New Roman"/>
          <w:kern w:val="0"/>
          <w:sz w:val="22"/>
          <w:szCs w:val="22"/>
          <w14:ligatures w14:val="none"/>
        </w:rPr>
        <w:t xml:space="preserve"> by the 1</w:t>
      </w:r>
      <w:r w:rsidRPr="00C81E8C">
        <w:rPr>
          <w:rFonts w:ascii="Times New Roman" w:hAnsi="Times New Roman" w:cs="Times New Roman"/>
          <w:kern w:val="0"/>
          <w:sz w:val="22"/>
          <w:szCs w:val="22"/>
          <w:vertAlign w:val="superscript"/>
          <w14:ligatures w14:val="none"/>
        </w:rPr>
        <w:t>st</w:t>
      </w:r>
      <w:r w:rsidRPr="00C81E8C">
        <w:rPr>
          <w:rFonts w:ascii="Times New Roman" w:hAnsi="Times New Roman" w:cs="Times New Roman"/>
          <w:kern w:val="0"/>
          <w:sz w:val="22"/>
          <w:szCs w:val="22"/>
          <w14:ligatures w14:val="none"/>
        </w:rPr>
        <w:t xml:space="preserve"> Respondent that is </w:t>
      </w:r>
      <w:r w:rsidRPr="00C81E8C">
        <w:rPr>
          <w:rFonts w:ascii="Times New Roman" w:hAnsi="Times New Roman" w:cs="Times New Roman"/>
          <w:kern w:val="0"/>
          <w:sz w:val="22"/>
          <w:szCs w:val="22"/>
          <w:u w:val="single"/>
          <w14:ligatures w14:val="none"/>
        </w:rPr>
        <w:t>lawful, reasonable, fair and sufficiently reasoned</w:t>
      </w:r>
      <w:r w:rsidRPr="00C81E8C">
        <w:rPr>
          <w:rFonts w:ascii="Times New Roman" w:hAnsi="Times New Roman" w:cs="Times New Roman"/>
          <w:kern w:val="0"/>
          <w:sz w:val="22"/>
          <w:szCs w:val="22"/>
          <w14:ligatures w14:val="none"/>
        </w:rPr>
        <w:t xml:space="preserve"> cannot be gainsaid.  </w:t>
      </w:r>
      <w:r w:rsidR="00C81E8C" w:rsidRPr="00C81E8C">
        <w:rPr>
          <w:rFonts w:ascii="Times New Roman" w:hAnsi="Times New Roman" w:cs="Times New Roman"/>
          <w:kern w:val="0"/>
          <w:sz w:val="22"/>
          <w:szCs w:val="22"/>
          <w14:ligatures w14:val="none"/>
        </w:rPr>
        <w:t>For reasons already explained above the action taken by the 1</w:t>
      </w:r>
      <w:r w:rsidR="00C81E8C" w:rsidRPr="00C81E8C">
        <w:rPr>
          <w:rFonts w:ascii="Times New Roman" w:hAnsi="Times New Roman" w:cs="Times New Roman"/>
          <w:kern w:val="0"/>
          <w:sz w:val="22"/>
          <w:szCs w:val="22"/>
          <w:vertAlign w:val="superscript"/>
          <w14:ligatures w14:val="none"/>
        </w:rPr>
        <w:t>st</w:t>
      </w:r>
      <w:r w:rsidR="00C81E8C" w:rsidRPr="00C81E8C">
        <w:rPr>
          <w:rFonts w:ascii="Times New Roman" w:hAnsi="Times New Roman" w:cs="Times New Roman"/>
          <w:kern w:val="0"/>
          <w:sz w:val="22"/>
          <w:szCs w:val="22"/>
          <w14:ligatures w14:val="none"/>
        </w:rPr>
        <w:t xml:space="preserve"> Respondent in its letter of the 8</w:t>
      </w:r>
      <w:r w:rsidR="00C81E8C" w:rsidRPr="00C81E8C">
        <w:rPr>
          <w:rFonts w:ascii="Times New Roman" w:hAnsi="Times New Roman" w:cs="Times New Roman"/>
          <w:kern w:val="0"/>
          <w:sz w:val="22"/>
          <w:szCs w:val="22"/>
          <w:vertAlign w:val="superscript"/>
          <w14:ligatures w14:val="none"/>
        </w:rPr>
        <w:t>th</w:t>
      </w:r>
      <w:r w:rsidR="00C81E8C" w:rsidRPr="00C81E8C">
        <w:rPr>
          <w:rFonts w:ascii="Times New Roman" w:hAnsi="Times New Roman" w:cs="Times New Roman"/>
          <w:kern w:val="0"/>
          <w:sz w:val="22"/>
          <w:szCs w:val="22"/>
          <w14:ligatures w14:val="none"/>
        </w:rPr>
        <w:t xml:space="preserve"> October 2024 fails to meet the standard and requirement, neither can it be denied that the </w:t>
      </w:r>
      <w:r w:rsidR="00C81E8C" w:rsidRPr="00C81E8C">
        <w:rPr>
          <w:rFonts w:ascii="Times New Roman" w:hAnsi="Times New Roman" w:cs="Times New Roman"/>
          <w:kern w:val="0"/>
          <w:sz w:val="22"/>
          <w:szCs w:val="22"/>
          <w:u w:val="single"/>
          <w14:ligatures w14:val="none"/>
        </w:rPr>
        <w:t>Applicants’ rights to administrative justice</w:t>
      </w:r>
      <w:r w:rsidR="00C81E8C" w:rsidRPr="00C81E8C">
        <w:rPr>
          <w:rFonts w:ascii="Times New Roman" w:hAnsi="Times New Roman" w:cs="Times New Roman"/>
          <w:kern w:val="0"/>
          <w:sz w:val="22"/>
          <w:szCs w:val="22"/>
          <w14:ligatures w14:val="none"/>
        </w:rPr>
        <w:t xml:space="preserve"> from the 1</w:t>
      </w:r>
      <w:r w:rsidR="00C81E8C" w:rsidRPr="00C81E8C">
        <w:rPr>
          <w:rFonts w:ascii="Times New Roman" w:hAnsi="Times New Roman" w:cs="Times New Roman"/>
          <w:kern w:val="0"/>
          <w:sz w:val="22"/>
          <w:szCs w:val="22"/>
          <w:vertAlign w:val="superscript"/>
          <w14:ligatures w14:val="none"/>
        </w:rPr>
        <w:t>st</w:t>
      </w:r>
      <w:r w:rsidR="00C81E8C" w:rsidRPr="00C81E8C">
        <w:rPr>
          <w:rFonts w:ascii="Times New Roman" w:hAnsi="Times New Roman" w:cs="Times New Roman"/>
          <w:kern w:val="0"/>
          <w:sz w:val="22"/>
          <w:szCs w:val="22"/>
          <w14:ligatures w14:val="none"/>
        </w:rPr>
        <w:t xml:space="preserve"> Respondent are impaired……”</w:t>
      </w:r>
      <w:r w:rsidR="00C81E8C">
        <w:rPr>
          <w:rFonts w:ascii="Times New Roman" w:hAnsi="Times New Roman" w:cs="Times New Roman"/>
          <w:kern w:val="0"/>
          <w:sz w:val="22"/>
          <w:szCs w:val="22"/>
          <w14:ligatures w14:val="none"/>
        </w:rPr>
        <w:t xml:space="preserve"> (Underlining for emphasis)</w:t>
      </w:r>
    </w:p>
    <w:p w14:paraId="253F642F" w14:textId="43E99327" w:rsidR="00725B89" w:rsidRPr="00C81E8C" w:rsidRDefault="00C81E8C" w:rsidP="00C81E8C">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r w:rsidRPr="00C81E8C">
        <w:rPr>
          <w:rFonts w:ascii="Times New Roman" w:hAnsi="Times New Roman" w:cs="Times New Roman"/>
          <w:kern w:val="0"/>
          <w:sz w:val="22"/>
          <w:szCs w:val="22"/>
          <w14:ligatures w14:val="none"/>
        </w:rPr>
        <w:t xml:space="preserve"> </w:t>
      </w:r>
    </w:p>
    <w:p w14:paraId="2D6090D2" w14:textId="42317F67" w:rsidR="004746B2" w:rsidRDefault="00C81E8C"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That the complaint was directed at the administrative conduct of the first respondent consistent with s 4 of the AJA is also discernible from the nature of the relief sought as captured in paragraphs 6.1 to 6.4 of the founding affidavit. </w:t>
      </w:r>
      <w:r w:rsidR="008E67DD">
        <w:rPr>
          <w:rFonts w:ascii="Times New Roman" w:hAnsi="Times New Roman" w:cs="Times New Roman"/>
          <w:kern w:val="0"/>
          <w14:ligatures w14:val="none"/>
        </w:rPr>
        <w:t xml:space="preserve">The applicants’ founding affidavit did not plead a case for a </w:t>
      </w:r>
      <w:r w:rsidR="008E67DD" w:rsidRPr="008E67DD">
        <w:rPr>
          <w:rFonts w:ascii="Times New Roman" w:hAnsi="Times New Roman" w:cs="Times New Roman"/>
          <w:i/>
          <w:iCs/>
          <w:kern w:val="0"/>
          <w14:ligatures w14:val="none"/>
        </w:rPr>
        <w:t>declaratur</w:t>
      </w:r>
      <w:r w:rsidR="008E67DD">
        <w:rPr>
          <w:rFonts w:ascii="Times New Roman" w:hAnsi="Times New Roman" w:cs="Times New Roman"/>
          <w:kern w:val="0"/>
          <w14:ligatures w14:val="none"/>
        </w:rPr>
        <w:t xml:space="preserve">. The nature of the right for which a </w:t>
      </w:r>
      <w:r w:rsidR="008E67DD" w:rsidRPr="008E67DD">
        <w:rPr>
          <w:rFonts w:ascii="Times New Roman" w:hAnsi="Times New Roman" w:cs="Times New Roman"/>
          <w:i/>
          <w:iCs/>
          <w:kern w:val="0"/>
          <w14:ligatures w14:val="none"/>
        </w:rPr>
        <w:t xml:space="preserve">declaratur </w:t>
      </w:r>
      <w:r w:rsidR="008E67DD">
        <w:rPr>
          <w:rFonts w:ascii="Times New Roman" w:hAnsi="Times New Roman" w:cs="Times New Roman"/>
          <w:kern w:val="0"/>
          <w14:ligatures w14:val="none"/>
        </w:rPr>
        <w:t xml:space="preserve">was sought was not set out. </w:t>
      </w:r>
      <w:r w:rsidR="004746B2">
        <w:rPr>
          <w:rFonts w:ascii="Times New Roman" w:hAnsi="Times New Roman" w:cs="Times New Roman"/>
          <w:kern w:val="0"/>
          <w14:ligatures w14:val="none"/>
        </w:rPr>
        <w:t xml:space="preserve">The applicants’ heads of argument also </w:t>
      </w:r>
      <w:r w:rsidR="00DC56BA">
        <w:rPr>
          <w:rFonts w:ascii="Times New Roman" w:hAnsi="Times New Roman" w:cs="Times New Roman"/>
          <w:kern w:val="0"/>
          <w14:ligatures w14:val="none"/>
        </w:rPr>
        <w:t>revealed t</w:t>
      </w:r>
      <w:r w:rsidR="004746B2">
        <w:rPr>
          <w:rFonts w:ascii="Times New Roman" w:hAnsi="Times New Roman" w:cs="Times New Roman"/>
          <w:kern w:val="0"/>
          <w14:ligatures w14:val="none"/>
        </w:rPr>
        <w:t>he nature of the application before the court. In para 9 of the heads of argument, it was stated that:</w:t>
      </w:r>
    </w:p>
    <w:p w14:paraId="6009BF4E" w14:textId="4726FBDF" w:rsidR="004746B2" w:rsidRDefault="004746B2" w:rsidP="004746B2">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r w:rsidRPr="004746B2">
        <w:rPr>
          <w:rFonts w:ascii="Times New Roman" w:hAnsi="Times New Roman" w:cs="Times New Roman"/>
          <w:kern w:val="0"/>
          <w:sz w:val="22"/>
          <w:szCs w:val="22"/>
          <w14:ligatures w14:val="none"/>
        </w:rPr>
        <w:lastRenderedPageBreak/>
        <w:t>“Application in this matter has been made in terms of section 4(1) of the Administrative Justice Act [Chapter 10:28] (AJA). The provision allows for the making of an application by any person aggrieved by the failure of an administrative authority to comply with section 3 of AJA….”</w:t>
      </w:r>
      <w:r>
        <w:rPr>
          <w:rStyle w:val="FootnoteReference"/>
          <w:rFonts w:ascii="Times New Roman" w:hAnsi="Times New Roman" w:cs="Times New Roman"/>
          <w:kern w:val="0"/>
          <w:sz w:val="22"/>
          <w:szCs w:val="22"/>
          <w14:ligatures w14:val="none"/>
        </w:rPr>
        <w:footnoteReference w:id="6"/>
      </w:r>
      <w:r w:rsidRPr="004746B2">
        <w:rPr>
          <w:rFonts w:ascii="Times New Roman" w:hAnsi="Times New Roman" w:cs="Times New Roman"/>
          <w:kern w:val="0"/>
          <w:sz w:val="22"/>
          <w:szCs w:val="22"/>
          <w14:ligatures w14:val="none"/>
        </w:rPr>
        <w:t xml:space="preserve"> </w:t>
      </w:r>
    </w:p>
    <w:p w14:paraId="7AE5F349" w14:textId="77777777" w:rsidR="00754DD2" w:rsidRDefault="00754DD2" w:rsidP="004746B2">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p>
    <w:p w14:paraId="1E283D29" w14:textId="3CA06259" w:rsidR="00725B89" w:rsidRPr="00E4684D" w:rsidRDefault="00754DD2"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No further reference was made to the </w:t>
      </w:r>
      <w:r w:rsidRPr="00754DD2">
        <w:rPr>
          <w:rFonts w:ascii="Times New Roman" w:hAnsi="Times New Roman" w:cs="Times New Roman"/>
          <w:i/>
          <w:iCs/>
          <w:kern w:val="0"/>
          <w14:ligatures w14:val="none"/>
        </w:rPr>
        <w:t>declaratur</w:t>
      </w:r>
      <w:r>
        <w:rPr>
          <w:rFonts w:ascii="Times New Roman" w:hAnsi="Times New Roman" w:cs="Times New Roman"/>
          <w:kern w:val="0"/>
          <w14:ligatures w14:val="none"/>
        </w:rPr>
        <w:t xml:space="preserve">, or to the essential requirements of that kind of relief. </w:t>
      </w:r>
      <w:r w:rsidR="008E67DD">
        <w:rPr>
          <w:rFonts w:ascii="Times New Roman" w:hAnsi="Times New Roman" w:cs="Times New Roman"/>
          <w:kern w:val="0"/>
          <w14:ligatures w14:val="none"/>
        </w:rPr>
        <w:t xml:space="preserve">The court therefore agrees with the first respondent’s submission that what was </w:t>
      </w:r>
      <w:r w:rsidR="008E67DD" w:rsidRPr="00E4684D">
        <w:rPr>
          <w:rFonts w:ascii="Times New Roman" w:hAnsi="Times New Roman" w:cs="Times New Roman"/>
          <w:kern w:val="0"/>
          <w14:ligatures w14:val="none"/>
        </w:rPr>
        <w:t xml:space="preserve">before the court was an application for review, which the applicants </w:t>
      </w:r>
      <w:r w:rsidR="00850F30" w:rsidRPr="00E4684D">
        <w:rPr>
          <w:rFonts w:ascii="Times New Roman" w:hAnsi="Times New Roman" w:cs="Times New Roman"/>
          <w:kern w:val="0"/>
          <w14:ligatures w14:val="none"/>
        </w:rPr>
        <w:t xml:space="preserve">also </w:t>
      </w:r>
      <w:r w:rsidR="008E67DD" w:rsidRPr="00E4684D">
        <w:rPr>
          <w:rFonts w:ascii="Times New Roman" w:hAnsi="Times New Roman" w:cs="Times New Roman"/>
          <w:kern w:val="0"/>
          <w14:ligatures w14:val="none"/>
        </w:rPr>
        <w:t xml:space="preserve">sought to portray as one for a </w:t>
      </w:r>
      <w:r w:rsidR="008E67DD" w:rsidRPr="00E4684D">
        <w:rPr>
          <w:rFonts w:ascii="Times New Roman" w:hAnsi="Times New Roman" w:cs="Times New Roman"/>
          <w:i/>
          <w:iCs/>
          <w:kern w:val="0"/>
          <w14:ligatures w14:val="none"/>
        </w:rPr>
        <w:t>declaratur</w:t>
      </w:r>
      <w:r w:rsidR="008E67DD" w:rsidRPr="00E4684D">
        <w:rPr>
          <w:rFonts w:ascii="Times New Roman" w:hAnsi="Times New Roman" w:cs="Times New Roman"/>
          <w:kern w:val="0"/>
          <w14:ligatures w14:val="none"/>
        </w:rPr>
        <w:t xml:space="preserve">. </w:t>
      </w:r>
    </w:p>
    <w:p w14:paraId="6C358167" w14:textId="22BD44F1" w:rsidR="00754DD2" w:rsidRPr="00E4684D" w:rsidRDefault="00754DD2" w:rsidP="00754DD2">
      <w:pPr>
        <w:pStyle w:val="ListParagraph"/>
        <w:tabs>
          <w:tab w:val="left" w:pos="426"/>
        </w:tabs>
        <w:spacing w:after="0" w:line="360" w:lineRule="auto"/>
        <w:ind w:left="0"/>
        <w:jc w:val="both"/>
        <w:rPr>
          <w:rFonts w:ascii="Times New Roman" w:hAnsi="Times New Roman" w:cs="Times New Roman"/>
          <w:b/>
          <w:bCs/>
          <w:i/>
          <w:iCs/>
          <w:kern w:val="0"/>
          <w:u w:val="single"/>
          <w14:ligatures w14:val="none"/>
        </w:rPr>
      </w:pPr>
      <w:r w:rsidRPr="00E4684D">
        <w:rPr>
          <w:rFonts w:ascii="Times New Roman" w:hAnsi="Times New Roman" w:cs="Times New Roman"/>
          <w:b/>
          <w:bCs/>
          <w:i/>
          <w:iCs/>
          <w:kern w:val="0"/>
          <w:u w:val="single"/>
          <w14:ligatures w14:val="none"/>
        </w:rPr>
        <w:t xml:space="preserve">Whether the requirements of an application for review were complied with </w:t>
      </w:r>
    </w:p>
    <w:p w14:paraId="41F7367D" w14:textId="1B4F900E" w:rsidR="0097700F" w:rsidRPr="00E4684D" w:rsidRDefault="00754DD2"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 Having established that in substance the application before the court was one for review, the next issue to determine is whether the application</w:t>
      </w:r>
      <w:r w:rsidR="00385077" w:rsidRPr="00E4684D">
        <w:rPr>
          <w:rFonts w:ascii="Times New Roman" w:hAnsi="Times New Roman" w:cs="Times New Roman"/>
          <w:kern w:val="0"/>
          <w14:ligatures w14:val="none"/>
        </w:rPr>
        <w:t xml:space="preserve"> was required to comply </w:t>
      </w:r>
      <w:r w:rsidRPr="00E4684D">
        <w:rPr>
          <w:rFonts w:ascii="Times New Roman" w:hAnsi="Times New Roman" w:cs="Times New Roman"/>
          <w:kern w:val="0"/>
          <w14:ligatures w14:val="none"/>
        </w:rPr>
        <w:t xml:space="preserve">with </w:t>
      </w:r>
      <w:r w:rsidR="007C6A6C" w:rsidRPr="00E4684D">
        <w:rPr>
          <w:rFonts w:ascii="Times New Roman" w:hAnsi="Times New Roman" w:cs="Times New Roman"/>
          <w:kern w:val="0"/>
          <w14:ligatures w14:val="none"/>
        </w:rPr>
        <w:t>r 62</w:t>
      </w:r>
      <w:r w:rsidR="0097700F" w:rsidRPr="00E4684D">
        <w:rPr>
          <w:rFonts w:ascii="Times New Roman" w:hAnsi="Times New Roman" w:cs="Times New Roman"/>
          <w:kern w:val="0"/>
          <w14:ligatures w14:val="none"/>
        </w:rPr>
        <w:t xml:space="preserve">, which sets out the procedure </w:t>
      </w:r>
      <w:r w:rsidR="00F05CB4">
        <w:rPr>
          <w:rFonts w:ascii="Times New Roman" w:hAnsi="Times New Roman" w:cs="Times New Roman"/>
          <w:kern w:val="0"/>
          <w14:ligatures w14:val="none"/>
        </w:rPr>
        <w:t>applicable to</w:t>
      </w:r>
      <w:r w:rsidR="00385077" w:rsidRPr="00E4684D">
        <w:rPr>
          <w:rFonts w:ascii="Times New Roman" w:hAnsi="Times New Roman" w:cs="Times New Roman"/>
          <w:kern w:val="0"/>
          <w14:ligatures w14:val="none"/>
        </w:rPr>
        <w:t xml:space="preserve"> </w:t>
      </w:r>
      <w:r w:rsidR="0097700F" w:rsidRPr="00E4684D">
        <w:rPr>
          <w:rFonts w:ascii="Times New Roman" w:hAnsi="Times New Roman" w:cs="Times New Roman"/>
          <w:kern w:val="0"/>
          <w14:ligatures w14:val="none"/>
        </w:rPr>
        <w:t xml:space="preserve">review applications. Rule 62(1) provides that proceedings challenging the decision of an official performing an administrative function shall be by way of </w:t>
      </w:r>
      <w:r w:rsidR="00385077" w:rsidRPr="00E4684D">
        <w:rPr>
          <w:rFonts w:ascii="Times New Roman" w:hAnsi="Times New Roman" w:cs="Times New Roman"/>
          <w:kern w:val="0"/>
          <w14:ligatures w14:val="none"/>
        </w:rPr>
        <w:t xml:space="preserve">a </w:t>
      </w:r>
      <w:r w:rsidR="0097700F" w:rsidRPr="00E4684D">
        <w:rPr>
          <w:rFonts w:ascii="Times New Roman" w:hAnsi="Times New Roman" w:cs="Times New Roman"/>
          <w:kern w:val="0"/>
          <w14:ligatures w14:val="none"/>
        </w:rPr>
        <w:t xml:space="preserve">court application which must be served on interested parties including the official who made the decision. Rule 62(2) provides that:  </w:t>
      </w:r>
    </w:p>
    <w:p w14:paraId="272ED7C4" w14:textId="705515D1" w:rsidR="0097700F" w:rsidRDefault="0097700F" w:rsidP="00916898">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r w:rsidRPr="00E4684D">
        <w:rPr>
          <w:rFonts w:ascii="Times New Roman" w:hAnsi="Times New Roman" w:cs="Times New Roman"/>
          <w:kern w:val="0"/>
          <w:sz w:val="22"/>
          <w:szCs w:val="22"/>
          <w14:ligatures w14:val="none"/>
        </w:rPr>
        <w:t xml:space="preserve">“(2) The court application shall state shortly and clearly the ground upon which the applicant seeks to have the proceedings set aside or corrected </w:t>
      </w:r>
      <w:r w:rsidRPr="00916898">
        <w:rPr>
          <w:rFonts w:ascii="Times New Roman" w:hAnsi="Times New Roman" w:cs="Times New Roman"/>
          <w:kern w:val="0"/>
          <w:sz w:val="22"/>
          <w:szCs w:val="22"/>
          <w14:ligatures w14:val="none"/>
        </w:rPr>
        <w:t>and the exact relief prayed for all of which shall appear on the face of the court application.</w:t>
      </w:r>
      <w:r w:rsidR="00916898">
        <w:rPr>
          <w:rFonts w:ascii="Times New Roman" w:hAnsi="Times New Roman" w:cs="Times New Roman"/>
          <w:kern w:val="0"/>
          <w:sz w:val="22"/>
          <w:szCs w:val="22"/>
          <w14:ligatures w14:val="none"/>
        </w:rPr>
        <w:t>”</w:t>
      </w:r>
    </w:p>
    <w:p w14:paraId="3AE87EB5" w14:textId="77777777" w:rsidR="00916898" w:rsidRPr="00916898" w:rsidRDefault="00916898" w:rsidP="00916898">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p>
    <w:p w14:paraId="7F009750" w14:textId="658236C9" w:rsidR="00261651" w:rsidRPr="00860B2B" w:rsidRDefault="0091689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question whether a s 4 application must comply with r 62 was </w:t>
      </w:r>
      <w:r w:rsidR="00385077">
        <w:rPr>
          <w:rFonts w:ascii="Times New Roman" w:hAnsi="Times New Roman" w:cs="Times New Roman"/>
          <w:kern w:val="0"/>
          <w14:ligatures w14:val="none"/>
        </w:rPr>
        <w:t xml:space="preserve">dealt with </w:t>
      </w:r>
      <w:r>
        <w:rPr>
          <w:rFonts w:ascii="Times New Roman" w:hAnsi="Times New Roman" w:cs="Times New Roman"/>
          <w:kern w:val="0"/>
          <w14:ligatures w14:val="none"/>
        </w:rPr>
        <w:t xml:space="preserve">in the </w:t>
      </w:r>
      <w:r w:rsidR="002C3FB1" w:rsidRPr="003F6C67">
        <w:rPr>
          <w:rFonts w:ascii="Times New Roman" w:hAnsi="Times New Roman" w:cs="Times New Roman"/>
          <w:i/>
          <w:iCs/>
          <w:kern w:val="0"/>
          <w14:ligatures w14:val="none"/>
        </w:rPr>
        <w:t>Gwarazimba N.O. v Gurta A.G</w:t>
      </w:r>
      <w:r w:rsidR="00385077">
        <w:rPr>
          <w:rFonts w:ascii="Times New Roman" w:hAnsi="Times New Roman" w:cs="Times New Roman"/>
          <w:kern w:val="0"/>
          <w14:ligatures w14:val="none"/>
        </w:rPr>
        <w:t xml:space="preserve"> case referred to above.</w:t>
      </w:r>
      <w:r w:rsidR="00261651">
        <w:rPr>
          <w:rFonts w:ascii="Times New Roman" w:hAnsi="Times New Roman" w:cs="Times New Roman"/>
          <w:i/>
          <w:iCs/>
          <w:kern w:val="0"/>
          <w14:ligatures w14:val="none"/>
        </w:rPr>
        <w:t xml:space="preserve"> </w:t>
      </w:r>
      <w:r w:rsidR="00261651">
        <w:rPr>
          <w:rFonts w:ascii="Times New Roman" w:hAnsi="Times New Roman" w:cs="Times New Roman"/>
          <w:kern w:val="0"/>
          <w14:ligatures w14:val="none"/>
        </w:rPr>
        <w:t>Having observed that the wording of s 27 of the High Court Act, permitted judicial review in terms of any other enactment, the court further stated as follows:</w:t>
      </w:r>
    </w:p>
    <w:p w14:paraId="7582BEDD" w14:textId="0812CE3E" w:rsidR="00261651" w:rsidRPr="00860B2B" w:rsidRDefault="00261651" w:rsidP="00261651">
      <w:pPr>
        <w:pStyle w:val="ListParagraph"/>
        <w:tabs>
          <w:tab w:val="left" w:pos="426"/>
        </w:tabs>
        <w:spacing w:after="0" w:line="240" w:lineRule="auto"/>
        <w:ind w:left="426"/>
        <w:jc w:val="both"/>
        <w:rPr>
          <w:rFonts w:ascii="Times New Roman" w:hAnsi="Times New Roman" w:cs="Times New Roman"/>
          <w:sz w:val="22"/>
          <w:szCs w:val="22"/>
        </w:rPr>
      </w:pPr>
      <w:r w:rsidRPr="00860B2B">
        <w:rPr>
          <w:rFonts w:ascii="Times New Roman" w:hAnsi="Times New Roman" w:cs="Times New Roman"/>
          <w:kern w:val="0"/>
          <w:sz w:val="22"/>
          <w:szCs w:val="22"/>
          <w14:ligatures w14:val="none"/>
        </w:rPr>
        <w:t>“</w:t>
      </w:r>
      <w:r w:rsidRPr="00860B2B">
        <w:rPr>
          <w:rFonts w:ascii="Times New Roman" w:hAnsi="Times New Roman" w:cs="Times New Roman"/>
          <w:sz w:val="22"/>
          <w:szCs w:val="22"/>
        </w:rPr>
        <w:t xml:space="preserve">Based on the authorities cited I am satisfied that the failure by the appellant as an administrative authority to take action when properly requested to do so, constituted an irregularity which may properly be the subject of judicial review.  However, for the reasons stated above, I am not persuaded that the only form of review proceedings in the circumstances of this case, would be those in terms of </w:t>
      </w:r>
      <w:r w:rsidRPr="00860B2B">
        <w:rPr>
          <w:rFonts w:ascii="Times New Roman" w:hAnsi="Times New Roman" w:cs="Times New Roman"/>
          <w:sz w:val="22"/>
          <w:szCs w:val="22"/>
          <w:u w:val="single"/>
        </w:rPr>
        <w:t>Order 33 r 257 of the High Court Rules…”</w:t>
      </w:r>
      <w:r w:rsidRPr="00860B2B">
        <w:rPr>
          <w:rStyle w:val="FootnoteReference"/>
          <w:rFonts w:ascii="Times New Roman" w:hAnsi="Times New Roman" w:cs="Times New Roman"/>
          <w:sz w:val="22"/>
          <w:szCs w:val="22"/>
          <w:u w:val="single"/>
        </w:rPr>
        <w:footnoteReference w:id="7"/>
      </w:r>
      <w:r w:rsidRPr="00860B2B">
        <w:rPr>
          <w:rFonts w:ascii="Times New Roman" w:hAnsi="Times New Roman" w:cs="Times New Roman"/>
          <w:sz w:val="22"/>
          <w:szCs w:val="22"/>
        </w:rPr>
        <w:t xml:space="preserve"> (Underlining for emphasis)</w:t>
      </w:r>
    </w:p>
    <w:p w14:paraId="5D321EDD" w14:textId="77777777" w:rsidR="00261651" w:rsidRPr="00860B2B" w:rsidRDefault="00261651" w:rsidP="00261651">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p>
    <w:p w14:paraId="4574ED54" w14:textId="6F12A104" w:rsidR="00A07FEC" w:rsidRPr="00860B2B" w:rsidRDefault="00A07FEC"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860B2B">
        <w:rPr>
          <w:rFonts w:ascii="Times New Roman" w:hAnsi="Times New Roman" w:cs="Times New Roman"/>
          <w:kern w:val="0"/>
          <w14:ligatures w14:val="none"/>
        </w:rPr>
        <w:t xml:space="preserve"> Further down the same judgment the court reinforced the position that review proceedings were not just confined to o 33 r 257 of the old High Court rules, when it commented as follows:</w:t>
      </w:r>
    </w:p>
    <w:p w14:paraId="096C7B3B" w14:textId="6358A8DB" w:rsidR="00A07FEC" w:rsidRPr="00860B2B" w:rsidRDefault="00A07FEC" w:rsidP="00A07FEC">
      <w:pPr>
        <w:pStyle w:val="ListParagraph"/>
        <w:tabs>
          <w:tab w:val="left" w:pos="426"/>
        </w:tabs>
        <w:spacing w:after="0" w:line="240" w:lineRule="auto"/>
        <w:ind w:left="426"/>
        <w:jc w:val="both"/>
        <w:rPr>
          <w:rFonts w:ascii="Times New Roman" w:hAnsi="Times New Roman" w:cs="Times New Roman"/>
          <w:sz w:val="22"/>
          <w:szCs w:val="22"/>
        </w:rPr>
      </w:pPr>
      <w:r w:rsidRPr="00860B2B">
        <w:rPr>
          <w:rFonts w:ascii="Times New Roman" w:hAnsi="Times New Roman" w:cs="Times New Roman"/>
          <w:kern w:val="0"/>
          <w:sz w:val="22"/>
          <w:szCs w:val="22"/>
          <w14:ligatures w14:val="none"/>
        </w:rPr>
        <w:t>“</w:t>
      </w:r>
      <w:r w:rsidRPr="00860B2B">
        <w:rPr>
          <w:rFonts w:ascii="Times New Roman" w:hAnsi="Times New Roman" w:cs="Times New Roman"/>
          <w:sz w:val="22"/>
          <w:szCs w:val="22"/>
        </w:rPr>
        <w:t xml:space="preserve">This argument seems to suggest that review proceedings that are brought in terms of Order 33 of the High Court Rules enjoy a monopoly over the grounds on which interference with an order or proceedings of an inferior court or tribunal, may be justified.  I am not persuaded that is the case.  As indicated above </w:t>
      </w:r>
      <w:r w:rsidRPr="00860B2B">
        <w:rPr>
          <w:rFonts w:ascii="Times New Roman" w:hAnsi="Times New Roman" w:cs="Times New Roman"/>
          <w:sz w:val="22"/>
          <w:szCs w:val="22"/>
          <w:u w:val="single"/>
        </w:rPr>
        <w:t>ss 26 and 27 of the High Court Act [</w:t>
      </w:r>
      <w:r w:rsidRPr="00860B2B">
        <w:rPr>
          <w:rFonts w:ascii="Times New Roman" w:hAnsi="Times New Roman" w:cs="Times New Roman"/>
          <w:i/>
          <w:sz w:val="22"/>
          <w:szCs w:val="22"/>
          <w:u w:val="single"/>
        </w:rPr>
        <w:t>Chapter 7:06</w:t>
      </w:r>
      <w:r w:rsidRPr="00860B2B">
        <w:rPr>
          <w:rFonts w:ascii="Times New Roman" w:hAnsi="Times New Roman" w:cs="Times New Roman"/>
          <w:sz w:val="22"/>
          <w:szCs w:val="22"/>
          <w:u w:val="single"/>
        </w:rPr>
        <w:t>] and r 256 of the High Court Rules do not rule out review proceedings being brought in terms of” any other law</w:t>
      </w:r>
      <w:r w:rsidRPr="00860B2B">
        <w:rPr>
          <w:rFonts w:ascii="Times New Roman" w:hAnsi="Times New Roman" w:cs="Times New Roman"/>
          <w:sz w:val="22"/>
          <w:szCs w:val="22"/>
        </w:rPr>
        <w:t xml:space="preserve">.”  I take the view that such other review proceedings may properly rely on the same or similar grounds as </w:t>
      </w:r>
      <w:r w:rsidRPr="00860B2B">
        <w:rPr>
          <w:rFonts w:ascii="Times New Roman" w:hAnsi="Times New Roman" w:cs="Times New Roman"/>
          <w:sz w:val="22"/>
          <w:szCs w:val="22"/>
        </w:rPr>
        <w:lastRenderedPageBreak/>
        <w:t>a basis for some interference or other, by a superior tribunal, with a lower tribunal’s order or proceedings</w:t>
      </w:r>
      <w:r w:rsidRPr="00860B2B">
        <w:rPr>
          <w:rStyle w:val="FootnoteReference"/>
          <w:rFonts w:ascii="Times New Roman" w:hAnsi="Times New Roman" w:cs="Times New Roman"/>
          <w:sz w:val="22"/>
          <w:szCs w:val="22"/>
        </w:rPr>
        <w:footnoteReference w:id="8"/>
      </w:r>
      <w:r w:rsidRPr="00860B2B">
        <w:rPr>
          <w:rFonts w:ascii="Times New Roman" w:hAnsi="Times New Roman" w:cs="Times New Roman"/>
          <w:sz w:val="22"/>
          <w:szCs w:val="22"/>
        </w:rPr>
        <w:t>.</w:t>
      </w:r>
    </w:p>
    <w:p w14:paraId="559FA886" w14:textId="77777777" w:rsidR="00A07FEC" w:rsidRPr="00860B2B" w:rsidRDefault="00A07FEC" w:rsidP="00A07FEC">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p>
    <w:p w14:paraId="59397FBE" w14:textId="378271E7" w:rsidR="00BC3C4C" w:rsidRDefault="00261651"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Order 33 r 257 </w:t>
      </w:r>
      <w:r w:rsidR="00A07FEC">
        <w:rPr>
          <w:rFonts w:ascii="Times New Roman" w:hAnsi="Times New Roman" w:cs="Times New Roman"/>
          <w:kern w:val="0"/>
          <w14:ligatures w14:val="none"/>
        </w:rPr>
        <w:t xml:space="preserve">of the 1971 rules was worded pretty much the same way as r 62(2) of the High Court rules, 2021. </w:t>
      </w:r>
      <w:r w:rsidR="00BC3C4C">
        <w:rPr>
          <w:rFonts w:ascii="Times New Roman" w:hAnsi="Times New Roman" w:cs="Times New Roman"/>
          <w:kern w:val="0"/>
          <w14:ligatures w14:val="none"/>
        </w:rPr>
        <w:t>The significance of the above</w:t>
      </w:r>
      <w:r w:rsidR="00385077">
        <w:rPr>
          <w:rFonts w:ascii="Times New Roman" w:hAnsi="Times New Roman" w:cs="Times New Roman"/>
          <w:kern w:val="0"/>
          <w14:ligatures w14:val="none"/>
        </w:rPr>
        <w:t xml:space="preserve"> authority </w:t>
      </w:r>
      <w:r w:rsidR="00BC3C4C">
        <w:rPr>
          <w:rFonts w:ascii="Times New Roman" w:hAnsi="Times New Roman" w:cs="Times New Roman"/>
          <w:kern w:val="0"/>
          <w14:ligatures w14:val="none"/>
        </w:rPr>
        <w:t>is that</w:t>
      </w:r>
      <w:r w:rsidR="00385077">
        <w:rPr>
          <w:rFonts w:ascii="Times New Roman" w:hAnsi="Times New Roman" w:cs="Times New Roman"/>
          <w:kern w:val="0"/>
          <w14:ligatures w14:val="none"/>
        </w:rPr>
        <w:t xml:space="preserve"> the court made a finding that</w:t>
      </w:r>
      <w:r w:rsidR="00BC3C4C">
        <w:rPr>
          <w:rFonts w:ascii="Times New Roman" w:hAnsi="Times New Roman" w:cs="Times New Roman"/>
          <w:kern w:val="0"/>
          <w14:ligatures w14:val="none"/>
        </w:rPr>
        <w:t xml:space="preserve"> a litigant seeking review under s 4 of the AJA </w:t>
      </w:r>
      <w:r w:rsidR="009D3CBC">
        <w:rPr>
          <w:rFonts w:ascii="Times New Roman" w:hAnsi="Times New Roman" w:cs="Times New Roman"/>
          <w:kern w:val="0"/>
          <w14:ligatures w14:val="none"/>
        </w:rPr>
        <w:t>wa</w:t>
      </w:r>
      <w:r w:rsidR="00BC3C4C">
        <w:rPr>
          <w:rFonts w:ascii="Times New Roman" w:hAnsi="Times New Roman" w:cs="Times New Roman"/>
          <w:kern w:val="0"/>
          <w14:ligatures w14:val="none"/>
        </w:rPr>
        <w:t xml:space="preserve">s not obliged to </w:t>
      </w:r>
      <w:r w:rsidR="00385077">
        <w:rPr>
          <w:rFonts w:ascii="Times New Roman" w:hAnsi="Times New Roman" w:cs="Times New Roman"/>
          <w:kern w:val="0"/>
          <w14:ligatures w14:val="none"/>
        </w:rPr>
        <w:t>follow the review procedure set out in</w:t>
      </w:r>
      <w:r w:rsidR="00BC3C4C">
        <w:rPr>
          <w:rFonts w:ascii="Times New Roman" w:hAnsi="Times New Roman" w:cs="Times New Roman"/>
          <w:kern w:val="0"/>
          <w14:ligatures w14:val="none"/>
        </w:rPr>
        <w:t xml:space="preserve"> r 62 of the High Court rules, 2021. The cour</w:t>
      </w:r>
      <w:r w:rsidR="001269E6">
        <w:rPr>
          <w:rFonts w:ascii="Times New Roman" w:hAnsi="Times New Roman" w:cs="Times New Roman"/>
          <w:kern w:val="0"/>
          <w14:ligatures w14:val="none"/>
        </w:rPr>
        <w:t>t</w:t>
      </w:r>
      <w:r w:rsidR="00BC3C4C">
        <w:rPr>
          <w:rFonts w:ascii="Times New Roman" w:hAnsi="Times New Roman" w:cs="Times New Roman"/>
          <w:kern w:val="0"/>
          <w14:ligatures w14:val="none"/>
        </w:rPr>
        <w:t xml:space="preserve"> </w:t>
      </w:r>
      <w:r w:rsidR="00385077">
        <w:rPr>
          <w:rFonts w:ascii="Times New Roman" w:hAnsi="Times New Roman" w:cs="Times New Roman"/>
          <w:kern w:val="0"/>
          <w14:ligatures w14:val="none"/>
        </w:rPr>
        <w:t xml:space="preserve">had already observed earlier in the judgment </w:t>
      </w:r>
      <w:r w:rsidR="00BC3C4C">
        <w:rPr>
          <w:rFonts w:ascii="Times New Roman" w:hAnsi="Times New Roman" w:cs="Times New Roman"/>
          <w:kern w:val="0"/>
          <w14:ligatures w14:val="none"/>
        </w:rPr>
        <w:t xml:space="preserve">that while a review under the High Court rules was a special form of application, there was nothing in s 4(1) of the AJA to suggest that any other form of an application for judicial review would offend that law for as long as it met the requirements of an ordinary court application. </w:t>
      </w:r>
    </w:p>
    <w:p w14:paraId="4DF9DD80" w14:textId="48F83DB2" w:rsidR="003F0F29" w:rsidRPr="003F0F29" w:rsidRDefault="001269E6"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In </w:t>
      </w:r>
      <w:r w:rsidR="00326BB5">
        <w:rPr>
          <w:rFonts w:ascii="Times New Roman" w:hAnsi="Times New Roman" w:cs="Times New Roman"/>
          <w:kern w:val="0"/>
          <w14:ligatures w14:val="none"/>
        </w:rPr>
        <w:t xml:space="preserve">his submissions on the point, </w:t>
      </w:r>
      <w:r w:rsidR="00326BB5" w:rsidRPr="00385077">
        <w:rPr>
          <w:rFonts w:ascii="Times New Roman" w:hAnsi="Times New Roman" w:cs="Times New Roman"/>
          <w:i/>
          <w:iCs/>
          <w:kern w:val="0"/>
          <w14:ligatures w14:val="none"/>
        </w:rPr>
        <w:t>Mr</w:t>
      </w:r>
      <w:r w:rsidR="00326BB5">
        <w:rPr>
          <w:rFonts w:ascii="Times New Roman" w:hAnsi="Times New Roman" w:cs="Times New Roman"/>
          <w:kern w:val="0"/>
          <w14:ligatures w14:val="none"/>
        </w:rPr>
        <w:t xml:space="preserve"> </w:t>
      </w:r>
      <w:r w:rsidR="00326BB5" w:rsidRPr="00326BB5">
        <w:rPr>
          <w:rFonts w:ascii="Times New Roman" w:hAnsi="Times New Roman" w:cs="Times New Roman"/>
          <w:i/>
          <w:iCs/>
          <w:kern w:val="0"/>
          <w14:ligatures w14:val="none"/>
        </w:rPr>
        <w:t xml:space="preserve">Madhuku </w:t>
      </w:r>
      <w:r w:rsidR="00326BB5">
        <w:rPr>
          <w:rFonts w:ascii="Times New Roman" w:hAnsi="Times New Roman" w:cs="Times New Roman"/>
          <w:kern w:val="0"/>
          <w14:ligatures w14:val="none"/>
        </w:rPr>
        <w:t xml:space="preserve">argued that the </w:t>
      </w:r>
      <w:r w:rsidR="00326BB5" w:rsidRPr="00326BB5">
        <w:rPr>
          <w:rFonts w:ascii="Times New Roman" w:hAnsi="Times New Roman" w:cs="Times New Roman"/>
          <w:i/>
          <w:iCs/>
          <w:kern w:val="0"/>
          <w14:ligatures w14:val="none"/>
        </w:rPr>
        <w:t xml:space="preserve">Gwarazimba </w:t>
      </w:r>
      <w:r w:rsidR="00326BB5">
        <w:rPr>
          <w:rFonts w:ascii="Times New Roman" w:hAnsi="Times New Roman" w:cs="Times New Roman"/>
          <w:kern w:val="0"/>
          <w14:ligatures w14:val="none"/>
        </w:rPr>
        <w:t xml:space="preserve">case could not be used as a license to render rules of court worthless. </w:t>
      </w:r>
      <w:r w:rsidR="00385077">
        <w:rPr>
          <w:rFonts w:ascii="Times New Roman" w:hAnsi="Times New Roman" w:cs="Times New Roman"/>
          <w:kern w:val="0"/>
          <w14:ligatures w14:val="none"/>
        </w:rPr>
        <w:t xml:space="preserve">Citing the case </w:t>
      </w:r>
      <w:r w:rsidR="00326BB5">
        <w:rPr>
          <w:rFonts w:ascii="Times New Roman" w:hAnsi="Times New Roman" w:cs="Times New Roman"/>
          <w:kern w:val="0"/>
          <w14:ligatures w14:val="none"/>
        </w:rPr>
        <w:t xml:space="preserve">of </w:t>
      </w:r>
      <w:r w:rsidR="00326BB5" w:rsidRPr="00326BB5">
        <w:rPr>
          <w:rFonts w:ascii="Times New Roman" w:hAnsi="Times New Roman" w:cs="Times New Roman"/>
          <w:i/>
          <w:lang w:val="en-GB"/>
        </w:rPr>
        <w:t>Mupungu v Minister of Justice, Legal and Parliamentary Affairs</w:t>
      </w:r>
      <w:r w:rsidR="002059BB">
        <w:rPr>
          <w:rFonts w:ascii="Times New Roman" w:hAnsi="Times New Roman" w:cs="Times New Roman"/>
          <w:i/>
          <w:lang w:val="en-GB"/>
        </w:rPr>
        <w:t>,</w:t>
      </w:r>
      <w:r w:rsidR="00326BB5" w:rsidRPr="00326BB5">
        <w:rPr>
          <w:rStyle w:val="FootnoteReference"/>
          <w:rFonts w:ascii="Times New Roman" w:hAnsi="Times New Roman" w:cs="Times New Roman"/>
          <w:i/>
          <w:lang w:val="en-GB"/>
        </w:rPr>
        <w:footnoteReference w:id="9"/>
      </w:r>
      <w:r w:rsidR="00326BB5" w:rsidRPr="00326BB5">
        <w:rPr>
          <w:rFonts w:ascii="Times New Roman" w:hAnsi="Times New Roman" w:cs="Times New Roman"/>
          <w:lang w:val="en-GB"/>
        </w:rPr>
        <w:t xml:space="preserve"> </w:t>
      </w:r>
      <w:r w:rsidR="00385077">
        <w:rPr>
          <w:rFonts w:ascii="Times New Roman" w:hAnsi="Times New Roman" w:cs="Times New Roman"/>
          <w:lang w:val="en-GB"/>
        </w:rPr>
        <w:t xml:space="preserve">counsel further argued that </w:t>
      </w:r>
      <w:r w:rsidR="00326BB5">
        <w:rPr>
          <w:rFonts w:ascii="Times New Roman" w:hAnsi="Times New Roman" w:cs="Times New Roman"/>
          <w:lang w:val="en-GB"/>
        </w:rPr>
        <w:t>a litigant that wishe</w:t>
      </w:r>
      <w:r w:rsidR="00385077">
        <w:rPr>
          <w:rFonts w:ascii="Times New Roman" w:hAnsi="Times New Roman" w:cs="Times New Roman"/>
          <w:lang w:val="en-GB"/>
        </w:rPr>
        <w:t>d</w:t>
      </w:r>
      <w:r w:rsidR="00326BB5">
        <w:rPr>
          <w:rFonts w:ascii="Times New Roman" w:hAnsi="Times New Roman" w:cs="Times New Roman"/>
          <w:lang w:val="en-GB"/>
        </w:rPr>
        <w:t xml:space="preserve"> to approach the court </w:t>
      </w:r>
      <w:r w:rsidR="00385077">
        <w:rPr>
          <w:rFonts w:ascii="Times New Roman" w:hAnsi="Times New Roman" w:cs="Times New Roman"/>
          <w:lang w:val="en-GB"/>
        </w:rPr>
        <w:t xml:space="preserve">had to </w:t>
      </w:r>
      <w:r w:rsidR="00603215">
        <w:rPr>
          <w:rFonts w:ascii="Times New Roman" w:hAnsi="Times New Roman" w:cs="Times New Roman"/>
          <w:lang w:val="en-GB"/>
        </w:rPr>
        <w:t xml:space="preserve">comply with the rules of court. </w:t>
      </w:r>
      <w:r w:rsidR="009D3CBC" w:rsidRPr="00385077">
        <w:rPr>
          <w:rFonts w:ascii="Times New Roman" w:hAnsi="Times New Roman" w:cs="Times New Roman"/>
          <w:i/>
          <w:iCs/>
          <w:lang w:val="en-GB"/>
        </w:rPr>
        <w:t xml:space="preserve">Mr </w:t>
      </w:r>
      <w:r w:rsidR="009D3CBC" w:rsidRPr="009D3CBC">
        <w:rPr>
          <w:rFonts w:ascii="Times New Roman" w:hAnsi="Times New Roman" w:cs="Times New Roman"/>
          <w:i/>
          <w:iCs/>
          <w:lang w:val="en-GB"/>
        </w:rPr>
        <w:t>Madhuku</w:t>
      </w:r>
      <w:r w:rsidR="009D3CBC">
        <w:rPr>
          <w:rFonts w:ascii="Times New Roman" w:hAnsi="Times New Roman" w:cs="Times New Roman"/>
          <w:lang w:val="en-GB"/>
        </w:rPr>
        <w:t xml:space="preserve"> further submitted that to the extent that the </w:t>
      </w:r>
      <w:r w:rsidR="009D3CBC" w:rsidRPr="009D3CBC">
        <w:rPr>
          <w:rFonts w:ascii="Times New Roman" w:hAnsi="Times New Roman" w:cs="Times New Roman"/>
          <w:i/>
          <w:iCs/>
          <w:lang w:val="en-GB"/>
        </w:rPr>
        <w:t xml:space="preserve">Gwarazimba </w:t>
      </w:r>
      <w:r w:rsidR="00A54FDA">
        <w:rPr>
          <w:rFonts w:ascii="Times New Roman" w:hAnsi="Times New Roman" w:cs="Times New Roman"/>
          <w:lang w:val="en-GB"/>
        </w:rPr>
        <w:t xml:space="preserve">case </w:t>
      </w:r>
      <w:r w:rsidR="009D3CBC">
        <w:rPr>
          <w:rFonts w:ascii="Times New Roman" w:hAnsi="Times New Roman" w:cs="Times New Roman"/>
          <w:lang w:val="en-GB"/>
        </w:rPr>
        <w:t>was in</w:t>
      </w:r>
      <w:r w:rsidR="00A54FDA">
        <w:rPr>
          <w:rFonts w:ascii="Times New Roman" w:hAnsi="Times New Roman" w:cs="Times New Roman"/>
          <w:lang w:val="en-GB"/>
        </w:rPr>
        <w:t xml:space="preserve">consistent with </w:t>
      </w:r>
      <w:r w:rsidR="009D3CBC">
        <w:rPr>
          <w:rFonts w:ascii="Times New Roman" w:hAnsi="Times New Roman" w:cs="Times New Roman"/>
          <w:lang w:val="en-GB"/>
        </w:rPr>
        <w:t xml:space="preserve">the </w:t>
      </w:r>
      <w:r w:rsidR="00A54FDA">
        <w:rPr>
          <w:rFonts w:ascii="Times New Roman" w:hAnsi="Times New Roman" w:cs="Times New Roman"/>
          <w:lang w:val="en-GB"/>
        </w:rPr>
        <w:t xml:space="preserve">findings of the Constitutional Court in the </w:t>
      </w:r>
      <w:r w:rsidR="009D3CBC" w:rsidRPr="009D3CBC">
        <w:rPr>
          <w:rFonts w:ascii="Times New Roman" w:hAnsi="Times New Roman" w:cs="Times New Roman"/>
          <w:i/>
          <w:iCs/>
          <w:lang w:val="en-GB"/>
        </w:rPr>
        <w:t>Mupungu</w:t>
      </w:r>
      <w:r w:rsidR="009D3CBC">
        <w:rPr>
          <w:rFonts w:ascii="Times New Roman" w:hAnsi="Times New Roman" w:cs="Times New Roman"/>
          <w:lang w:val="en-GB"/>
        </w:rPr>
        <w:t xml:space="preserve"> judgment</w:t>
      </w:r>
      <w:r w:rsidR="00A54FDA">
        <w:rPr>
          <w:rFonts w:ascii="Times New Roman" w:hAnsi="Times New Roman" w:cs="Times New Roman"/>
          <w:lang w:val="en-GB"/>
        </w:rPr>
        <w:t xml:space="preserve"> on the application of rules of court in all forms of applications, </w:t>
      </w:r>
      <w:r w:rsidR="009D3CBC">
        <w:rPr>
          <w:rFonts w:ascii="Times New Roman" w:hAnsi="Times New Roman" w:cs="Times New Roman"/>
          <w:lang w:val="en-GB"/>
        </w:rPr>
        <w:t>then the</w:t>
      </w:r>
      <w:r w:rsidR="00A54FDA">
        <w:rPr>
          <w:rFonts w:ascii="Times New Roman" w:hAnsi="Times New Roman" w:cs="Times New Roman"/>
          <w:lang w:val="en-GB"/>
        </w:rPr>
        <w:t xml:space="preserve"> position of the law espoused in the</w:t>
      </w:r>
      <w:r w:rsidR="009D3CBC">
        <w:rPr>
          <w:rFonts w:ascii="Times New Roman" w:hAnsi="Times New Roman" w:cs="Times New Roman"/>
          <w:lang w:val="en-GB"/>
        </w:rPr>
        <w:t xml:space="preserve"> </w:t>
      </w:r>
      <w:r w:rsidR="009D3CBC" w:rsidRPr="00A54FDA">
        <w:rPr>
          <w:rFonts w:ascii="Times New Roman" w:hAnsi="Times New Roman" w:cs="Times New Roman"/>
          <w:i/>
          <w:iCs/>
          <w:lang w:val="en-GB"/>
        </w:rPr>
        <w:t>Mupungu</w:t>
      </w:r>
      <w:r w:rsidR="009D3CBC">
        <w:rPr>
          <w:rFonts w:ascii="Times New Roman" w:hAnsi="Times New Roman" w:cs="Times New Roman"/>
          <w:lang w:val="en-GB"/>
        </w:rPr>
        <w:t xml:space="preserve"> judgment prevailed. </w:t>
      </w:r>
      <w:r w:rsidR="009D3CBC" w:rsidRPr="009D3CBC">
        <w:rPr>
          <w:rFonts w:ascii="Times New Roman" w:hAnsi="Times New Roman" w:cs="Times New Roman"/>
          <w:lang w:val="en-GB"/>
        </w:rPr>
        <w:t xml:space="preserve">In response, </w:t>
      </w:r>
      <w:r w:rsidR="009D3CBC" w:rsidRPr="00A54FDA">
        <w:rPr>
          <w:rFonts w:ascii="Times New Roman" w:hAnsi="Times New Roman" w:cs="Times New Roman"/>
          <w:i/>
          <w:iCs/>
          <w:lang w:val="en-GB"/>
        </w:rPr>
        <w:t>Mr</w:t>
      </w:r>
      <w:r w:rsidR="009D3CBC" w:rsidRPr="009D3CBC">
        <w:rPr>
          <w:rFonts w:ascii="Times New Roman" w:hAnsi="Times New Roman" w:cs="Times New Roman"/>
          <w:lang w:val="en-GB"/>
        </w:rPr>
        <w:t xml:space="preserve"> </w:t>
      </w:r>
      <w:r w:rsidR="009D3CBC" w:rsidRPr="009D3CBC">
        <w:rPr>
          <w:rFonts w:ascii="Times New Roman" w:hAnsi="Times New Roman" w:cs="Times New Roman"/>
          <w:i/>
          <w:iCs/>
          <w:lang w:val="en-GB"/>
        </w:rPr>
        <w:t xml:space="preserve">Mpofu </w:t>
      </w:r>
      <w:r w:rsidR="009D3CBC">
        <w:rPr>
          <w:rFonts w:ascii="Times New Roman" w:hAnsi="Times New Roman" w:cs="Times New Roman"/>
          <w:lang w:val="en-GB"/>
        </w:rPr>
        <w:t xml:space="preserve">submitted that the circumstances of the </w:t>
      </w:r>
      <w:r w:rsidR="009D3CBC" w:rsidRPr="009D3CBC">
        <w:rPr>
          <w:rFonts w:ascii="Times New Roman" w:hAnsi="Times New Roman" w:cs="Times New Roman"/>
          <w:i/>
          <w:iCs/>
          <w:lang w:val="en-GB"/>
        </w:rPr>
        <w:t xml:space="preserve">Mupungu </w:t>
      </w:r>
      <w:r w:rsidR="009D3CBC">
        <w:rPr>
          <w:rFonts w:ascii="Times New Roman" w:hAnsi="Times New Roman" w:cs="Times New Roman"/>
          <w:lang w:val="en-GB"/>
        </w:rPr>
        <w:t xml:space="preserve">case were different from the present matter and that decision was inapplicable herein. </w:t>
      </w:r>
    </w:p>
    <w:p w14:paraId="074762F0" w14:textId="5F884038" w:rsidR="008E2B05" w:rsidRDefault="009D3CBC"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3F0F29">
        <w:rPr>
          <w:rFonts w:ascii="Times New Roman" w:hAnsi="Times New Roman" w:cs="Times New Roman"/>
          <w:kern w:val="0"/>
          <w14:ligatures w14:val="none"/>
        </w:rPr>
        <w:t xml:space="preserve"> The </w:t>
      </w:r>
      <w:r w:rsidRPr="003F0F29">
        <w:rPr>
          <w:rFonts w:ascii="Times New Roman" w:hAnsi="Times New Roman" w:cs="Times New Roman"/>
          <w:i/>
          <w:iCs/>
          <w:kern w:val="0"/>
          <w14:ligatures w14:val="none"/>
        </w:rPr>
        <w:t>Mupungu</w:t>
      </w:r>
      <w:r w:rsidRPr="003F0F29">
        <w:rPr>
          <w:rFonts w:ascii="Times New Roman" w:hAnsi="Times New Roman" w:cs="Times New Roman"/>
          <w:kern w:val="0"/>
          <w14:ligatures w14:val="none"/>
        </w:rPr>
        <w:t xml:space="preserve"> judgment was concerned with the failure by </w:t>
      </w:r>
      <w:r w:rsidR="00A54FDA">
        <w:rPr>
          <w:rFonts w:ascii="Times New Roman" w:hAnsi="Times New Roman" w:cs="Times New Roman"/>
          <w:kern w:val="0"/>
          <w14:ligatures w14:val="none"/>
        </w:rPr>
        <w:t xml:space="preserve">the </w:t>
      </w:r>
      <w:r w:rsidRPr="003F0F29">
        <w:rPr>
          <w:rFonts w:ascii="Times New Roman" w:hAnsi="Times New Roman" w:cs="Times New Roman"/>
          <w:kern w:val="0"/>
          <w14:ligatures w14:val="none"/>
        </w:rPr>
        <w:t xml:space="preserve">applicants in the High Court to seek and obtain </w:t>
      </w:r>
      <w:r w:rsidR="00A54FDA">
        <w:rPr>
          <w:rFonts w:ascii="Times New Roman" w:hAnsi="Times New Roman" w:cs="Times New Roman"/>
          <w:kern w:val="0"/>
          <w14:ligatures w14:val="none"/>
        </w:rPr>
        <w:t xml:space="preserve">leave in terms of o3 r18 of the High Court Rules, 1971 </w:t>
      </w:r>
      <w:r w:rsidRPr="003F0F29">
        <w:rPr>
          <w:rFonts w:ascii="Times New Roman" w:hAnsi="Times New Roman" w:cs="Times New Roman"/>
          <w:kern w:val="0"/>
          <w14:ligatures w14:val="none"/>
        </w:rPr>
        <w:t xml:space="preserve">to sue the Chief Justice, Deputy Chief Justice, Acting Judges of the Constitutional Court and Acting Judges of the Supreme Court. </w:t>
      </w:r>
      <w:r w:rsidR="003F0F29" w:rsidRPr="003F0F29">
        <w:rPr>
          <w:rFonts w:ascii="Times New Roman" w:hAnsi="Times New Roman" w:cs="Times New Roman"/>
          <w:kern w:val="0"/>
          <w14:ligatures w14:val="none"/>
        </w:rPr>
        <w:t xml:space="preserve">The High Court had decided that such leave was not necessary. The reasons for reaching that decision were that: the relevant rule of court did not apply to application proceedings but to action proceedings; the applications before the court were made in terms of s 85 of the Constitution and there was no requirement for leave to be granted in an application made pursuant to that section. The last reason was that </w:t>
      </w:r>
      <w:r w:rsidR="003F0F29">
        <w:rPr>
          <w:rFonts w:ascii="Times New Roman" w:hAnsi="Times New Roman" w:cs="Times New Roman"/>
          <w:kern w:val="0"/>
          <w14:ligatures w14:val="none"/>
        </w:rPr>
        <w:t xml:space="preserve">the affected judges were cited in their official capacities and had not filed opposing papers challenging their citation without leave. </w:t>
      </w:r>
    </w:p>
    <w:p w14:paraId="6639711A" w14:textId="40806918" w:rsidR="008E2B05" w:rsidRDefault="008E2B05"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Order 3 r 18 of the High Court rules, 1971, which were the</w:t>
      </w:r>
      <w:r w:rsidR="00F05CB4">
        <w:rPr>
          <w:rFonts w:ascii="Times New Roman" w:hAnsi="Times New Roman" w:cs="Times New Roman"/>
          <w:kern w:val="0"/>
          <w14:ligatures w14:val="none"/>
        </w:rPr>
        <w:t xml:space="preserve"> applicable</w:t>
      </w:r>
      <w:r>
        <w:rPr>
          <w:rFonts w:ascii="Times New Roman" w:hAnsi="Times New Roman" w:cs="Times New Roman"/>
          <w:kern w:val="0"/>
          <w14:ligatures w14:val="none"/>
        </w:rPr>
        <w:t xml:space="preserve"> rules at the material time provided as follows:</w:t>
      </w:r>
    </w:p>
    <w:p w14:paraId="55B55892" w14:textId="43FD4B92" w:rsidR="008E2B05" w:rsidRPr="008E2B05" w:rsidRDefault="008E2B05" w:rsidP="008E2B05">
      <w:pPr>
        <w:pStyle w:val="ListParagraph"/>
        <w:spacing w:after="0" w:line="240" w:lineRule="auto"/>
        <w:jc w:val="both"/>
        <w:rPr>
          <w:rFonts w:ascii="Times New Roman" w:hAnsi="Times New Roman" w:cs="Times New Roman"/>
          <w:i/>
          <w:iCs/>
          <w:sz w:val="22"/>
          <w:szCs w:val="22"/>
        </w:rPr>
      </w:pPr>
      <w:r w:rsidRPr="008E2B05">
        <w:rPr>
          <w:rFonts w:ascii="Times New Roman" w:hAnsi="Times New Roman" w:cs="Times New Roman"/>
          <w:sz w:val="22"/>
          <w:szCs w:val="22"/>
        </w:rPr>
        <w:t>“</w:t>
      </w:r>
      <w:r w:rsidRPr="008E2B05">
        <w:rPr>
          <w:rFonts w:ascii="Times New Roman" w:hAnsi="Times New Roman" w:cs="Times New Roman"/>
          <w:i/>
          <w:iCs/>
          <w:sz w:val="22"/>
          <w:szCs w:val="22"/>
        </w:rPr>
        <w:t>18. When leave of court required for issue of process</w:t>
      </w:r>
    </w:p>
    <w:p w14:paraId="08C43D99" w14:textId="77777777" w:rsidR="008E2B05" w:rsidRDefault="008E2B05" w:rsidP="008E2B05">
      <w:pPr>
        <w:pStyle w:val="ListParagraph"/>
        <w:spacing w:after="0" w:line="240" w:lineRule="auto"/>
        <w:jc w:val="both"/>
        <w:rPr>
          <w:rFonts w:ascii="Times New Roman" w:hAnsi="Times New Roman" w:cs="Times New Roman"/>
          <w:sz w:val="22"/>
          <w:szCs w:val="22"/>
        </w:rPr>
      </w:pPr>
      <w:r w:rsidRPr="008E2B05">
        <w:rPr>
          <w:rFonts w:ascii="Times New Roman" w:hAnsi="Times New Roman" w:cs="Times New Roman"/>
          <w:sz w:val="22"/>
          <w:szCs w:val="22"/>
        </w:rPr>
        <w:t xml:space="preserve">No summons </w:t>
      </w:r>
      <w:r w:rsidRPr="008E2B05">
        <w:rPr>
          <w:rFonts w:ascii="Times New Roman" w:hAnsi="Times New Roman" w:cs="Times New Roman"/>
          <w:sz w:val="22"/>
          <w:szCs w:val="22"/>
          <w:u w:val="single"/>
        </w:rPr>
        <w:t>or other civil process</w:t>
      </w:r>
      <w:r w:rsidRPr="008E2B05">
        <w:rPr>
          <w:rFonts w:ascii="Times New Roman" w:hAnsi="Times New Roman" w:cs="Times New Roman"/>
          <w:sz w:val="22"/>
          <w:szCs w:val="22"/>
        </w:rPr>
        <w:t xml:space="preserve"> of the court may be sued out against the President or against any of the judges of the High Court without the leave of the court granted on court application being made for that purpose.” (my emphasis) </w:t>
      </w:r>
    </w:p>
    <w:p w14:paraId="720E8368" w14:textId="4AD5D7CA" w:rsidR="008E2B05" w:rsidRPr="008E2B05" w:rsidRDefault="008E2B05" w:rsidP="008E2B05">
      <w:pPr>
        <w:pStyle w:val="ListParagraph"/>
        <w:spacing w:after="0" w:line="240" w:lineRule="auto"/>
        <w:jc w:val="both"/>
        <w:rPr>
          <w:rFonts w:ascii="Times New Roman" w:hAnsi="Times New Roman" w:cs="Times New Roman"/>
          <w:sz w:val="22"/>
          <w:szCs w:val="22"/>
        </w:rPr>
      </w:pPr>
      <w:r w:rsidRPr="008E2B05">
        <w:rPr>
          <w:rFonts w:ascii="Times New Roman" w:hAnsi="Times New Roman" w:cs="Times New Roman"/>
          <w:sz w:val="22"/>
          <w:szCs w:val="22"/>
        </w:rPr>
        <w:t xml:space="preserve">          </w:t>
      </w:r>
    </w:p>
    <w:p w14:paraId="0EB7B2BE" w14:textId="33F6F6EF" w:rsidR="008E2B05" w:rsidRDefault="008E2B05" w:rsidP="008E2B05">
      <w:pPr>
        <w:pStyle w:val="ListParagraph"/>
        <w:tabs>
          <w:tab w:val="left" w:pos="426"/>
        </w:tabs>
        <w:spacing w:after="0"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In setting aside the</w:t>
      </w:r>
      <w:r w:rsidR="006913D8">
        <w:rPr>
          <w:rFonts w:ascii="Times New Roman" w:hAnsi="Times New Roman" w:cs="Times New Roman"/>
          <w:kern w:val="0"/>
          <w14:ligatures w14:val="none"/>
        </w:rPr>
        <w:t xml:space="preserve"> decision </w:t>
      </w:r>
      <w:r>
        <w:rPr>
          <w:rFonts w:ascii="Times New Roman" w:hAnsi="Times New Roman" w:cs="Times New Roman"/>
          <w:kern w:val="0"/>
          <w14:ligatures w14:val="none"/>
        </w:rPr>
        <w:t xml:space="preserve">of the </w:t>
      </w:r>
      <w:r w:rsidR="006913D8">
        <w:rPr>
          <w:rFonts w:ascii="Times New Roman" w:hAnsi="Times New Roman" w:cs="Times New Roman"/>
          <w:kern w:val="0"/>
          <w14:ligatures w14:val="none"/>
        </w:rPr>
        <w:t>High C</w:t>
      </w:r>
      <w:r>
        <w:rPr>
          <w:rFonts w:ascii="Times New Roman" w:hAnsi="Times New Roman" w:cs="Times New Roman"/>
          <w:kern w:val="0"/>
          <w14:ligatures w14:val="none"/>
        </w:rPr>
        <w:t>ourt on that point, the Constitutional Court made the following insightful observation:</w:t>
      </w:r>
    </w:p>
    <w:p w14:paraId="3B789BD0" w14:textId="7BF62977" w:rsidR="008E2B05" w:rsidRDefault="008E2B05" w:rsidP="008E2B05">
      <w:pPr>
        <w:spacing w:after="0" w:line="240" w:lineRule="auto"/>
        <w:ind w:left="720"/>
        <w:jc w:val="both"/>
        <w:rPr>
          <w:rFonts w:ascii="Times New Roman" w:hAnsi="Times New Roman" w:cs="Times New Roman"/>
          <w:sz w:val="22"/>
          <w:szCs w:val="22"/>
        </w:rPr>
      </w:pPr>
      <w:r w:rsidRPr="008E2B05">
        <w:rPr>
          <w:rFonts w:ascii="Times New Roman" w:hAnsi="Times New Roman" w:cs="Times New Roman"/>
          <w:sz w:val="22"/>
          <w:szCs w:val="22"/>
        </w:rPr>
        <w:t xml:space="preserve">“One cannot institute </w:t>
      </w:r>
      <w:r w:rsidRPr="008E2B05">
        <w:rPr>
          <w:rFonts w:ascii="Times New Roman" w:hAnsi="Times New Roman" w:cs="Times New Roman"/>
          <w:sz w:val="22"/>
          <w:szCs w:val="22"/>
          <w:u w:val="single"/>
        </w:rPr>
        <w:t>an action or application in the High Court, or any other court</w:t>
      </w:r>
      <w:r w:rsidRPr="008E2B05">
        <w:rPr>
          <w:rFonts w:ascii="Times New Roman" w:hAnsi="Times New Roman" w:cs="Times New Roman"/>
          <w:sz w:val="22"/>
          <w:szCs w:val="22"/>
        </w:rPr>
        <w:t xml:space="preserve">, </w:t>
      </w:r>
      <w:r w:rsidRPr="008E2B05">
        <w:rPr>
          <w:rFonts w:ascii="Times New Roman" w:hAnsi="Times New Roman" w:cs="Times New Roman"/>
          <w:sz w:val="22"/>
          <w:szCs w:val="22"/>
          <w:u w:val="single"/>
        </w:rPr>
        <w:t>without due observance of and compliance with the Rules of that court</w:t>
      </w:r>
      <w:r w:rsidRPr="008E2B05">
        <w:rPr>
          <w:rFonts w:ascii="Times New Roman" w:hAnsi="Times New Roman" w:cs="Times New Roman"/>
          <w:sz w:val="22"/>
          <w:szCs w:val="22"/>
        </w:rPr>
        <w:t xml:space="preserve">. The Rules inform a litigant of what is required of him to access the court concerned. If he fails to observe or comply with those Rules, he will inevitably be non-suited. To conclude this aspect of the matter, I am satisfied that </w:t>
      </w:r>
      <w:r w:rsidRPr="002A6C2C">
        <w:rPr>
          <w:rFonts w:ascii="Times New Roman" w:hAnsi="Times New Roman" w:cs="Times New Roman"/>
          <w:sz w:val="22"/>
          <w:szCs w:val="22"/>
          <w:u w:val="single"/>
        </w:rPr>
        <w:t xml:space="preserve">the proceedings </w:t>
      </w:r>
      <w:r w:rsidRPr="002A6C2C">
        <w:rPr>
          <w:rFonts w:ascii="Times New Roman" w:hAnsi="Times New Roman" w:cs="Times New Roman"/>
          <w:i/>
          <w:sz w:val="22"/>
          <w:szCs w:val="22"/>
          <w:u w:val="single"/>
        </w:rPr>
        <w:t>a quo</w:t>
      </w:r>
      <w:r w:rsidRPr="002A6C2C">
        <w:rPr>
          <w:rFonts w:ascii="Times New Roman" w:hAnsi="Times New Roman" w:cs="Times New Roman"/>
          <w:sz w:val="22"/>
          <w:szCs w:val="22"/>
          <w:u w:val="single"/>
        </w:rPr>
        <w:t xml:space="preserve"> were fatally defective and constitute a nullity for failure to comply with r 18 of the High Court Rules</w:t>
      </w:r>
      <w:r w:rsidRPr="008E2B05">
        <w:rPr>
          <w:rFonts w:ascii="Times New Roman" w:hAnsi="Times New Roman" w:cs="Times New Roman"/>
          <w:sz w:val="22"/>
          <w:szCs w:val="22"/>
        </w:rPr>
        <w:t xml:space="preserve"> and consequential lack of jurisdiction by the court </w:t>
      </w:r>
      <w:r w:rsidRPr="008E2B05">
        <w:rPr>
          <w:rFonts w:ascii="Times New Roman" w:hAnsi="Times New Roman" w:cs="Times New Roman"/>
          <w:i/>
          <w:sz w:val="22"/>
          <w:szCs w:val="22"/>
        </w:rPr>
        <w:t>a quo</w:t>
      </w:r>
      <w:r>
        <w:rPr>
          <w:rFonts w:ascii="Times New Roman" w:hAnsi="Times New Roman" w:cs="Times New Roman"/>
          <w:sz w:val="22"/>
          <w:szCs w:val="22"/>
        </w:rPr>
        <w:t>…..</w:t>
      </w:r>
      <w:r w:rsidR="002A6C2C">
        <w:rPr>
          <w:rFonts w:ascii="Times New Roman" w:hAnsi="Times New Roman" w:cs="Times New Roman"/>
          <w:sz w:val="22"/>
          <w:szCs w:val="22"/>
        </w:rPr>
        <w:t>” (Underlining for emphasis)</w:t>
      </w:r>
    </w:p>
    <w:p w14:paraId="7064EFA3" w14:textId="77777777" w:rsidR="002A6C2C" w:rsidRPr="008E2B05" w:rsidRDefault="002A6C2C" w:rsidP="008E2B05">
      <w:pPr>
        <w:spacing w:after="0" w:line="240" w:lineRule="auto"/>
        <w:ind w:left="720"/>
        <w:jc w:val="both"/>
        <w:rPr>
          <w:rFonts w:ascii="Times New Roman" w:hAnsi="Times New Roman" w:cs="Times New Roman"/>
          <w:kern w:val="0"/>
          <w:sz w:val="22"/>
          <w:szCs w:val="22"/>
          <w14:ligatures w14:val="none"/>
        </w:rPr>
      </w:pPr>
    </w:p>
    <w:p w14:paraId="3743A8CF" w14:textId="6A02F184" w:rsidR="00F776B6" w:rsidRPr="00F776B6" w:rsidRDefault="002A6C2C"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lang w:val="en-GB"/>
        </w:rPr>
        <w:t xml:space="preserve"> The </w:t>
      </w:r>
      <w:r w:rsidR="006913D8">
        <w:rPr>
          <w:rFonts w:ascii="Times New Roman" w:hAnsi="Times New Roman" w:cs="Times New Roman"/>
          <w:lang w:val="en-GB"/>
        </w:rPr>
        <w:t xml:space="preserve">view of this court is that the </w:t>
      </w:r>
      <w:r>
        <w:rPr>
          <w:rFonts w:ascii="Times New Roman" w:hAnsi="Times New Roman" w:cs="Times New Roman"/>
          <w:lang w:val="en-GB"/>
        </w:rPr>
        <w:t>above observations are apposite</w:t>
      </w:r>
      <w:r w:rsidR="006913D8">
        <w:rPr>
          <w:rFonts w:ascii="Times New Roman" w:hAnsi="Times New Roman" w:cs="Times New Roman"/>
          <w:lang w:val="en-GB"/>
        </w:rPr>
        <w:t xml:space="preserve"> and </w:t>
      </w:r>
      <w:r>
        <w:rPr>
          <w:rFonts w:ascii="Times New Roman" w:hAnsi="Times New Roman" w:cs="Times New Roman"/>
          <w:lang w:val="en-GB"/>
        </w:rPr>
        <w:t xml:space="preserve">relevant </w:t>
      </w:r>
      <w:r w:rsidR="006913D8">
        <w:rPr>
          <w:rFonts w:ascii="Times New Roman" w:hAnsi="Times New Roman" w:cs="Times New Roman"/>
          <w:lang w:val="en-GB"/>
        </w:rPr>
        <w:t xml:space="preserve">to the issue before the court </w:t>
      </w:r>
      <w:r>
        <w:rPr>
          <w:rFonts w:ascii="Times New Roman" w:hAnsi="Times New Roman" w:cs="Times New Roman"/>
          <w:lang w:val="en-GB"/>
        </w:rPr>
        <w:t xml:space="preserve">for the following reasons. </w:t>
      </w:r>
      <w:r w:rsidR="00F776B6">
        <w:rPr>
          <w:rFonts w:ascii="Times New Roman" w:hAnsi="Times New Roman" w:cs="Times New Roman"/>
          <w:lang w:val="en-GB"/>
        </w:rPr>
        <w:t>Firstly, a</w:t>
      </w:r>
      <w:r>
        <w:rPr>
          <w:rFonts w:ascii="Times New Roman" w:hAnsi="Times New Roman" w:cs="Times New Roman"/>
          <w:lang w:val="en-GB"/>
        </w:rPr>
        <w:t xml:space="preserve">part from being a judgment of a court of superior jurisdiction to the Supreme Court, the </w:t>
      </w:r>
      <w:r w:rsidRPr="002A6C2C">
        <w:rPr>
          <w:rFonts w:ascii="Times New Roman" w:hAnsi="Times New Roman" w:cs="Times New Roman"/>
          <w:i/>
          <w:iCs/>
          <w:lang w:val="en-GB"/>
        </w:rPr>
        <w:t>Mupungu</w:t>
      </w:r>
      <w:r>
        <w:rPr>
          <w:rFonts w:ascii="Times New Roman" w:hAnsi="Times New Roman" w:cs="Times New Roman"/>
          <w:lang w:val="en-GB"/>
        </w:rPr>
        <w:t xml:space="preserve"> judgment was handed down in September 20</w:t>
      </w:r>
      <w:r w:rsidR="006913D8">
        <w:rPr>
          <w:rFonts w:ascii="Times New Roman" w:hAnsi="Times New Roman" w:cs="Times New Roman"/>
          <w:lang w:val="en-GB"/>
        </w:rPr>
        <w:t>21</w:t>
      </w:r>
      <w:r>
        <w:rPr>
          <w:rFonts w:ascii="Times New Roman" w:hAnsi="Times New Roman" w:cs="Times New Roman"/>
          <w:lang w:val="en-GB"/>
        </w:rPr>
        <w:t xml:space="preserve">, some six years </w:t>
      </w:r>
      <w:r w:rsidR="002059BB">
        <w:rPr>
          <w:rFonts w:ascii="Times New Roman" w:hAnsi="Times New Roman" w:cs="Times New Roman"/>
          <w:lang w:val="en-GB"/>
        </w:rPr>
        <w:t>later</w:t>
      </w:r>
      <w:r>
        <w:rPr>
          <w:rFonts w:ascii="Times New Roman" w:hAnsi="Times New Roman" w:cs="Times New Roman"/>
          <w:lang w:val="en-GB"/>
        </w:rPr>
        <w:t xml:space="preserve"> after the </w:t>
      </w:r>
      <w:r w:rsidRPr="002A6C2C">
        <w:rPr>
          <w:rFonts w:ascii="Times New Roman" w:hAnsi="Times New Roman" w:cs="Times New Roman"/>
          <w:i/>
          <w:iCs/>
          <w:lang w:val="en-GB"/>
        </w:rPr>
        <w:t xml:space="preserve">Gwarazimba </w:t>
      </w:r>
      <w:r>
        <w:rPr>
          <w:rFonts w:ascii="Times New Roman" w:hAnsi="Times New Roman" w:cs="Times New Roman"/>
          <w:lang w:val="en-GB"/>
        </w:rPr>
        <w:t xml:space="preserve">judgment was handed down in March 2015.  </w:t>
      </w:r>
      <w:r w:rsidR="00F776B6">
        <w:rPr>
          <w:rFonts w:ascii="Times New Roman" w:hAnsi="Times New Roman" w:cs="Times New Roman"/>
          <w:lang w:val="en-GB"/>
        </w:rPr>
        <w:t xml:space="preserve">Secondly, </w:t>
      </w:r>
      <w:r w:rsidR="006913D8">
        <w:rPr>
          <w:rFonts w:ascii="Times New Roman" w:hAnsi="Times New Roman" w:cs="Times New Roman"/>
          <w:lang w:val="en-GB"/>
        </w:rPr>
        <w:t xml:space="preserve">a </w:t>
      </w:r>
      <w:r w:rsidR="00F776B6">
        <w:rPr>
          <w:rFonts w:ascii="Times New Roman" w:hAnsi="Times New Roman" w:cs="Times New Roman"/>
          <w:lang w:val="en-GB"/>
        </w:rPr>
        <w:t xml:space="preserve">reading of r 62(1) of the High Court </w:t>
      </w:r>
      <w:r w:rsidR="006913D8">
        <w:rPr>
          <w:rFonts w:ascii="Times New Roman" w:hAnsi="Times New Roman" w:cs="Times New Roman"/>
          <w:lang w:val="en-GB"/>
        </w:rPr>
        <w:t>R</w:t>
      </w:r>
      <w:r w:rsidR="00F776B6">
        <w:rPr>
          <w:rFonts w:ascii="Times New Roman" w:hAnsi="Times New Roman" w:cs="Times New Roman"/>
          <w:lang w:val="en-GB"/>
        </w:rPr>
        <w:t>ules, 2021, does not seem to suggest to me that that the application of the rules is irrelevant to a s 4 application. The provision states that:</w:t>
      </w:r>
    </w:p>
    <w:p w14:paraId="2A8A4FF7" w14:textId="145EE2F8" w:rsidR="00F776B6" w:rsidRDefault="00F776B6" w:rsidP="00F776B6">
      <w:pPr>
        <w:pStyle w:val="ListParagraph"/>
        <w:tabs>
          <w:tab w:val="left" w:pos="426"/>
        </w:tabs>
        <w:spacing w:after="0" w:line="240" w:lineRule="auto"/>
        <w:ind w:left="0"/>
        <w:jc w:val="both"/>
        <w:rPr>
          <w:rFonts w:ascii="Times New Roman" w:hAnsi="Times New Roman" w:cs="Times New Roman"/>
          <w:b/>
          <w:bCs/>
          <w:i/>
          <w:iCs/>
          <w:sz w:val="22"/>
          <w:szCs w:val="22"/>
          <w:lang w:val="en-GB"/>
        </w:rPr>
      </w:pPr>
      <w:r>
        <w:rPr>
          <w:rFonts w:ascii="Times New Roman" w:hAnsi="Times New Roman" w:cs="Times New Roman"/>
          <w:lang w:val="en-GB"/>
        </w:rPr>
        <w:tab/>
      </w:r>
      <w:r>
        <w:rPr>
          <w:rFonts w:ascii="Times New Roman" w:hAnsi="Times New Roman" w:cs="Times New Roman"/>
          <w:lang w:val="en-GB"/>
        </w:rPr>
        <w:tab/>
        <w:t>“</w:t>
      </w:r>
      <w:r w:rsidRPr="00F776B6">
        <w:rPr>
          <w:rFonts w:ascii="Times New Roman" w:hAnsi="Times New Roman" w:cs="Times New Roman"/>
          <w:b/>
          <w:bCs/>
          <w:i/>
          <w:iCs/>
          <w:sz w:val="22"/>
          <w:szCs w:val="22"/>
          <w:lang w:val="en-GB"/>
        </w:rPr>
        <w:t>62. Reviews</w:t>
      </w:r>
    </w:p>
    <w:p w14:paraId="1FC37BF3" w14:textId="0651D0AD" w:rsidR="00F776B6" w:rsidRPr="00F776B6" w:rsidRDefault="00F776B6" w:rsidP="00F776B6">
      <w:pPr>
        <w:pStyle w:val="ListParagraph"/>
        <w:numPr>
          <w:ilvl w:val="0"/>
          <w:numId w:val="8"/>
        </w:numPr>
        <w:tabs>
          <w:tab w:val="left" w:pos="426"/>
          <w:tab w:val="left" w:pos="851"/>
          <w:tab w:val="left" w:pos="993"/>
        </w:tabs>
        <w:spacing w:after="0" w:line="240" w:lineRule="auto"/>
        <w:jc w:val="both"/>
        <w:rPr>
          <w:rFonts w:ascii="Times New Roman" w:hAnsi="Times New Roman" w:cs="Times New Roman"/>
          <w:kern w:val="0"/>
          <w14:ligatures w14:val="none"/>
        </w:rPr>
      </w:pPr>
      <w:r>
        <w:rPr>
          <w:rFonts w:ascii="Times New Roman" w:hAnsi="Times New Roman" w:cs="Times New Roman"/>
          <w:sz w:val="22"/>
          <w:szCs w:val="22"/>
          <w:lang w:val="en-GB"/>
        </w:rPr>
        <w:t>Save where any other law provides, any proceedings to bring under review the decision or proceedings of any inferior court or of any tribunal, board or officer performing judicial, quasi-judicial or administrative functions, shall be by way of court application directed and delivered by the party seeking to review such decision or proceedings to the……tribunal or board or to the officer, as the case may be, and to all other parties affected.</w:t>
      </w:r>
    </w:p>
    <w:p w14:paraId="7D1A4D70" w14:textId="1DAB6DC7" w:rsidR="00F776B6" w:rsidRPr="00392D36" w:rsidRDefault="00F776B6" w:rsidP="00F776B6">
      <w:pPr>
        <w:pStyle w:val="ListParagraph"/>
        <w:numPr>
          <w:ilvl w:val="0"/>
          <w:numId w:val="8"/>
        </w:numPr>
        <w:tabs>
          <w:tab w:val="left" w:pos="426"/>
          <w:tab w:val="left" w:pos="851"/>
          <w:tab w:val="left" w:pos="993"/>
        </w:tabs>
        <w:spacing w:after="0" w:line="240" w:lineRule="auto"/>
        <w:jc w:val="both"/>
        <w:rPr>
          <w:rFonts w:ascii="Times New Roman" w:hAnsi="Times New Roman" w:cs="Times New Roman"/>
          <w:kern w:val="0"/>
          <w14:ligatures w14:val="none"/>
        </w:rPr>
      </w:pPr>
      <w:r>
        <w:rPr>
          <w:rFonts w:ascii="Times New Roman" w:hAnsi="Times New Roman" w:cs="Times New Roman"/>
          <w:sz w:val="22"/>
          <w:szCs w:val="22"/>
          <w:lang w:val="en-GB"/>
        </w:rPr>
        <w:t>…………..”</w:t>
      </w:r>
    </w:p>
    <w:p w14:paraId="53D6515B" w14:textId="77777777" w:rsidR="00392D36" w:rsidRPr="00F776B6" w:rsidRDefault="00392D36" w:rsidP="00392D36">
      <w:pPr>
        <w:pStyle w:val="ListParagraph"/>
        <w:tabs>
          <w:tab w:val="left" w:pos="426"/>
          <w:tab w:val="left" w:pos="851"/>
          <w:tab w:val="left" w:pos="993"/>
        </w:tabs>
        <w:spacing w:after="0" w:line="240" w:lineRule="auto"/>
        <w:ind w:left="1356"/>
        <w:jc w:val="both"/>
        <w:rPr>
          <w:rFonts w:ascii="Times New Roman" w:hAnsi="Times New Roman" w:cs="Times New Roman"/>
          <w:kern w:val="0"/>
          <w14:ligatures w14:val="none"/>
        </w:rPr>
      </w:pPr>
    </w:p>
    <w:p w14:paraId="5E9D26D2" w14:textId="3E2D73AB" w:rsidR="003F0F29" w:rsidRPr="00392D36" w:rsidRDefault="00F776B6"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392D36">
        <w:rPr>
          <w:rFonts w:ascii="Times New Roman" w:hAnsi="Times New Roman" w:cs="Times New Roman"/>
          <w:lang w:val="en-GB"/>
        </w:rPr>
        <w:t xml:space="preserve"> </w:t>
      </w:r>
      <w:r w:rsidR="00392D36" w:rsidRPr="00392D36">
        <w:rPr>
          <w:rFonts w:ascii="Times New Roman" w:hAnsi="Times New Roman" w:cs="Times New Roman"/>
          <w:lang w:val="en-GB"/>
        </w:rPr>
        <w:t xml:space="preserve">Section 4(1) of the AJA applies subject to “…this Act and </w:t>
      </w:r>
      <w:r w:rsidR="00392D36" w:rsidRPr="00392D36">
        <w:rPr>
          <w:rFonts w:ascii="Times New Roman" w:hAnsi="Times New Roman" w:cs="Times New Roman"/>
          <w:u w:val="single"/>
          <w:lang w:val="en-GB"/>
        </w:rPr>
        <w:t xml:space="preserve">any other </w:t>
      </w:r>
      <w:r w:rsidR="00885182" w:rsidRPr="00392D36">
        <w:rPr>
          <w:rFonts w:ascii="Times New Roman" w:hAnsi="Times New Roman" w:cs="Times New Roman"/>
          <w:u w:val="single"/>
          <w:lang w:val="en-GB"/>
        </w:rPr>
        <w:t>law</w:t>
      </w:r>
      <w:r w:rsidR="00885182" w:rsidRPr="00392D36">
        <w:rPr>
          <w:rFonts w:ascii="Times New Roman" w:hAnsi="Times New Roman" w:cs="Times New Roman"/>
          <w:lang w:val="en-GB"/>
        </w:rPr>
        <w:t>,</w:t>
      </w:r>
      <w:r w:rsidR="00392D36" w:rsidRPr="00392D36">
        <w:rPr>
          <w:rFonts w:ascii="Times New Roman" w:hAnsi="Times New Roman" w:cs="Times New Roman"/>
          <w:lang w:val="en-GB"/>
        </w:rPr>
        <w:t xml:space="preserve">”. </w:t>
      </w:r>
      <w:r w:rsidR="00392D36">
        <w:rPr>
          <w:rFonts w:ascii="Times New Roman" w:hAnsi="Times New Roman" w:cs="Times New Roman"/>
          <w:lang w:val="en-GB"/>
        </w:rPr>
        <w:t xml:space="preserve">In my view, while s 4(1) creates a substantive right which permits a litigant to approach the High Court for relief, it does not create a concomitant procedural framework to assert that right. That </w:t>
      </w:r>
      <w:r w:rsidR="006913D8">
        <w:rPr>
          <w:rFonts w:ascii="Times New Roman" w:hAnsi="Times New Roman" w:cs="Times New Roman"/>
          <w:lang w:val="en-GB"/>
        </w:rPr>
        <w:t xml:space="preserve">legal </w:t>
      </w:r>
      <w:r w:rsidR="00392D36">
        <w:rPr>
          <w:rFonts w:ascii="Times New Roman" w:hAnsi="Times New Roman" w:cs="Times New Roman"/>
          <w:lang w:val="en-GB"/>
        </w:rPr>
        <w:t xml:space="preserve">framework is provided by r 62. Further, in my respectful view, r 62(1) recognises that any other law may provide for the procedure to bring review proceedings before the High Court, in which case r 62 </w:t>
      </w:r>
      <w:r w:rsidR="006913D8">
        <w:rPr>
          <w:rFonts w:ascii="Times New Roman" w:hAnsi="Times New Roman" w:cs="Times New Roman"/>
          <w:lang w:val="en-GB"/>
        </w:rPr>
        <w:t xml:space="preserve">would not </w:t>
      </w:r>
      <w:r w:rsidR="00392D36">
        <w:rPr>
          <w:rFonts w:ascii="Times New Roman" w:hAnsi="Times New Roman" w:cs="Times New Roman"/>
          <w:lang w:val="en-GB"/>
        </w:rPr>
        <w:t xml:space="preserve">apply. </w:t>
      </w:r>
      <w:r w:rsidR="006913D8">
        <w:rPr>
          <w:rFonts w:ascii="Times New Roman" w:hAnsi="Times New Roman" w:cs="Times New Roman"/>
          <w:lang w:val="en-GB"/>
        </w:rPr>
        <w:t xml:space="preserve">Section 4 of the AJA does not prescribe the procedure for a review application made under that law. Consistent with the position of the </w:t>
      </w:r>
      <w:r w:rsidR="006913D8">
        <w:rPr>
          <w:rFonts w:ascii="Times New Roman" w:hAnsi="Times New Roman" w:cs="Times New Roman"/>
          <w:lang w:val="en-GB"/>
        </w:rPr>
        <w:lastRenderedPageBreak/>
        <w:t xml:space="preserve">law espoused in the </w:t>
      </w:r>
      <w:r w:rsidR="006913D8" w:rsidRPr="002B4284">
        <w:rPr>
          <w:rFonts w:ascii="Times New Roman" w:hAnsi="Times New Roman" w:cs="Times New Roman"/>
          <w:i/>
          <w:iCs/>
          <w:lang w:val="en-GB"/>
        </w:rPr>
        <w:t>Mupungu</w:t>
      </w:r>
      <w:r w:rsidR="006913D8">
        <w:rPr>
          <w:rFonts w:ascii="Times New Roman" w:hAnsi="Times New Roman" w:cs="Times New Roman"/>
          <w:lang w:val="en-GB"/>
        </w:rPr>
        <w:t xml:space="preserve"> judgment, </w:t>
      </w:r>
      <w:r w:rsidR="00432A11">
        <w:rPr>
          <w:rFonts w:ascii="Times New Roman" w:hAnsi="Times New Roman" w:cs="Times New Roman"/>
          <w:lang w:val="en-GB"/>
        </w:rPr>
        <w:t xml:space="preserve">it is the view of this court that </w:t>
      </w:r>
      <w:r w:rsidR="006913D8">
        <w:rPr>
          <w:rFonts w:ascii="Times New Roman" w:hAnsi="Times New Roman" w:cs="Times New Roman"/>
          <w:lang w:val="en-GB"/>
        </w:rPr>
        <w:t xml:space="preserve">a party filing </w:t>
      </w:r>
      <w:r w:rsidR="00432A11">
        <w:rPr>
          <w:rFonts w:ascii="Times New Roman" w:hAnsi="Times New Roman" w:cs="Times New Roman"/>
          <w:lang w:val="en-GB"/>
        </w:rPr>
        <w:t xml:space="preserve">a </w:t>
      </w:r>
      <w:r w:rsidR="006913D8">
        <w:rPr>
          <w:rFonts w:ascii="Times New Roman" w:hAnsi="Times New Roman" w:cs="Times New Roman"/>
          <w:lang w:val="en-GB"/>
        </w:rPr>
        <w:t xml:space="preserve">s 4 review application must therefore proceed in terms of r 62.  </w:t>
      </w:r>
    </w:p>
    <w:p w14:paraId="6BA998C0" w14:textId="3AF17FBC" w:rsidR="00840CD4" w:rsidRPr="002B4284" w:rsidRDefault="00392D36"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lang w:val="en-GB"/>
        </w:rPr>
        <w:t xml:space="preserve"> </w:t>
      </w:r>
      <w:r w:rsidR="002B4284">
        <w:rPr>
          <w:rFonts w:ascii="Times New Roman" w:hAnsi="Times New Roman" w:cs="Times New Roman"/>
          <w:lang w:val="en-GB"/>
        </w:rPr>
        <w:t>The court</w:t>
      </w:r>
      <w:r>
        <w:rPr>
          <w:rFonts w:ascii="Times New Roman" w:hAnsi="Times New Roman" w:cs="Times New Roman"/>
          <w:lang w:val="en-GB"/>
        </w:rPr>
        <w:t xml:space="preserve"> therefore agree</w:t>
      </w:r>
      <w:r w:rsidR="002B4284">
        <w:rPr>
          <w:rFonts w:ascii="Times New Roman" w:hAnsi="Times New Roman" w:cs="Times New Roman"/>
          <w:lang w:val="en-GB"/>
        </w:rPr>
        <w:t>s</w:t>
      </w:r>
      <w:r>
        <w:rPr>
          <w:rFonts w:ascii="Times New Roman" w:hAnsi="Times New Roman" w:cs="Times New Roman"/>
          <w:lang w:val="en-GB"/>
        </w:rPr>
        <w:t xml:space="preserve"> with the submissions by </w:t>
      </w:r>
      <w:r w:rsidRPr="002B4284">
        <w:rPr>
          <w:rFonts w:ascii="Times New Roman" w:hAnsi="Times New Roman" w:cs="Times New Roman"/>
          <w:i/>
          <w:iCs/>
          <w:lang w:val="en-GB"/>
        </w:rPr>
        <w:t xml:space="preserve">Mr </w:t>
      </w:r>
      <w:r w:rsidRPr="00392D36">
        <w:rPr>
          <w:rFonts w:ascii="Times New Roman" w:hAnsi="Times New Roman" w:cs="Times New Roman"/>
          <w:i/>
          <w:iCs/>
          <w:lang w:val="en-GB"/>
        </w:rPr>
        <w:t>Madhuku</w:t>
      </w:r>
      <w:r>
        <w:rPr>
          <w:rFonts w:ascii="Times New Roman" w:hAnsi="Times New Roman" w:cs="Times New Roman"/>
          <w:lang w:val="en-GB"/>
        </w:rPr>
        <w:t xml:space="preserve">, which are consistent with the </w:t>
      </w:r>
      <w:r w:rsidR="002B4284">
        <w:rPr>
          <w:rFonts w:ascii="Times New Roman" w:hAnsi="Times New Roman" w:cs="Times New Roman"/>
          <w:lang w:val="en-GB"/>
        </w:rPr>
        <w:t xml:space="preserve">position of the law </w:t>
      </w:r>
      <w:r>
        <w:rPr>
          <w:rFonts w:ascii="Times New Roman" w:hAnsi="Times New Roman" w:cs="Times New Roman"/>
          <w:lang w:val="en-GB"/>
        </w:rPr>
        <w:t xml:space="preserve">expressed in the </w:t>
      </w:r>
      <w:r w:rsidRPr="00392D36">
        <w:rPr>
          <w:rFonts w:ascii="Times New Roman" w:hAnsi="Times New Roman" w:cs="Times New Roman"/>
          <w:i/>
          <w:iCs/>
          <w:lang w:val="en-GB"/>
        </w:rPr>
        <w:t>Mupungu</w:t>
      </w:r>
      <w:r>
        <w:rPr>
          <w:rFonts w:ascii="Times New Roman" w:hAnsi="Times New Roman" w:cs="Times New Roman"/>
          <w:lang w:val="en-GB"/>
        </w:rPr>
        <w:t xml:space="preserve"> judgment</w:t>
      </w:r>
      <w:r w:rsidR="002B4284">
        <w:rPr>
          <w:rFonts w:ascii="Times New Roman" w:hAnsi="Times New Roman" w:cs="Times New Roman"/>
          <w:lang w:val="en-GB"/>
        </w:rPr>
        <w:t xml:space="preserve">. The </w:t>
      </w:r>
      <w:r>
        <w:rPr>
          <w:rFonts w:ascii="Times New Roman" w:hAnsi="Times New Roman" w:cs="Times New Roman"/>
          <w:lang w:val="en-GB"/>
        </w:rPr>
        <w:t>applicants ought to have proceeded in terms of r 62, more so considering that s 4 does not provide the procedure for approaching the High Court on review. The application is therefore improperly before the court for want of compliance with r 62</w:t>
      </w:r>
      <w:r w:rsidR="00E154BD">
        <w:rPr>
          <w:rFonts w:ascii="Times New Roman" w:hAnsi="Times New Roman" w:cs="Times New Roman"/>
          <w:lang w:val="en-GB"/>
        </w:rPr>
        <w:t xml:space="preserve"> of the High Court </w:t>
      </w:r>
      <w:r w:rsidR="002B4284">
        <w:rPr>
          <w:rFonts w:ascii="Times New Roman" w:hAnsi="Times New Roman" w:cs="Times New Roman"/>
          <w:lang w:val="en-GB"/>
        </w:rPr>
        <w:t>R</w:t>
      </w:r>
      <w:r w:rsidR="00E154BD">
        <w:rPr>
          <w:rFonts w:ascii="Times New Roman" w:hAnsi="Times New Roman" w:cs="Times New Roman"/>
          <w:lang w:val="en-GB"/>
        </w:rPr>
        <w:t>ules, 2021</w:t>
      </w:r>
      <w:r>
        <w:rPr>
          <w:rFonts w:ascii="Times New Roman" w:hAnsi="Times New Roman" w:cs="Times New Roman"/>
          <w:lang w:val="en-GB"/>
        </w:rPr>
        <w:t xml:space="preserve">. </w:t>
      </w:r>
    </w:p>
    <w:p w14:paraId="7C0BDF35" w14:textId="74BD7469" w:rsidR="00840CD4" w:rsidRPr="00840CD4" w:rsidRDefault="00840CD4" w:rsidP="00840CD4">
      <w:pPr>
        <w:pStyle w:val="ListParagraph"/>
        <w:tabs>
          <w:tab w:val="left" w:pos="426"/>
        </w:tabs>
        <w:spacing w:after="0" w:line="360" w:lineRule="auto"/>
        <w:ind w:left="0"/>
        <w:jc w:val="both"/>
        <w:rPr>
          <w:rFonts w:ascii="Times New Roman" w:hAnsi="Times New Roman" w:cs="Times New Roman"/>
          <w:b/>
          <w:bCs/>
          <w:i/>
          <w:iCs/>
          <w:kern w:val="0"/>
          <w:u w:val="single"/>
          <w14:ligatures w14:val="none"/>
        </w:rPr>
      </w:pPr>
      <w:r w:rsidRPr="00840CD4">
        <w:rPr>
          <w:rFonts w:ascii="Times New Roman" w:hAnsi="Times New Roman" w:cs="Times New Roman"/>
          <w:b/>
          <w:bCs/>
          <w:i/>
          <w:iCs/>
          <w:kern w:val="0"/>
          <w:u w:val="single"/>
          <w14:ligatures w14:val="none"/>
        </w:rPr>
        <w:t xml:space="preserve">Whether </w:t>
      </w:r>
      <w:r>
        <w:rPr>
          <w:rFonts w:ascii="Times New Roman" w:hAnsi="Times New Roman" w:cs="Times New Roman"/>
          <w:b/>
          <w:bCs/>
          <w:i/>
          <w:iCs/>
          <w:kern w:val="0"/>
          <w:u w:val="single"/>
          <w14:ligatures w14:val="none"/>
        </w:rPr>
        <w:t>the second respondent was properly joined to the proceedings and whether its opi</w:t>
      </w:r>
      <w:r w:rsidRPr="00840CD4">
        <w:rPr>
          <w:rFonts w:ascii="Times New Roman" w:hAnsi="Times New Roman" w:cs="Times New Roman"/>
          <w:b/>
          <w:bCs/>
          <w:i/>
          <w:iCs/>
          <w:kern w:val="0"/>
          <w:u w:val="single"/>
          <w14:ligatures w14:val="none"/>
        </w:rPr>
        <w:t>nion was reviewable</w:t>
      </w:r>
    </w:p>
    <w:p w14:paraId="78E2F29B" w14:textId="17CC9FBC" w:rsidR="005E2BE8" w:rsidRDefault="00840CD4"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Pr="002B4284">
        <w:rPr>
          <w:rFonts w:ascii="Times New Roman" w:hAnsi="Times New Roman" w:cs="Times New Roman"/>
          <w:i/>
          <w:iCs/>
          <w:kern w:val="0"/>
          <w14:ligatures w14:val="none"/>
        </w:rPr>
        <w:t xml:space="preserve">Ms </w:t>
      </w:r>
      <w:r w:rsidRPr="00840CD4">
        <w:rPr>
          <w:rFonts w:ascii="Times New Roman" w:hAnsi="Times New Roman" w:cs="Times New Roman"/>
          <w:i/>
          <w:iCs/>
          <w:kern w:val="0"/>
          <w14:ligatures w14:val="none"/>
        </w:rPr>
        <w:t>Chinwadzimba</w:t>
      </w:r>
      <w:r>
        <w:rPr>
          <w:rFonts w:ascii="Times New Roman" w:hAnsi="Times New Roman" w:cs="Times New Roman"/>
          <w:kern w:val="0"/>
          <w14:ligatures w14:val="none"/>
        </w:rPr>
        <w:t xml:space="preserve"> for the second respondent submitted that the second respondent was approached to validate the EY report</w:t>
      </w:r>
      <w:r w:rsidR="002B4284">
        <w:rPr>
          <w:rFonts w:ascii="Times New Roman" w:hAnsi="Times New Roman" w:cs="Times New Roman"/>
          <w:kern w:val="0"/>
          <w14:ligatures w14:val="none"/>
        </w:rPr>
        <w:t xml:space="preserve"> as a consultant</w:t>
      </w:r>
      <w:r>
        <w:rPr>
          <w:rFonts w:ascii="Times New Roman" w:hAnsi="Times New Roman" w:cs="Times New Roman"/>
          <w:kern w:val="0"/>
          <w14:ligatures w14:val="none"/>
        </w:rPr>
        <w:t xml:space="preserve">. The terms of </w:t>
      </w:r>
      <w:r w:rsidR="002B4284">
        <w:rPr>
          <w:rFonts w:ascii="Times New Roman" w:hAnsi="Times New Roman" w:cs="Times New Roman"/>
          <w:kern w:val="0"/>
          <w14:ligatures w14:val="none"/>
        </w:rPr>
        <w:t xml:space="preserve">its </w:t>
      </w:r>
      <w:r>
        <w:rPr>
          <w:rFonts w:ascii="Times New Roman" w:hAnsi="Times New Roman" w:cs="Times New Roman"/>
          <w:kern w:val="0"/>
          <w14:ligatures w14:val="none"/>
        </w:rPr>
        <w:t xml:space="preserve">engagement and its scope were </w:t>
      </w:r>
      <w:r w:rsidR="002B4284">
        <w:rPr>
          <w:rFonts w:ascii="Times New Roman" w:hAnsi="Times New Roman" w:cs="Times New Roman"/>
          <w:kern w:val="0"/>
          <w14:ligatures w14:val="none"/>
        </w:rPr>
        <w:t xml:space="preserve">set out in the </w:t>
      </w:r>
      <w:r>
        <w:rPr>
          <w:rFonts w:ascii="Times New Roman" w:hAnsi="Times New Roman" w:cs="Times New Roman"/>
          <w:kern w:val="0"/>
          <w14:ligatures w14:val="none"/>
        </w:rPr>
        <w:t xml:space="preserve">report. The first step was to validate the EY report and make recommendations to the first respondent. The </w:t>
      </w:r>
      <w:r w:rsidR="002B4284">
        <w:rPr>
          <w:rFonts w:ascii="Times New Roman" w:hAnsi="Times New Roman" w:cs="Times New Roman"/>
          <w:kern w:val="0"/>
          <w14:ligatures w14:val="none"/>
        </w:rPr>
        <w:t xml:space="preserve">second </w:t>
      </w:r>
      <w:r>
        <w:rPr>
          <w:rFonts w:ascii="Times New Roman" w:hAnsi="Times New Roman" w:cs="Times New Roman"/>
          <w:kern w:val="0"/>
          <w14:ligatures w14:val="none"/>
        </w:rPr>
        <w:t xml:space="preserve">respondent merely gave an opinion which was not binding </w:t>
      </w:r>
      <w:r w:rsidR="005E2BE8">
        <w:rPr>
          <w:rFonts w:ascii="Times New Roman" w:hAnsi="Times New Roman" w:cs="Times New Roman"/>
          <w:kern w:val="0"/>
          <w14:ligatures w14:val="none"/>
        </w:rPr>
        <w:t xml:space="preserve">on the first respondent. </w:t>
      </w:r>
      <w:r w:rsidR="00432A11">
        <w:rPr>
          <w:rFonts w:ascii="Times New Roman" w:hAnsi="Times New Roman" w:cs="Times New Roman"/>
          <w:kern w:val="0"/>
          <w14:ligatures w14:val="none"/>
        </w:rPr>
        <w:t xml:space="preserve">The second respondent therefore ought not to have been cited to these proceedings. </w:t>
      </w:r>
    </w:p>
    <w:p w14:paraId="2F7DDEC3" w14:textId="77777777" w:rsidR="005E2BE8" w:rsidRDefault="005E2BE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Counsel further submitted that the second respondent did not determine the DoP. It only gave an opinion as a private party and such an opinion was not reviewable. </w:t>
      </w:r>
    </w:p>
    <w:p w14:paraId="3764F66A" w14:textId="702FB2EE" w:rsidR="00BC3C4C" w:rsidRDefault="005E2BE8"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005D30EB">
        <w:rPr>
          <w:rFonts w:ascii="Times New Roman" w:hAnsi="Times New Roman" w:cs="Times New Roman"/>
          <w:kern w:val="0"/>
          <w14:ligatures w14:val="none"/>
        </w:rPr>
        <w:t xml:space="preserve">In their heads of argument, the </w:t>
      </w:r>
      <w:r>
        <w:rPr>
          <w:rFonts w:ascii="Times New Roman" w:hAnsi="Times New Roman" w:cs="Times New Roman"/>
          <w:kern w:val="0"/>
          <w14:ligatures w14:val="none"/>
        </w:rPr>
        <w:t>applicant</w:t>
      </w:r>
      <w:r w:rsidR="005D30EB">
        <w:rPr>
          <w:rFonts w:ascii="Times New Roman" w:hAnsi="Times New Roman" w:cs="Times New Roman"/>
          <w:kern w:val="0"/>
          <w14:ligatures w14:val="none"/>
        </w:rPr>
        <w:t>s</w:t>
      </w:r>
      <w:r>
        <w:rPr>
          <w:rFonts w:ascii="Times New Roman" w:hAnsi="Times New Roman" w:cs="Times New Roman"/>
          <w:kern w:val="0"/>
          <w14:ligatures w14:val="none"/>
        </w:rPr>
        <w:t xml:space="preserve"> dealt with the two points raised by the second respondent as follows. </w:t>
      </w:r>
      <w:r w:rsidR="003C5AB9">
        <w:rPr>
          <w:rFonts w:ascii="Times New Roman" w:hAnsi="Times New Roman" w:cs="Times New Roman"/>
          <w:kern w:val="0"/>
          <w14:ligatures w14:val="none"/>
        </w:rPr>
        <w:t xml:space="preserve">The first respondent </w:t>
      </w:r>
      <w:r w:rsidR="00F05CB4">
        <w:rPr>
          <w:rFonts w:ascii="Times New Roman" w:hAnsi="Times New Roman" w:cs="Times New Roman"/>
          <w:kern w:val="0"/>
          <w14:ligatures w14:val="none"/>
        </w:rPr>
        <w:t>had delegated</w:t>
      </w:r>
      <w:r w:rsidR="003C5AB9">
        <w:rPr>
          <w:rFonts w:ascii="Times New Roman" w:hAnsi="Times New Roman" w:cs="Times New Roman"/>
          <w:kern w:val="0"/>
          <w14:ligatures w14:val="none"/>
        </w:rPr>
        <w:t xml:space="preserve"> to the second respondent what he considered to be a function exercisable under s 10 of the Sugar Production Control Act, of determining the price payable by a miller to a farmer. The exercise carried out by the second respondent and the resultant outcome it recommended amounted to the discharge of </w:t>
      </w:r>
      <w:r w:rsidR="005D30EB">
        <w:rPr>
          <w:rFonts w:ascii="Times New Roman" w:hAnsi="Times New Roman" w:cs="Times New Roman"/>
          <w:kern w:val="0"/>
          <w14:ligatures w14:val="none"/>
        </w:rPr>
        <w:t xml:space="preserve">a </w:t>
      </w:r>
      <w:r w:rsidR="003C5AB9">
        <w:rPr>
          <w:rFonts w:ascii="Times New Roman" w:hAnsi="Times New Roman" w:cs="Times New Roman"/>
          <w:kern w:val="0"/>
          <w14:ligatures w14:val="none"/>
        </w:rPr>
        <w:t xml:space="preserve">delegated administrative function which could be challenged as such. The court was referred to the case of </w:t>
      </w:r>
      <w:r w:rsidR="00E452AD" w:rsidRPr="00E452AD">
        <w:rPr>
          <w:rFonts w:ascii="Times New Roman" w:hAnsi="Times New Roman" w:cs="Times New Roman"/>
          <w:i/>
          <w:iCs/>
          <w:kern w:val="0"/>
          <w14:ligatures w14:val="none"/>
        </w:rPr>
        <w:t>Vela v Auditor General of Zimbabwe &amp; Anor</w:t>
      </w:r>
      <w:r w:rsidR="00E452AD">
        <w:rPr>
          <w:rStyle w:val="FootnoteReference"/>
          <w:rFonts w:ascii="Times New Roman" w:hAnsi="Times New Roman" w:cs="Times New Roman"/>
          <w:i/>
          <w:iCs/>
          <w:kern w:val="0"/>
          <w14:ligatures w14:val="none"/>
        </w:rPr>
        <w:footnoteReference w:id="10"/>
      </w:r>
      <w:r w:rsidR="00E452AD">
        <w:rPr>
          <w:rFonts w:ascii="Times New Roman" w:hAnsi="Times New Roman" w:cs="Times New Roman"/>
          <w:kern w:val="0"/>
          <w14:ligatures w14:val="none"/>
        </w:rPr>
        <w:t>, in which the court held that delegated administrative</w:t>
      </w:r>
      <w:r w:rsidR="005D30EB">
        <w:rPr>
          <w:rFonts w:ascii="Times New Roman" w:hAnsi="Times New Roman" w:cs="Times New Roman"/>
          <w:kern w:val="0"/>
          <w14:ligatures w14:val="none"/>
        </w:rPr>
        <w:t xml:space="preserve"> functions were </w:t>
      </w:r>
      <w:r w:rsidR="00E452AD">
        <w:rPr>
          <w:rFonts w:ascii="Times New Roman" w:hAnsi="Times New Roman" w:cs="Times New Roman"/>
          <w:kern w:val="0"/>
          <w14:ligatures w14:val="none"/>
        </w:rPr>
        <w:t xml:space="preserve">subject to judicial review. </w:t>
      </w:r>
    </w:p>
    <w:p w14:paraId="4767018B" w14:textId="55E43607" w:rsidR="00E452AD" w:rsidRPr="00E4684D" w:rsidRDefault="00E452AD"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court finds nothing irregular about the joinder of the second respondent to the proceedings. The second respondent </w:t>
      </w:r>
      <w:r w:rsidR="00321D9F">
        <w:rPr>
          <w:rFonts w:ascii="Times New Roman" w:hAnsi="Times New Roman" w:cs="Times New Roman"/>
          <w:kern w:val="0"/>
          <w14:ligatures w14:val="none"/>
        </w:rPr>
        <w:t xml:space="preserve">did not deny </w:t>
      </w:r>
      <w:r>
        <w:rPr>
          <w:rFonts w:ascii="Times New Roman" w:hAnsi="Times New Roman" w:cs="Times New Roman"/>
          <w:kern w:val="0"/>
          <w14:ligatures w14:val="none"/>
        </w:rPr>
        <w:t xml:space="preserve">that it was engaged to validate the EY report and make recommendations to the first respondent. </w:t>
      </w:r>
      <w:r w:rsidR="00321D9F">
        <w:rPr>
          <w:rFonts w:ascii="Times New Roman" w:hAnsi="Times New Roman" w:cs="Times New Roman"/>
          <w:kern w:val="0"/>
          <w14:ligatures w14:val="none"/>
        </w:rPr>
        <w:t>By a</w:t>
      </w:r>
      <w:r>
        <w:rPr>
          <w:rFonts w:ascii="Times New Roman" w:hAnsi="Times New Roman" w:cs="Times New Roman"/>
          <w:kern w:val="0"/>
          <w14:ligatures w14:val="none"/>
        </w:rPr>
        <w:t xml:space="preserve">ccepting the mandate and proceeding to generate what it called an opinion, </w:t>
      </w:r>
      <w:r w:rsidR="00321D9F">
        <w:rPr>
          <w:rFonts w:ascii="Times New Roman" w:hAnsi="Times New Roman" w:cs="Times New Roman"/>
          <w:kern w:val="0"/>
          <w14:ligatures w14:val="none"/>
        </w:rPr>
        <w:t xml:space="preserve">it became </w:t>
      </w:r>
      <w:r>
        <w:rPr>
          <w:rFonts w:ascii="Times New Roman" w:hAnsi="Times New Roman" w:cs="Times New Roman"/>
          <w:kern w:val="0"/>
          <w14:ligatures w14:val="none"/>
        </w:rPr>
        <w:t>an interested party</w:t>
      </w:r>
      <w:r w:rsidR="00DE01D1">
        <w:rPr>
          <w:rFonts w:ascii="Times New Roman" w:hAnsi="Times New Roman" w:cs="Times New Roman"/>
          <w:kern w:val="0"/>
          <w14:ligatures w14:val="none"/>
        </w:rPr>
        <w:t xml:space="preserve"> to th</w:t>
      </w:r>
      <w:r w:rsidR="00321D9F">
        <w:rPr>
          <w:rFonts w:ascii="Times New Roman" w:hAnsi="Times New Roman" w:cs="Times New Roman"/>
          <w:kern w:val="0"/>
          <w14:ligatures w14:val="none"/>
        </w:rPr>
        <w:t>os</w:t>
      </w:r>
      <w:r w:rsidR="00DE01D1">
        <w:rPr>
          <w:rFonts w:ascii="Times New Roman" w:hAnsi="Times New Roman" w:cs="Times New Roman"/>
          <w:kern w:val="0"/>
          <w14:ligatures w14:val="none"/>
        </w:rPr>
        <w:t>e proceedings. The applicant</w:t>
      </w:r>
      <w:r w:rsidR="00321D9F">
        <w:rPr>
          <w:rFonts w:ascii="Times New Roman" w:hAnsi="Times New Roman" w:cs="Times New Roman"/>
          <w:kern w:val="0"/>
          <w14:ligatures w14:val="none"/>
        </w:rPr>
        <w:t xml:space="preserve">s </w:t>
      </w:r>
      <w:r w:rsidR="00DE01D1">
        <w:rPr>
          <w:rFonts w:ascii="Times New Roman" w:hAnsi="Times New Roman" w:cs="Times New Roman"/>
          <w:kern w:val="0"/>
          <w14:ligatures w14:val="none"/>
        </w:rPr>
        <w:t>impugn</w:t>
      </w:r>
      <w:r w:rsidR="00321D9F">
        <w:rPr>
          <w:rFonts w:ascii="Times New Roman" w:hAnsi="Times New Roman" w:cs="Times New Roman"/>
          <w:kern w:val="0"/>
          <w14:ligatures w14:val="none"/>
        </w:rPr>
        <w:t>ed</w:t>
      </w:r>
      <w:r w:rsidR="00DE01D1">
        <w:rPr>
          <w:rFonts w:ascii="Times New Roman" w:hAnsi="Times New Roman" w:cs="Times New Roman"/>
          <w:kern w:val="0"/>
          <w14:ligatures w14:val="none"/>
        </w:rPr>
        <w:t xml:space="preserve"> some of</w:t>
      </w:r>
      <w:r w:rsidR="00321D9F">
        <w:rPr>
          <w:rFonts w:ascii="Times New Roman" w:hAnsi="Times New Roman" w:cs="Times New Roman"/>
          <w:kern w:val="0"/>
          <w14:ligatures w14:val="none"/>
        </w:rPr>
        <w:t xml:space="preserve"> its</w:t>
      </w:r>
      <w:r w:rsidR="00DE01D1">
        <w:rPr>
          <w:rFonts w:ascii="Times New Roman" w:hAnsi="Times New Roman" w:cs="Times New Roman"/>
          <w:kern w:val="0"/>
          <w14:ligatures w14:val="none"/>
        </w:rPr>
        <w:t xml:space="preserve"> findings</w:t>
      </w:r>
      <w:r w:rsidR="00321D9F">
        <w:rPr>
          <w:rFonts w:ascii="Times New Roman" w:hAnsi="Times New Roman" w:cs="Times New Roman"/>
          <w:kern w:val="0"/>
          <w14:ligatures w14:val="none"/>
        </w:rPr>
        <w:t xml:space="preserve">, and it was only proper that it be cited to provide some insight into its report. </w:t>
      </w:r>
      <w:r w:rsidR="00DE01D1">
        <w:rPr>
          <w:rFonts w:ascii="Times New Roman" w:hAnsi="Times New Roman" w:cs="Times New Roman"/>
          <w:kern w:val="0"/>
          <w14:ligatures w14:val="none"/>
        </w:rPr>
        <w:t xml:space="preserve">The second respondent’s report is central to the </w:t>
      </w:r>
      <w:r w:rsidR="00DE01D1">
        <w:rPr>
          <w:rFonts w:ascii="Times New Roman" w:hAnsi="Times New Roman" w:cs="Times New Roman"/>
          <w:kern w:val="0"/>
          <w14:ligatures w14:val="none"/>
        </w:rPr>
        <w:lastRenderedPageBreak/>
        <w:t xml:space="preserve">current proceedings. </w:t>
      </w:r>
      <w:r w:rsidR="00C96B4B">
        <w:rPr>
          <w:rFonts w:ascii="Times New Roman" w:hAnsi="Times New Roman" w:cs="Times New Roman"/>
          <w:kern w:val="0"/>
          <w14:ligatures w14:val="none"/>
        </w:rPr>
        <w:t xml:space="preserve">It </w:t>
      </w:r>
      <w:r w:rsidR="00C96B4B" w:rsidRPr="00E4684D">
        <w:rPr>
          <w:rFonts w:ascii="Times New Roman" w:hAnsi="Times New Roman" w:cs="Times New Roman"/>
          <w:kern w:val="0"/>
          <w14:ligatures w14:val="none"/>
        </w:rPr>
        <w:t xml:space="preserve">was that report that the first respondent relied upon in making the impugned </w:t>
      </w:r>
      <w:r w:rsidR="00DE01D1" w:rsidRPr="00E4684D">
        <w:rPr>
          <w:rFonts w:ascii="Times New Roman" w:hAnsi="Times New Roman" w:cs="Times New Roman"/>
          <w:kern w:val="0"/>
          <w14:ligatures w14:val="none"/>
        </w:rPr>
        <w:t>decision.</w:t>
      </w:r>
      <w:r w:rsidR="00432A11">
        <w:rPr>
          <w:rFonts w:ascii="Times New Roman" w:hAnsi="Times New Roman" w:cs="Times New Roman"/>
          <w:kern w:val="0"/>
          <w14:ligatures w14:val="none"/>
        </w:rPr>
        <w:t xml:space="preserve"> There is therefore no merit in the objection concerning the joinder of the second respondent herein. </w:t>
      </w:r>
    </w:p>
    <w:p w14:paraId="2A52319E" w14:textId="128A02CC" w:rsidR="0092154F" w:rsidRPr="00E4684D" w:rsidRDefault="00DE01D1"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 However, the second leg of the applicant</w:t>
      </w:r>
      <w:r w:rsidR="0092154F" w:rsidRPr="00E4684D">
        <w:rPr>
          <w:rFonts w:ascii="Times New Roman" w:hAnsi="Times New Roman" w:cs="Times New Roman"/>
          <w:kern w:val="0"/>
          <w14:ligatures w14:val="none"/>
        </w:rPr>
        <w:t>s</w:t>
      </w:r>
      <w:r w:rsidRPr="00E4684D">
        <w:rPr>
          <w:rFonts w:ascii="Times New Roman" w:hAnsi="Times New Roman" w:cs="Times New Roman"/>
          <w:kern w:val="0"/>
          <w14:ligatures w14:val="none"/>
        </w:rPr>
        <w:t xml:space="preserve">’ submission </w:t>
      </w:r>
      <w:r w:rsidR="0092154F" w:rsidRPr="00E4684D">
        <w:rPr>
          <w:rFonts w:ascii="Times New Roman" w:hAnsi="Times New Roman" w:cs="Times New Roman"/>
          <w:kern w:val="0"/>
          <w14:ligatures w14:val="none"/>
        </w:rPr>
        <w:t xml:space="preserve">that the </w:t>
      </w:r>
      <w:r w:rsidRPr="00E4684D">
        <w:rPr>
          <w:rFonts w:ascii="Times New Roman" w:hAnsi="Times New Roman" w:cs="Times New Roman"/>
          <w:kern w:val="0"/>
          <w14:ligatures w14:val="none"/>
        </w:rPr>
        <w:t>second respondent acted on the bas</w:t>
      </w:r>
      <w:r w:rsidR="0092154F" w:rsidRPr="00E4684D">
        <w:rPr>
          <w:rFonts w:ascii="Times New Roman" w:hAnsi="Times New Roman" w:cs="Times New Roman"/>
          <w:kern w:val="0"/>
          <w14:ligatures w14:val="none"/>
        </w:rPr>
        <w:t>i</w:t>
      </w:r>
      <w:r w:rsidRPr="00E4684D">
        <w:rPr>
          <w:rFonts w:ascii="Times New Roman" w:hAnsi="Times New Roman" w:cs="Times New Roman"/>
          <w:kern w:val="0"/>
          <w14:ligatures w14:val="none"/>
        </w:rPr>
        <w:t>s of delegated administrative authority</w:t>
      </w:r>
      <w:r w:rsidR="0092154F" w:rsidRPr="00E4684D">
        <w:rPr>
          <w:rFonts w:ascii="Times New Roman" w:hAnsi="Times New Roman" w:cs="Times New Roman"/>
          <w:kern w:val="0"/>
          <w14:ligatures w14:val="none"/>
        </w:rPr>
        <w:t xml:space="preserve">, as contemplated in the </w:t>
      </w:r>
      <w:r w:rsidR="0092154F" w:rsidRPr="00E4684D">
        <w:rPr>
          <w:rFonts w:ascii="Times New Roman" w:hAnsi="Times New Roman" w:cs="Times New Roman"/>
          <w:i/>
          <w:iCs/>
          <w:kern w:val="0"/>
          <w14:ligatures w14:val="none"/>
        </w:rPr>
        <w:t xml:space="preserve">Vela </w:t>
      </w:r>
      <w:r w:rsidR="0092154F" w:rsidRPr="00E4684D">
        <w:rPr>
          <w:rFonts w:ascii="Times New Roman" w:hAnsi="Times New Roman" w:cs="Times New Roman"/>
          <w:kern w:val="0"/>
          <w14:ligatures w14:val="none"/>
        </w:rPr>
        <w:t>judgment,</w:t>
      </w:r>
      <w:r w:rsidRPr="00E4684D">
        <w:rPr>
          <w:rFonts w:ascii="Times New Roman" w:hAnsi="Times New Roman" w:cs="Times New Roman"/>
          <w:kern w:val="0"/>
          <w14:ligatures w14:val="none"/>
        </w:rPr>
        <w:t xml:space="preserve"> is a matter that must be dealt </w:t>
      </w:r>
      <w:r w:rsidR="00432A11">
        <w:rPr>
          <w:rFonts w:ascii="Times New Roman" w:hAnsi="Times New Roman" w:cs="Times New Roman"/>
          <w:kern w:val="0"/>
          <w14:ligatures w14:val="none"/>
        </w:rPr>
        <w:t xml:space="preserve">with </w:t>
      </w:r>
      <w:r w:rsidR="0092154F" w:rsidRPr="00E4684D">
        <w:rPr>
          <w:rFonts w:ascii="Times New Roman" w:hAnsi="Times New Roman" w:cs="Times New Roman"/>
          <w:kern w:val="0"/>
          <w14:ligatures w14:val="none"/>
        </w:rPr>
        <w:t xml:space="preserve">simultaneously </w:t>
      </w:r>
      <w:r w:rsidR="00C55020" w:rsidRPr="00E4684D">
        <w:rPr>
          <w:rFonts w:ascii="Times New Roman" w:hAnsi="Times New Roman" w:cs="Times New Roman"/>
          <w:kern w:val="0"/>
          <w14:ligatures w14:val="none"/>
        </w:rPr>
        <w:t>with the point raised by the third to thirteenth respondents</w:t>
      </w:r>
      <w:r w:rsidR="0092154F" w:rsidRPr="00E4684D">
        <w:rPr>
          <w:rFonts w:ascii="Times New Roman" w:hAnsi="Times New Roman" w:cs="Times New Roman"/>
          <w:kern w:val="0"/>
          <w14:ligatures w14:val="none"/>
        </w:rPr>
        <w:t xml:space="preserve"> that</w:t>
      </w:r>
      <w:r w:rsidR="00C55020" w:rsidRPr="00E4684D">
        <w:rPr>
          <w:rFonts w:ascii="Times New Roman" w:hAnsi="Times New Roman" w:cs="Times New Roman"/>
          <w:kern w:val="0"/>
          <w14:ligatures w14:val="none"/>
        </w:rPr>
        <w:t xml:space="preserve"> the applicants </w:t>
      </w:r>
      <w:r w:rsidR="0092154F" w:rsidRPr="00E4684D">
        <w:rPr>
          <w:rFonts w:ascii="Times New Roman" w:hAnsi="Times New Roman" w:cs="Times New Roman"/>
          <w:kern w:val="0"/>
          <w14:ligatures w14:val="none"/>
        </w:rPr>
        <w:t>we</w:t>
      </w:r>
      <w:r w:rsidR="00C55020" w:rsidRPr="00E4684D">
        <w:rPr>
          <w:rFonts w:ascii="Times New Roman" w:hAnsi="Times New Roman" w:cs="Times New Roman"/>
          <w:kern w:val="0"/>
          <w14:ligatures w14:val="none"/>
        </w:rPr>
        <w:t xml:space="preserve">re </w:t>
      </w:r>
      <w:r w:rsidR="0092154F" w:rsidRPr="00E4684D">
        <w:rPr>
          <w:rFonts w:ascii="Times New Roman" w:hAnsi="Times New Roman" w:cs="Times New Roman"/>
          <w:kern w:val="0"/>
          <w14:ligatures w14:val="none"/>
        </w:rPr>
        <w:t xml:space="preserve">precluded </w:t>
      </w:r>
      <w:r w:rsidR="00C55020" w:rsidRPr="00E4684D">
        <w:rPr>
          <w:rFonts w:ascii="Times New Roman" w:hAnsi="Times New Roman" w:cs="Times New Roman"/>
          <w:kern w:val="0"/>
          <w14:ligatures w14:val="none"/>
        </w:rPr>
        <w:t>from challenging the report by the second respondent</w:t>
      </w:r>
      <w:r w:rsidR="0092154F" w:rsidRPr="00E4684D">
        <w:rPr>
          <w:rFonts w:ascii="Times New Roman" w:hAnsi="Times New Roman" w:cs="Times New Roman"/>
          <w:kern w:val="0"/>
          <w14:ligatures w14:val="none"/>
        </w:rPr>
        <w:t>, since the parties had agreed that the outcome of the validation process was final</w:t>
      </w:r>
      <w:r w:rsidR="00C55020" w:rsidRPr="00E4684D">
        <w:rPr>
          <w:rFonts w:ascii="Times New Roman" w:hAnsi="Times New Roman" w:cs="Times New Roman"/>
          <w:kern w:val="0"/>
          <w14:ligatures w14:val="none"/>
        </w:rPr>
        <w:t>.</w:t>
      </w:r>
    </w:p>
    <w:p w14:paraId="3CB7E1AA" w14:textId="26089FDD" w:rsidR="00DE01D1" w:rsidRPr="00E4684D" w:rsidRDefault="00C55020"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The point </w:t>
      </w:r>
      <w:r w:rsidR="00DE01D1" w:rsidRPr="00E4684D">
        <w:rPr>
          <w:rFonts w:ascii="Times New Roman" w:hAnsi="Times New Roman" w:cs="Times New Roman"/>
          <w:kern w:val="0"/>
          <w14:ligatures w14:val="none"/>
        </w:rPr>
        <w:t xml:space="preserve">must be considered in the context of the nature of the arrangement </w:t>
      </w:r>
      <w:r w:rsidR="0092154F" w:rsidRPr="00E4684D">
        <w:rPr>
          <w:rFonts w:ascii="Times New Roman" w:hAnsi="Times New Roman" w:cs="Times New Roman"/>
          <w:kern w:val="0"/>
          <w14:ligatures w14:val="none"/>
        </w:rPr>
        <w:t>that</w:t>
      </w:r>
      <w:r w:rsidR="00DE01D1" w:rsidRPr="00E4684D">
        <w:rPr>
          <w:rFonts w:ascii="Times New Roman" w:hAnsi="Times New Roman" w:cs="Times New Roman"/>
          <w:kern w:val="0"/>
          <w14:ligatures w14:val="none"/>
        </w:rPr>
        <w:t xml:space="preserve"> existed between the parties culminating in the engagement of the second respondent to carry out the assignment of </w:t>
      </w:r>
      <w:r w:rsidR="0092154F" w:rsidRPr="00E4684D">
        <w:rPr>
          <w:rFonts w:ascii="Times New Roman" w:hAnsi="Times New Roman" w:cs="Times New Roman"/>
          <w:kern w:val="0"/>
          <w14:ligatures w14:val="none"/>
        </w:rPr>
        <w:t xml:space="preserve">validating </w:t>
      </w:r>
      <w:r w:rsidR="00DE01D1" w:rsidRPr="00E4684D">
        <w:rPr>
          <w:rFonts w:ascii="Times New Roman" w:hAnsi="Times New Roman" w:cs="Times New Roman"/>
          <w:kern w:val="0"/>
          <w14:ligatures w14:val="none"/>
        </w:rPr>
        <w:t xml:space="preserve">the EY report. </w:t>
      </w:r>
      <w:r w:rsidR="00186413" w:rsidRPr="00E4684D">
        <w:rPr>
          <w:rFonts w:ascii="Times New Roman" w:hAnsi="Times New Roman" w:cs="Times New Roman"/>
          <w:kern w:val="0"/>
          <w14:ligatures w14:val="none"/>
        </w:rPr>
        <w:t xml:space="preserve">This is because in the </w:t>
      </w:r>
      <w:r w:rsidR="00186413" w:rsidRPr="00E4684D">
        <w:rPr>
          <w:rFonts w:ascii="Times New Roman" w:hAnsi="Times New Roman" w:cs="Times New Roman"/>
          <w:i/>
          <w:iCs/>
          <w:kern w:val="0"/>
          <w14:ligatures w14:val="none"/>
        </w:rPr>
        <w:t xml:space="preserve">Vela </w:t>
      </w:r>
      <w:r w:rsidR="00A62219" w:rsidRPr="00E4684D">
        <w:rPr>
          <w:rFonts w:ascii="Times New Roman" w:hAnsi="Times New Roman" w:cs="Times New Roman"/>
          <w:kern w:val="0"/>
          <w14:ligatures w14:val="none"/>
        </w:rPr>
        <w:t>case</w:t>
      </w:r>
      <w:r w:rsidR="00186413" w:rsidRPr="00E4684D">
        <w:rPr>
          <w:rFonts w:ascii="Times New Roman" w:hAnsi="Times New Roman" w:cs="Times New Roman"/>
          <w:kern w:val="0"/>
          <w14:ligatures w14:val="none"/>
        </w:rPr>
        <w:t>, the court found that s 9 of the Audit Office Act</w:t>
      </w:r>
      <w:r w:rsidR="00186413" w:rsidRPr="00E4684D">
        <w:rPr>
          <w:rStyle w:val="FootnoteReference"/>
          <w:rFonts w:ascii="Times New Roman" w:hAnsi="Times New Roman" w:cs="Times New Roman"/>
          <w:kern w:val="0"/>
          <w14:ligatures w14:val="none"/>
        </w:rPr>
        <w:footnoteReference w:id="11"/>
      </w:r>
      <w:r w:rsidR="00A62219" w:rsidRPr="00E4684D">
        <w:rPr>
          <w:rFonts w:ascii="Times New Roman" w:hAnsi="Times New Roman" w:cs="Times New Roman"/>
          <w:kern w:val="0"/>
          <w14:ligatures w14:val="none"/>
        </w:rPr>
        <w:t xml:space="preserve">, empowered the Auditor General to appoint any registered public auditor to carry out any of the auditing functions required by the Act or any other enactment, and to report the results of such audit to the Auditor General. </w:t>
      </w:r>
      <w:r w:rsidR="0092154F" w:rsidRPr="00E4684D">
        <w:rPr>
          <w:rFonts w:ascii="Times New Roman" w:hAnsi="Times New Roman" w:cs="Times New Roman"/>
          <w:kern w:val="0"/>
          <w14:ligatures w14:val="none"/>
        </w:rPr>
        <w:t>That was not the case herein. I say so for reasons that will be set out here</w:t>
      </w:r>
      <w:r w:rsidR="00DB3462" w:rsidRPr="00E4684D">
        <w:rPr>
          <w:rFonts w:ascii="Times New Roman" w:hAnsi="Times New Roman" w:cs="Times New Roman"/>
          <w:kern w:val="0"/>
          <w14:ligatures w14:val="none"/>
        </w:rPr>
        <w:t>inafter</w:t>
      </w:r>
      <w:r w:rsidR="0092154F" w:rsidRPr="00E4684D">
        <w:rPr>
          <w:rFonts w:ascii="Times New Roman" w:hAnsi="Times New Roman" w:cs="Times New Roman"/>
          <w:kern w:val="0"/>
          <w14:ligatures w14:val="none"/>
        </w:rPr>
        <w:t xml:space="preserve">. </w:t>
      </w:r>
    </w:p>
    <w:p w14:paraId="05EECB1D" w14:textId="0118E0E4" w:rsidR="00C55020" w:rsidRPr="00E4684D" w:rsidRDefault="00C55020" w:rsidP="00C55020">
      <w:pPr>
        <w:tabs>
          <w:tab w:val="left" w:pos="426"/>
        </w:tabs>
        <w:spacing w:after="0" w:line="360" w:lineRule="auto"/>
        <w:jc w:val="both"/>
        <w:rPr>
          <w:rFonts w:ascii="Times New Roman" w:hAnsi="Times New Roman" w:cs="Times New Roman"/>
          <w:b/>
          <w:bCs/>
          <w:i/>
          <w:iCs/>
          <w:kern w:val="0"/>
          <w:u w:val="single"/>
          <w14:ligatures w14:val="none"/>
        </w:rPr>
      </w:pPr>
      <w:r w:rsidRPr="00E4684D">
        <w:rPr>
          <w:rFonts w:ascii="Times New Roman" w:hAnsi="Times New Roman" w:cs="Times New Roman"/>
          <w:b/>
          <w:bCs/>
          <w:i/>
          <w:iCs/>
          <w:kern w:val="0"/>
          <w:u w:val="single"/>
          <w14:ligatures w14:val="none"/>
        </w:rPr>
        <w:t xml:space="preserve">Whether the applicants </w:t>
      </w:r>
      <w:r w:rsidR="00DB3462" w:rsidRPr="00E4684D">
        <w:rPr>
          <w:rFonts w:ascii="Times New Roman" w:hAnsi="Times New Roman" w:cs="Times New Roman"/>
          <w:b/>
          <w:bCs/>
          <w:i/>
          <w:iCs/>
          <w:kern w:val="0"/>
          <w:u w:val="single"/>
          <w14:ligatures w14:val="none"/>
        </w:rPr>
        <w:t xml:space="preserve">were precluded </w:t>
      </w:r>
      <w:r w:rsidRPr="00E4684D">
        <w:rPr>
          <w:rFonts w:ascii="Times New Roman" w:hAnsi="Times New Roman" w:cs="Times New Roman"/>
          <w:b/>
          <w:bCs/>
          <w:i/>
          <w:iCs/>
          <w:kern w:val="0"/>
          <w:u w:val="single"/>
          <w14:ligatures w14:val="none"/>
        </w:rPr>
        <w:t>from challenging the</w:t>
      </w:r>
      <w:r w:rsidR="00452632" w:rsidRPr="00E4684D">
        <w:rPr>
          <w:rFonts w:ascii="Times New Roman" w:hAnsi="Times New Roman" w:cs="Times New Roman"/>
          <w:b/>
          <w:bCs/>
          <w:i/>
          <w:iCs/>
          <w:kern w:val="0"/>
          <w:u w:val="single"/>
          <w14:ligatures w14:val="none"/>
        </w:rPr>
        <w:t xml:space="preserve"> </w:t>
      </w:r>
      <w:r w:rsidRPr="00E4684D">
        <w:rPr>
          <w:rFonts w:ascii="Times New Roman" w:hAnsi="Times New Roman" w:cs="Times New Roman"/>
          <w:b/>
          <w:bCs/>
          <w:i/>
          <w:iCs/>
          <w:kern w:val="0"/>
          <w:u w:val="single"/>
          <w14:ligatures w14:val="none"/>
        </w:rPr>
        <w:t>second respondent</w:t>
      </w:r>
      <w:r w:rsidR="00452632" w:rsidRPr="00E4684D">
        <w:rPr>
          <w:rFonts w:ascii="Times New Roman" w:hAnsi="Times New Roman" w:cs="Times New Roman"/>
          <w:b/>
          <w:bCs/>
          <w:i/>
          <w:iCs/>
          <w:kern w:val="0"/>
          <w:u w:val="single"/>
          <w14:ligatures w14:val="none"/>
        </w:rPr>
        <w:t>’s report</w:t>
      </w:r>
    </w:p>
    <w:p w14:paraId="51224327" w14:textId="27C00386" w:rsidR="00F704D4" w:rsidRPr="00E4684D" w:rsidRDefault="00452632"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Th</w:t>
      </w:r>
      <w:r w:rsidR="00DB3462" w:rsidRPr="00E4684D">
        <w:rPr>
          <w:rFonts w:ascii="Times New Roman" w:hAnsi="Times New Roman" w:cs="Times New Roman"/>
          <w:kern w:val="0"/>
          <w14:ligatures w14:val="none"/>
        </w:rPr>
        <w:t>is</w:t>
      </w:r>
      <w:r w:rsidRPr="00E4684D">
        <w:rPr>
          <w:rFonts w:ascii="Times New Roman" w:hAnsi="Times New Roman" w:cs="Times New Roman"/>
          <w:kern w:val="0"/>
          <w14:ligatures w14:val="none"/>
        </w:rPr>
        <w:t xml:space="preserve"> point was motivated in </w:t>
      </w:r>
      <w:r w:rsidR="00DB3462" w:rsidRPr="00E4684D">
        <w:rPr>
          <w:rFonts w:ascii="Times New Roman" w:hAnsi="Times New Roman" w:cs="Times New Roman"/>
          <w:kern w:val="0"/>
          <w14:ligatures w14:val="none"/>
        </w:rPr>
        <w:t xml:space="preserve">paragraphs 5-14 of </w:t>
      </w:r>
      <w:r w:rsidRPr="00E4684D">
        <w:rPr>
          <w:rFonts w:ascii="Times New Roman" w:hAnsi="Times New Roman" w:cs="Times New Roman"/>
          <w:kern w:val="0"/>
          <w14:ligatures w14:val="none"/>
        </w:rPr>
        <w:t xml:space="preserve">the third to thirteenth respondents’ </w:t>
      </w:r>
      <w:r w:rsidR="00DB3462" w:rsidRPr="00E4684D">
        <w:rPr>
          <w:rFonts w:ascii="Times New Roman" w:hAnsi="Times New Roman" w:cs="Times New Roman"/>
          <w:kern w:val="0"/>
          <w14:ligatures w14:val="none"/>
        </w:rPr>
        <w:t xml:space="preserve">heads of argument </w:t>
      </w:r>
      <w:r w:rsidRPr="00E4684D">
        <w:rPr>
          <w:rFonts w:ascii="Times New Roman" w:hAnsi="Times New Roman" w:cs="Times New Roman"/>
          <w:kern w:val="0"/>
          <w14:ligatures w14:val="none"/>
        </w:rPr>
        <w:t xml:space="preserve">as follows. In terms of the MOU signed by the applicants, the first respondent and the third to thirteenth respondents, the parties agreed that the </w:t>
      </w:r>
      <w:r w:rsidR="008522B2" w:rsidRPr="00E4684D">
        <w:rPr>
          <w:rFonts w:ascii="Times New Roman" w:hAnsi="Times New Roman" w:cs="Times New Roman"/>
          <w:kern w:val="0"/>
          <w14:ligatures w14:val="none"/>
        </w:rPr>
        <w:t>decision of the consultant on the DoP validation process was</w:t>
      </w:r>
      <w:r w:rsidR="00DB3462" w:rsidRPr="00E4684D">
        <w:rPr>
          <w:rFonts w:ascii="Times New Roman" w:hAnsi="Times New Roman" w:cs="Times New Roman"/>
          <w:kern w:val="0"/>
          <w14:ligatures w14:val="none"/>
        </w:rPr>
        <w:t xml:space="preserve"> </w:t>
      </w:r>
      <w:r w:rsidR="008522B2" w:rsidRPr="00E4684D">
        <w:rPr>
          <w:rFonts w:ascii="Times New Roman" w:hAnsi="Times New Roman" w:cs="Times New Roman"/>
          <w:kern w:val="0"/>
          <w14:ligatures w14:val="none"/>
        </w:rPr>
        <w:t>final and binding upon the parties. Where parties to a contract agree</w:t>
      </w:r>
      <w:r w:rsidR="00432A11">
        <w:rPr>
          <w:rFonts w:ascii="Times New Roman" w:hAnsi="Times New Roman" w:cs="Times New Roman"/>
          <w:kern w:val="0"/>
          <w14:ligatures w14:val="none"/>
        </w:rPr>
        <w:t>d</w:t>
      </w:r>
      <w:r w:rsidR="008522B2" w:rsidRPr="00E4684D">
        <w:rPr>
          <w:rFonts w:ascii="Times New Roman" w:hAnsi="Times New Roman" w:cs="Times New Roman"/>
          <w:kern w:val="0"/>
          <w14:ligatures w14:val="none"/>
        </w:rPr>
        <w:t xml:space="preserve"> that the decision of an umpire</w:t>
      </w:r>
      <w:r w:rsidR="00DB3462" w:rsidRPr="00E4684D">
        <w:rPr>
          <w:rFonts w:ascii="Times New Roman" w:hAnsi="Times New Roman" w:cs="Times New Roman"/>
          <w:kern w:val="0"/>
          <w14:ligatures w14:val="none"/>
        </w:rPr>
        <w:t xml:space="preserve"> </w:t>
      </w:r>
      <w:r w:rsidR="00432A11">
        <w:rPr>
          <w:rFonts w:ascii="Times New Roman" w:hAnsi="Times New Roman" w:cs="Times New Roman"/>
          <w:kern w:val="0"/>
          <w14:ligatures w14:val="none"/>
        </w:rPr>
        <w:t>wa</w:t>
      </w:r>
      <w:r w:rsidR="00DB3462" w:rsidRPr="00E4684D">
        <w:rPr>
          <w:rFonts w:ascii="Times New Roman" w:hAnsi="Times New Roman" w:cs="Times New Roman"/>
          <w:kern w:val="0"/>
          <w14:ligatures w14:val="none"/>
        </w:rPr>
        <w:t>s</w:t>
      </w:r>
      <w:r w:rsidR="008522B2" w:rsidRPr="00E4684D">
        <w:rPr>
          <w:rFonts w:ascii="Times New Roman" w:hAnsi="Times New Roman" w:cs="Times New Roman"/>
          <w:kern w:val="0"/>
          <w14:ligatures w14:val="none"/>
        </w:rPr>
        <w:t xml:space="preserve"> final, then none of the</w:t>
      </w:r>
      <w:r w:rsidR="00DB3462" w:rsidRPr="00E4684D">
        <w:rPr>
          <w:rFonts w:ascii="Times New Roman" w:hAnsi="Times New Roman" w:cs="Times New Roman"/>
          <w:kern w:val="0"/>
          <w14:ligatures w14:val="none"/>
        </w:rPr>
        <w:t xml:space="preserve"> parties </w:t>
      </w:r>
      <w:r w:rsidR="008522B2" w:rsidRPr="00E4684D">
        <w:rPr>
          <w:rFonts w:ascii="Times New Roman" w:hAnsi="Times New Roman" w:cs="Times New Roman"/>
          <w:kern w:val="0"/>
          <w14:ligatures w14:val="none"/>
        </w:rPr>
        <w:t xml:space="preserve">was permitted to challenge such decision. </w:t>
      </w:r>
      <w:r w:rsidR="00DB3462" w:rsidRPr="00E4684D">
        <w:rPr>
          <w:rFonts w:ascii="Times New Roman" w:hAnsi="Times New Roman" w:cs="Times New Roman"/>
          <w:kern w:val="0"/>
          <w14:ligatures w14:val="none"/>
        </w:rPr>
        <w:t xml:space="preserve">Once challenged, it ceased to be final. </w:t>
      </w:r>
    </w:p>
    <w:p w14:paraId="61DA83F1" w14:textId="6E8D3F1F" w:rsidR="00281481" w:rsidRDefault="008522B2"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sidRPr="00E4684D">
        <w:rPr>
          <w:rFonts w:ascii="Times New Roman" w:hAnsi="Times New Roman" w:cs="Times New Roman"/>
          <w:kern w:val="0"/>
          <w14:ligatures w14:val="none"/>
        </w:rPr>
        <w:t xml:space="preserve"> The third to thirteenth respondents referred to decisions </w:t>
      </w:r>
      <w:r w:rsidR="00DB3462" w:rsidRPr="00E4684D">
        <w:rPr>
          <w:rFonts w:ascii="Times New Roman" w:hAnsi="Times New Roman" w:cs="Times New Roman"/>
          <w:kern w:val="0"/>
          <w14:ligatures w14:val="none"/>
        </w:rPr>
        <w:t xml:space="preserve">of the superior courts </w:t>
      </w:r>
      <w:r w:rsidRPr="00E4684D">
        <w:rPr>
          <w:rFonts w:ascii="Times New Roman" w:hAnsi="Times New Roman" w:cs="Times New Roman"/>
          <w:kern w:val="0"/>
          <w14:ligatures w14:val="none"/>
        </w:rPr>
        <w:t xml:space="preserve">which reaffirmed the position of the law that parties must </w:t>
      </w:r>
      <w:r w:rsidR="00DB3462" w:rsidRPr="00E4684D">
        <w:rPr>
          <w:rFonts w:ascii="Times New Roman" w:hAnsi="Times New Roman" w:cs="Times New Roman"/>
          <w:kern w:val="0"/>
          <w14:ligatures w14:val="none"/>
        </w:rPr>
        <w:t xml:space="preserve">not </w:t>
      </w:r>
      <w:r w:rsidRPr="00E4684D">
        <w:rPr>
          <w:rFonts w:ascii="Times New Roman" w:hAnsi="Times New Roman" w:cs="Times New Roman"/>
          <w:kern w:val="0"/>
          <w14:ligatures w14:val="none"/>
        </w:rPr>
        <w:t xml:space="preserve">be allowed to resile from contracts that they </w:t>
      </w:r>
      <w:r w:rsidR="00DB3462" w:rsidRPr="00E4684D">
        <w:rPr>
          <w:rFonts w:ascii="Times New Roman" w:hAnsi="Times New Roman" w:cs="Times New Roman"/>
          <w:kern w:val="0"/>
          <w14:ligatures w14:val="none"/>
        </w:rPr>
        <w:t xml:space="preserve">voluntarily </w:t>
      </w:r>
      <w:r w:rsidRPr="00E4684D">
        <w:rPr>
          <w:rFonts w:ascii="Times New Roman" w:hAnsi="Times New Roman" w:cs="Times New Roman"/>
          <w:kern w:val="0"/>
          <w14:ligatures w14:val="none"/>
        </w:rPr>
        <w:t>signed</w:t>
      </w:r>
      <w:r w:rsidR="00DB3462" w:rsidRPr="00E4684D">
        <w:rPr>
          <w:rFonts w:ascii="Times New Roman" w:hAnsi="Times New Roman" w:cs="Times New Roman"/>
          <w:kern w:val="0"/>
          <w14:ligatures w14:val="none"/>
        </w:rPr>
        <w:t xml:space="preserve">. Where </w:t>
      </w:r>
      <w:r w:rsidRPr="00E4684D">
        <w:rPr>
          <w:rFonts w:ascii="Times New Roman" w:hAnsi="Times New Roman" w:cs="Times New Roman"/>
          <w:kern w:val="0"/>
          <w14:ligatures w14:val="none"/>
        </w:rPr>
        <w:t xml:space="preserve">parties had agreed that the </w:t>
      </w:r>
      <w:r>
        <w:rPr>
          <w:rFonts w:ascii="Times New Roman" w:hAnsi="Times New Roman" w:cs="Times New Roman"/>
          <w:kern w:val="0"/>
          <w14:ligatures w14:val="none"/>
        </w:rPr>
        <w:t xml:space="preserve">decision of </w:t>
      </w:r>
      <w:r w:rsidR="00DB3462">
        <w:rPr>
          <w:rFonts w:ascii="Times New Roman" w:hAnsi="Times New Roman" w:cs="Times New Roman"/>
          <w:kern w:val="0"/>
          <w14:ligatures w14:val="none"/>
        </w:rPr>
        <w:t xml:space="preserve">the </w:t>
      </w:r>
      <w:r>
        <w:rPr>
          <w:rFonts w:ascii="Times New Roman" w:hAnsi="Times New Roman" w:cs="Times New Roman"/>
          <w:kern w:val="0"/>
          <w14:ligatures w14:val="none"/>
        </w:rPr>
        <w:t xml:space="preserve">decision maker was final then </w:t>
      </w:r>
      <w:r w:rsidR="00703FC1">
        <w:rPr>
          <w:rFonts w:ascii="Times New Roman" w:hAnsi="Times New Roman" w:cs="Times New Roman"/>
          <w:kern w:val="0"/>
          <w14:ligatures w14:val="none"/>
        </w:rPr>
        <w:t>that agreed position had to be given effect to.</w:t>
      </w:r>
      <w:r>
        <w:rPr>
          <w:rStyle w:val="FootnoteReference"/>
          <w:rFonts w:ascii="Times New Roman" w:hAnsi="Times New Roman" w:cs="Times New Roman"/>
          <w:kern w:val="0"/>
          <w14:ligatures w14:val="none"/>
        </w:rPr>
        <w:footnoteReference w:id="12"/>
      </w:r>
      <w:r>
        <w:rPr>
          <w:rFonts w:ascii="Times New Roman" w:hAnsi="Times New Roman" w:cs="Times New Roman"/>
          <w:kern w:val="0"/>
          <w14:ligatures w14:val="none"/>
        </w:rPr>
        <w:t xml:space="preserve">  </w:t>
      </w:r>
      <w:r w:rsidR="002D7F2C">
        <w:rPr>
          <w:rFonts w:ascii="Times New Roman" w:hAnsi="Times New Roman" w:cs="Times New Roman"/>
          <w:kern w:val="0"/>
          <w14:ligatures w14:val="none"/>
        </w:rPr>
        <w:t>The applicants had to be held to the contract that they signed. They could not be allowed to challenge the second respondent’s report in breach of the</w:t>
      </w:r>
      <w:r w:rsidR="00DB3462">
        <w:rPr>
          <w:rFonts w:ascii="Times New Roman" w:hAnsi="Times New Roman" w:cs="Times New Roman"/>
          <w:kern w:val="0"/>
          <w14:ligatures w14:val="none"/>
        </w:rPr>
        <w:t xml:space="preserve"> undertaking they made in the MOU</w:t>
      </w:r>
      <w:r w:rsidR="002D7F2C">
        <w:rPr>
          <w:rFonts w:ascii="Times New Roman" w:hAnsi="Times New Roman" w:cs="Times New Roman"/>
          <w:kern w:val="0"/>
          <w14:ligatures w14:val="none"/>
        </w:rPr>
        <w:t xml:space="preserve">. </w:t>
      </w:r>
    </w:p>
    <w:p w14:paraId="663BBC14" w14:textId="225E26C6" w:rsidR="00E154BD" w:rsidRPr="00DB3462" w:rsidRDefault="002D7F2C"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In his oral submissions on the point, </w:t>
      </w:r>
      <w:r w:rsidRPr="00E154BD">
        <w:rPr>
          <w:rFonts w:ascii="Times New Roman" w:hAnsi="Times New Roman" w:cs="Times New Roman"/>
          <w:i/>
          <w:iCs/>
          <w:kern w:val="0"/>
          <w14:ligatures w14:val="none"/>
        </w:rPr>
        <w:t xml:space="preserve">Mr </w:t>
      </w:r>
      <w:r w:rsidRPr="002D7F2C">
        <w:rPr>
          <w:rFonts w:ascii="Times New Roman" w:hAnsi="Times New Roman" w:cs="Times New Roman"/>
          <w:i/>
          <w:iCs/>
          <w:kern w:val="0"/>
          <w14:ligatures w14:val="none"/>
        </w:rPr>
        <w:t xml:space="preserve">Madzoka </w:t>
      </w:r>
      <w:r>
        <w:rPr>
          <w:rFonts w:ascii="Times New Roman" w:hAnsi="Times New Roman" w:cs="Times New Roman"/>
          <w:kern w:val="0"/>
          <w14:ligatures w14:val="none"/>
        </w:rPr>
        <w:t>submitted that the parties agreed that the second respondent’s report was final</w:t>
      </w:r>
      <w:r w:rsidR="00DB3462">
        <w:rPr>
          <w:rFonts w:ascii="Times New Roman" w:hAnsi="Times New Roman" w:cs="Times New Roman"/>
          <w:kern w:val="0"/>
          <w14:ligatures w14:val="none"/>
        </w:rPr>
        <w:t xml:space="preserve">, and any other outstanding issues would be dealt </w:t>
      </w:r>
      <w:r w:rsidR="00DB3462">
        <w:rPr>
          <w:rFonts w:ascii="Times New Roman" w:hAnsi="Times New Roman" w:cs="Times New Roman"/>
          <w:kern w:val="0"/>
          <w14:ligatures w14:val="none"/>
        </w:rPr>
        <w:lastRenderedPageBreak/>
        <w:t>with in the comprehensive DoP review process to be undertaken after the validation phase.</w:t>
      </w:r>
      <w:r>
        <w:rPr>
          <w:rFonts w:ascii="Times New Roman" w:hAnsi="Times New Roman" w:cs="Times New Roman"/>
          <w:kern w:val="0"/>
          <w14:ligatures w14:val="none"/>
        </w:rPr>
        <w:t xml:space="preserve"> </w:t>
      </w:r>
      <w:r w:rsidR="00E154BD" w:rsidRPr="00DB3462">
        <w:rPr>
          <w:rFonts w:ascii="Times New Roman" w:hAnsi="Times New Roman" w:cs="Times New Roman"/>
          <w:kern w:val="0"/>
          <w14:ligatures w14:val="none"/>
        </w:rPr>
        <w:t xml:space="preserve">In response, </w:t>
      </w:r>
      <w:r w:rsidR="00E154BD" w:rsidRPr="00DB3462">
        <w:rPr>
          <w:rFonts w:ascii="Times New Roman" w:hAnsi="Times New Roman" w:cs="Times New Roman"/>
          <w:i/>
          <w:iCs/>
          <w:kern w:val="0"/>
          <w14:ligatures w14:val="none"/>
        </w:rPr>
        <w:t>Mr Mpofu</w:t>
      </w:r>
      <w:r w:rsidR="00E154BD" w:rsidRPr="00DB3462">
        <w:rPr>
          <w:rFonts w:ascii="Times New Roman" w:hAnsi="Times New Roman" w:cs="Times New Roman"/>
          <w:kern w:val="0"/>
          <w14:ligatures w14:val="none"/>
        </w:rPr>
        <w:t xml:space="preserve"> submitted that the MOU dealt with an agreement in respect of </w:t>
      </w:r>
      <w:r w:rsidR="00281481">
        <w:rPr>
          <w:rFonts w:ascii="Times New Roman" w:hAnsi="Times New Roman" w:cs="Times New Roman"/>
          <w:kern w:val="0"/>
          <w14:ligatures w14:val="none"/>
        </w:rPr>
        <w:t xml:space="preserve">the engagement of </w:t>
      </w:r>
      <w:r w:rsidR="00E154BD" w:rsidRPr="00DB3462">
        <w:rPr>
          <w:rFonts w:ascii="Times New Roman" w:hAnsi="Times New Roman" w:cs="Times New Roman"/>
          <w:kern w:val="0"/>
          <w14:ligatures w14:val="none"/>
        </w:rPr>
        <w:t xml:space="preserve">EY and not the second respondent. </w:t>
      </w:r>
      <w:r w:rsidR="00432A11">
        <w:rPr>
          <w:rFonts w:ascii="Times New Roman" w:hAnsi="Times New Roman" w:cs="Times New Roman"/>
          <w:kern w:val="0"/>
          <w14:ligatures w14:val="none"/>
        </w:rPr>
        <w:t>F</w:t>
      </w:r>
      <w:r w:rsidR="00281481">
        <w:rPr>
          <w:rFonts w:ascii="Times New Roman" w:hAnsi="Times New Roman" w:cs="Times New Roman"/>
          <w:kern w:val="0"/>
          <w14:ligatures w14:val="none"/>
        </w:rPr>
        <w:t xml:space="preserve">urther, even if the </w:t>
      </w:r>
      <w:r w:rsidR="00E154BD" w:rsidRPr="00DB3462">
        <w:rPr>
          <w:rFonts w:ascii="Times New Roman" w:hAnsi="Times New Roman" w:cs="Times New Roman"/>
          <w:kern w:val="0"/>
          <w14:ligatures w14:val="none"/>
        </w:rPr>
        <w:t>MOU w</w:t>
      </w:r>
      <w:r w:rsidR="00281481">
        <w:rPr>
          <w:rFonts w:ascii="Times New Roman" w:hAnsi="Times New Roman" w:cs="Times New Roman"/>
          <w:kern w:val="0"/>
          <w14:ligatures w14:val="none"/>
        </w:rPr>
        <w:t xml:space="preserve">as </w:t>
      </w:r>
      <w:r w:rsidR="00E154BD" w:rsidRPr="00DB3462">
        <w:rPr>
          <w:rFonts w:ascii="Times New Roman" w:hAnsi="Times New Roman" w:cs="Times New Roman"/>
          <w:kern w:val="0"/>
          <w14:ligatures w14:val="none"/>
        </w:rPr>
        <w:t>binding, it was not final</w:t>
      </w:r>
      <w:r w:rsidR="00281481">
        <w:rPr>
          <w:rFonts w:ascii="Times New Roman" w:hAnsi="Times New Roman" w:cs="Times New Roman"/>
          <w:kern w:val="0"/>
          <w14:ligatures w14:val="none"/>
        </w:rPr>
        <w:t xml:space="preserve"> in its effect</w:t>
      </w:r>
      <w:r w:rsidR="00E154BD" w:rsidRPr="00DB3462">
        <w:rPr>
          <w:rFonts w:ascii="Times New Roman" w:hAnsi="Times New Roman" w:cs="Times New Roman"/>
          <w:kern w:val="0"/>
          <w14:ligatures w14:val="none"/>
        </w:rPr>
        <w:t xml:space="preserve">. </w:t>
      </w:r>
    </w:p>
    <w:p w14:paraId="1BDB1A8E" w14:textId="75D963FC" w:rsidR="00417AC6" w:rsidRDefault="00E64611"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w:t>
      </w:r>
      <w:r w:rsidR="00281481">
        <w:rPr>
          <w:rFonts w:ascii="Times New Roman" w:hAnsi="Times New Roman" w:cs="Times New Roman"/>
          <w:kern w:val="0"/>
          <w14:ligatures w14:val="none"/>
        </w:rPr>
        <w:t xml:space="preserve"> </w:t>
      </w:r>
      <w:r>
        <w:rPr>
          <w:rFonts w:ascii="Times New Roman" w:hAnsi="Times New Roman" w:cs="Times New Roman"/>
          <w:kern w:val="0"/>
          <w14:ligatures w14:val="none"/>
        </w:rPr>
        <w:t xml:space="preserve">process leading to the engagement of the second respondent to validate the 2016 </w:t>
      </w:r>
      <w:r w:rsidR="00281481">
        <w:rPr>
          <w:rFonts w:ascii="Times New Roman" w:hAnsi="Times New Roman" w:cs="Times New Roman"/>
          <w:kern w:val="0"/>
          <w14:ligatures w14:val="none"/>
        </w:rPr>
        <w:t xml:space="preserve">EY </w:t>
      </w:r>
      <w:r>
        <w:rPr>
          <w:rFonts w:ascii="Times New Roman" w:hAnsi="Times New Roman" w:cs="Times New Roman"/>
          <w:kern w:val="0"/>
          <w14:ligatures w14:val="none"/>
        </w:rPr>
        <w:t xml:space="preserve">report is summarised in the applicants’ own papers. In their heads of </w:t>
      </w:r>
      <w:r w:rsidR="00281481">
        <w:rPr>
          <w:rFonts w:ascii="Times New Roman" w:hAnsi="Times New Roman" w:cs="Times New Roman"/>
          <w:kern w:val="0"/>
          <w14:ligatures w14:val="none"/>
        </w:rPr>
        <w:t>argument,</w:t>
      </w:r>
      <w:r>
        <w:rPr>
          <w:rFonts w:ascii="Times New Roman" w:hAnsi="Times New Roman" w:cs="Times New Roman"/>
          <w:kern w:val="0"/>
          <w14:ligatures w14:val="none"/>
        </w:rPr>
        <w:t xml:space="preserve"> the applicants claimed that the </w:t>
      </w:r>
      <w:r w:rsidR="00417AC6">
        <w:rPr>
          <w:rFonts w:ascii="Times New Roman" w:hAnsi="Times New Roman" w:cs="Times New Roman"/>
          <w:kern w:val="0"/>
          <w14:ligatures w14:val="none"/>
        </w:rPr>
        <w:t xml:space="preserve">DoP had always been commercially determined by the parties (millers and farmers) through the engagements of </w:t>
      </w:r>
      <w:r w:rsidR="00F05CB4">
        <w:rPr>
          <w:rFonts w:ascii="Times New Roman" w:hAnsi="Times New Roman" w:cs="Times New Roman"/>
          <w:kern w:val="0"/>
          <w14:ligatures w14:val="none"/>
        </w:rPr>
        <w:t xml:space="preserve">experts </w:t>
      </w:r>
      <w:r w:rsidR="00417AC6">
        <w:rPr>
          <w:rFonts w:ascii="Times New Roman" w:hAnsi="Times New Roman" w:cs="Times New Roman"/>
          <w:kern w:val="0"/>
          <w14:ligatures w14:val="none"/>
        </w:rPr>
        <w:t xml:space="preserve">such as </w:t>
      </w:r>
      <w:r w:rsidR="00432A11">
        <w:rPr>
          <w:rFonts w:ascii="Times New Roman" w:hAnsi="Times New Roman" w:cs="Times New Roman"/>
          <w:kern w:val="0"/>
          <w14:ligatures w14:val="none"/>
        </w:rPr>
        <w:t xml:space="preserve">chartered </w:t>
      </w:r>
      <w:r w:rsidR="00417AC6">
        <w:rPr>
          <w:rFonts w:ascii="Times New Roman" w:hAnsi="Times New Roman" w:cs="Times New Roman"/>
          <w:kern w:val="0"/>
          <w14:ligatures w14:val="none"/>
        </w:rPr>
        <w:t>accountants who conducted a detailed review and made recommendations</w:t>
      </w:r>
      <w:r w:rsidR="00281481">
        <w:rPr>
          <w:rFonts w:ascii="Times New Roman" w:hAnsi="Times New Roman" w:cs="Times New Roman"/>
          <w:kern w:val="0"/>
          <w14:ligatures w14:val="none"/>
        </w:rPr>
        <w:t xml:space="preserve"> to the parties</w:t>
      </w:r>
      <w:r w:rsidR="00417AC6">
        <w:rPr>
          <w:rFonts w:ascii="Times New Roman" w:hAnsi="Times New Roman" w:cs="Times New Roman"/>
          <w:kern w:val="0"/>
          <w14:ligatures w14:val="none"/>
        </w:rPr>
        <w:t xml:space="preserve">. The DoP review of 1999 was carried out by Price Waterhouse Coopers (PWC). </w:t>
      </w:r>
    </w:p>
    <w:p w14:paraId="4245A502" w14:textId="671D1EDC" w:rsidR="00851064" w:rsidRDefault="00417AC6"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The PWC report was reviewed by EY in 2016 following the intervention of the first respondent. Both </w:t>
      </w:r>
      <w:r w:rsidR="00281481">
        <w:rPr>
          <w:rFonts w:ascii="Times New Roman" w:hAnsi="Times New Roman" w:cs="Times New Roman"/>
          <w:kern w:val="0"/>
          <w14:ligatures w14:val="none"/>
        </w:rPr>
        <w:t xml:space="preserve">the applicants and the third to thirteenth respondents </w:t>
      </w:r>
      <w:r>
        <w:rPr>
          <w:rFonts w:ascii="Times New Roman" w:hAnsi="Times New Roman" w:cs="Times New Roman"/>
          <w:kern w:val="0"/>
          <w14:ligatures w14:val="none"/>
        </w:rPr>
        <w:t>were aggrieved by the</w:t>
      </w:r>
      <w:r w:rsidR="00281481">
        <w:rPr>
          <w:rFonts w:ascii="Times New Roman" w:hAnsi="Times New Roman" w:cs="Times New Roman"/>
          <w:kern w:val="0"/>
          <w14:ligatures w14:val="none"/>
        </w:rPr>
        <w:t xml:space="preserve"> outcome of the</w:t>
      </w:r>
      <w:r>
        <w:rPr>
          <w:rFonts w:ascii="Times New Roman" w:hAnsi="Times New Roman" w:cs="Times New Roman"/>
          <w:kern w:val="0"/>
          <w14:ligatures w14:val="none"/>
        </w:rPr>
        <w:t xml:space="preserve"> EY report. The </w:t>
      </w:r>
      <w:r w:rsidR="00281481">
        <w:rPr>
          <w:rFonts w:ascii="Times New Roman" w:hAnsi="Times New Roman" w:cs="Times New Roman"/>
          <w:kern w:val="0"/>
          <w14:ligatures w14:val="none"/>
        </w:rPr>
        <w:t xml:space="preserve">third to thirteenth respondents were of </w:t>
      </w:r>
      <w:r>
        <w:rPr>
          <w:rFonts w:ascii="Times New Roman" w:hAnsi="Times New Roman" w:cs="Times New Roman"/>
          <w:kern w:val="0"/>
          <w14:ligatures w14:val="none"/>
        </w:rPr>
        <w:t xml:space="preserve">the view that the EY report was a draft which required validation. The </w:t>
      </w:r>
      <w:r w:rsidR="00281481">
        <w:rPr>
          <w:rFonts w:ascii="Times New Roman" w:hAnsi="Times New Roman" w:cs="Times New Roman"/>
          <w:kern w:val="0"/>
          <w14:ligatures w14:val="none"/>
        </w:rPr>
        <w:t xml:space="preserve">applicants </w:t>
      </w:r>
      <w:r>
        <w:rPr>
          <w:rFonts w:ascii="Times New Roman" w:hAnsi="Times New Roman" w:cs="Times New Roman"/>
          <w:kern w:val="0"/>
          <w14:ligatures w14:val="none"/>
        </w:rPr>
        <w:t xml:space="preserve">on the other hand were of the view that the imperfections in the EY report could only be addressed through a </w:t>
      </w:r>
      <w:r w:rsidRPr="00863674">
        <w:rPr>
          <w:rFonts w:ascii="Times New Roman" w:hAnsi="Times New Roman" w:cs="Times New Roman"/>
          <w:b/>
          <w:bCs/>
          <w:kern w:val="0"/>
          <w:u w:val="single"/>
          <w14:ligatures w14:val="none"/>
        </w:rPr>
        <w:t>robust review</w:t>
      </w:r>
      <w:r>
        <w:rPr>
          <w:rFonts w:ascii="Times New Roman" w:hAnsi="Times New Roman" w:cs="Times New Roman"/>
          <w:kern w:val="0"/>
          <w14:ligatures w14:val="none"/>
        </w:rPr>
        <w:t xml:space="preserve"> in order to come up with a scientific GoP ratio. This they claimed, was the position that had been taken </w:t>
      </w:r>
      <w:r w:rsidR="00281481">
        <w:rPr>
          <w:rFonts w:ascii="Times New Roman" w:hAnsi="Times New Roman" w:cs="Times New Roman"/>
          <w:kern w:val="0"/>
          <w14:ligatures w14:val="none"/>
        </w:rPr>
        <w:t xml:space="preserve">by the first respondent </w:t>
      </w:r>
      <w:r>
        <w:rPr>
          <w:rFonts w:ascii="Times New Roman" w:hAnsi="Times New Roman" w:cs="Times New Roman"/>
          <w:kern w:val="0"/>
          <w14:ligatures w14:val="none"/>
        </w:rPr>
        <w:t>after</w:t>
      </w:r>
      <w:r w:rsidR="00851064">
        <w:rPr>
          <w:rFonts w:ascii="Times New Roman" w:hAnsi="Times New Roman" w:cs="Times New Roman"/>
          <w:kern w:val="0"/>
          <w14:ligatures w14:val="none"/>
        </w:rPr>
        <w:t xml:space="preserve"> listening to the </w:t>
      </w:r>
      <w:r>
        <w:rPr>
          <w:rFonts w:ascii="Times New Roman" w:hAnsi="Times New Roman" w:cs="Times New Roman"/>
          <w:kern w:val="0"/>
          <w14:ligatures w14:val="none"/>
        </w:rPr>
        <w:t>parties concerns with the EY report.</w:t>
      </w:r>
      <w:r w:rsidR="00851064">
        <w:rPr>
          <w:rFonts w:ascii="Times New Roman" w:hAnsi="Times New Roman" w:cs="Times New Roman"/>
          <w:kern w:val="0"/>
          <w14:ligatures w14:val="none"/>
        </w:rPr>
        <w:t xml:space="preserve"> </w:t>
      </w:r>
    </w:p>
    <w:p w14:paraId="6EFE9C26" w14:textId="4355B6DC" w:rsidR="00851064" w:rsidRDefault="00851064"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According to the applicants, the parties sought </w:t>
      </w:r>
      <w:r w:rsidRPr="00281481">
        <w:rPr>
          <w:rFonts w:ascii="Times New Roman" w:hAnsi="Times New Roman" w:cs="Times New Roman"/>
          <w:b/>
          <w:bCs/>
          <w:kern w:val="0"/>
          <w:u w:val="single"/>
          <w14:ligatures w14:val="none"/>
        </w:rPr>
        <w:t>mediation</w:t>
      </w:r>
      <w:r>
        <w:rPr>
          <w:rFonts w:ascii="Times New Roman" w:hAnsi="Times New Roman" w:cs="Times New Roman"/>
          <w:kern w:val="0"/>
          <w14:ligatures w14:val="none"/>
        </w:rPr>
        <w:t xml:space="preserve"> through the first respondent’s office to help them resolve them their industrial disagreements which included the DoP</w:t>
      </w:r>
      <w:r w:rsidR="00281481">
        <w:rPr>
          <w:rFonts w:ascii="Times New Roman" w:hAnsi="Times New Roman" w:cs="Times New Roman"/>
          <w:kern w:val="0"/>
          <w14:ligatures w14:val="none"/>
        </w:rPr>
        <w:t xml:space="preserve"> issue</w:t>
      </w:r>
      <w:r>
        <w:rPr>
          <w:rFonts w:ascii="Times New Roman" w:hAnsi="Times New Roman" w:cs="Times New Roman"/>
          <w:kern w:val="0"/>
          <w14:ligatures w14:val="none"/>
        </w:rPr>
        <w:t xml:space="preserve">. The first respondent’s intervention led to the establishment of the Technical Working Group (TWG) which comprised representatives of the applicants, the first respondent and the third to thirteenth respondents. The TWG approached EY to validate its report, but EY declined the assignment insisting that a final DoP report had been delivered to the first respondent and they considered their engagement terminated. </w:t>
      </w:r>
    </w:p>
    <w:p w14:paraId="4D8D6A0B" w14:textId="2DBE162E" w:rsidR="00C46B3A" w:rsidRDefault="00851064" w:rsidP="008759C7">
      <w:pPr>
        <w:pStyle w:val="ListParagraph"/>
        <w:numPr>
          <w:ilvl w:val="0"/>
          <w:numId w:val="12"/>
        </w:numPr>
        <w:tabs>
          <w:tab w:val="left" w:pos="426"/>
        </w:tabs>
        <w:spacing w:after="0" w:line="360" w:lineRule="auto"/>
        <w:ind w:left="0" w:firstLine="0"/>
        <w:jc w:val="both"/>
        <w:rPr>
          <w:rFonts w:ascii="Times New Roman" w:hAnsi="Times New Roman" w:cs="Times New Roman"/>
          <w:kern w:val="0"/>
          <w14:ligatures w14:val="none"/>
        </w:rPr>
      </w:pPr>
      <w:r>
        <w:rPr>
          <w:rFonts w:ascii="Times New Roman" w:hAnsi="Times New Roman" w:cs="Times New Roman"/>
          <w:kern w:val="0"/>
          <w14:ligatures w14:val="none"/>
        </w:rPr>
        <w:t xml:space="preserve"> What is however critical to note is that the arrangement for the </w:t>
      </w:r>
      <w:r w:rsidR="00C46B3A">
        <w:rPr>
          <w:rFonts w:ascii="Times New Roman" w:hAnsi="Times New Roman" w:cs="Times New Roman"/>
          <w:kern w:val="0"/>
          <w14:ligatures w14:val="none"/>
        </w:rPr>
        <w:t xml:space="preserve">EY </w:t>
      </w:r>
      <w:r>
        <w:rPr>
          <w:rFonts w:ascii="Times New Roman" w:hAnsi="Times New Roman" w:cs="Times New Roman"/>
          <w:kern w:val="0"/>
          <w14:ligatures w14:val="none"/>
        </w:rPr>
        <w:t xml:space="preserve">DoP validation process was formalised through an MOU signed by representatives of the applicants, first respondent and the third to thirteenth respondents. </w:t>
      </w:r>
      <w:r w:rsidR="00C46B3A">
        <w:rPr>
          <w:rFonts w:ascii="Times New Roman" w:hAnsi="Times New Roman" w:cs="Times New Roman"/>
          <w:kern w:val="0"/>
          <w14:ligatures w14:val="none"/>
        </w:rPr>
        <w:t xml:space="preserve">The second respondent was only engaged after EY declined to carry out the validation process. The engagement of the second respondent was therefore an extension of the same mandate that the parties sought to bestow on EY through the same MOU. I hold this view because from a reading of the </w:t>
      </w:r>
      <w:r w:rsidR="00281481">
        <w:rPr>
          <w:rFonts w:ascii="Times New Roman" w:hAnsi="Times New Roman" w:cs="Times New Roman"/>
          <w:kern w:val="0"/>
          <w14:ligatures w14:val="none"/>
        </w:rPr>
        <w:t>applicants’</w:t>
      </w:r>
      <w:r w:rsidR="00C46B3A">
        <w:rPr>
          <w:rFonts w:ascii="Times New Roman" w:hAnsi="Times New Roman" w:cs="Times New Roman"/>
          <w:kern w:val="0"/>
          <w14:ligatures w14:val="none"/>
        </w:rPr>
        <w:t xml:space="preserve"> </w:t>
      </w:r>
      <w:r w:rsidR="00281481">
        <w:rPr>
          <w:rFonts w:ascii="Times New Roman" w:hAnsi="Times New Roman" w:cs="Times New Roman"/>
          <w:kern w:val="0"/>
          <w14:ligatures w14:val="none"/>
        </w:rPr>
        <w:t xml:space="preserve">case </w:t>
      </w:r>
      <w:r w:rsidR="00C46B3A">
        <w:rPr>
          <w:rFonts w:ascii="Times New Roman" w:hAnsi="Times New Roman" w:cs="Times New Roman"/>
          <w:kern w:val="0"/>
          <w14:ligatures w14:val="none"/>
        </w:rPr>
        <w:t>as pleaded, their grievance is not</w:t>
      </w:r>
      <w:r w:rsidR="00281481">
        <w:rPr>
          <w:rFonts w:ascii="Times New Roman" w:hAnsi="Times New Roman" w:cs="Times New Roman"/>
          <w:kern w:val="0"/>
          <w14:ligatures w14:val="none"/>
        </w:rPr>
        <w:t xml:space="preserve"> so much</w:t>
      </w:r>
      <w:r w:rsidR="00C46B3A">
        <w:rPr>
          <w:rFonts w:ascii="Times New Roman" w:hAnsi="Times New Roman" w:cs="Times New Roman"/>
          <w:kern w:val="0"/>
          <w14:ligatures w14:val="none"/>
        </w:rPr>
        <w:t xml:space="preserve"> about the appointment of the second respondent. It was about the outcome of its validation process. </w:t>
      </w:r>
    </w:p>
    <w:p w14:paraId="0AB0A04D" w14:textId="7311F0BD" w:rsidR="00863674" w:rsidRPr="00863674" w:rsidRDefault="00C46B3A" w:rsidP="008759C7">
      <w:pPr>
        <w:pStyle w:val="ListParagraph"/>
        <w:numPr>
          <w:ilvl w:val="0"/>
          <w:numId w:val="12"/>
        </w:numPr>
        <w:tabs>
          <w:tab w:val="left" w:pos="426"/>
        </w:tabs>
        <w:spacing w:after="0" w:line="360" w:lineRule="auto"/>
        <w:ind w:left="0" w:firstLine="0"/>
        <w:jc w:val="both"/>
        <w:rPr>
          <w:rFonts w:ascii="Times New Roman" w:hAnsi="Times New Roman" w:cs="Times New Roman"/>
          <w:b/>
          <w:bCs/>
          <w:i/>
          <w:iCs/>
          <w:kern w:val="0"/>
          <w14:ligatures w14:val="none"/>
        </w:rPr>
      </w:pPr>
      <w:r>
        <w:rPr>
          <w:rFonts w:ascii="Times New Roman" w:hAnsi="Times New Roman" w:cs="Times New Roman"/>
          <w:kern w:val="0"/>
          <w14:ligatures w14:val="none"/>
        </w:rPr>
        <w:lastRenderedPageBreak/>
        <w:t xml:space="preserve"> Paragraph 3 bullet 4 of the MOU signed by the parties stated that </w:t>
      </w:r>
      <w:r w:rsidRPr="00C46B3A">
        <w:rPr>
          <w:rFonts w:ascii="Times New Roman" w:hAnsi="Times New Roman" w:cs="Times New Roman"/>
          <w:b/>
          <w:bCs/>
          <w:i/>
          <w:iCs/>
          <w:kern w:val="0"/>
          <w14:ligatures w14:val="none"/>
        </w:rPr>
        <w:t>“the</w:t>
      </w:r>
      <w:r>
        <w:rPr>
          <w:rFonts w:ascii="Times New Roman" w:hAnsi="Times New Roman" w:cs="Times New Roman"/>
          <w:b/>
          <w:bCs/>
          <w:i/>
          <w:iCs/>
          <w:kern w:val="0"/>
          <w14:ligatures w14:val="none"/>
        </w:rPr>
        <w:t xml:space="preserve"> findings of the 2016 DOP final report (DOP validation) will be final and binding on all parties.” </w:t>
      </w:r>
      <w:r w:rsidR="00863674">
        <w:rPr>
          <w:rFonts w:ascii="Times New Roman" w:hAnsi="Times New Roman" w:cs="Times New Roman"/>
          <w:kern w:val="0"/>
          <w14:ligatures w14:val="none"/>
        </w:rPr>
        <w:t xml:space="preserve">That the parties intended the outcome of the validation process to be an </w:t>
      </w:r>
      <w:r w:rsidR="00863674" w:rsidRPr="00863674">
        <w:rPr>
          <w:rFonts w:ascii="Times New Roman" w:hAnsi="Times New Roman" w:cs="Times New Roman"/>
          <w:kern w:val="0"/>
          <w14:ligatures w14:val="none"/>
        </w:rPr>
        <w:t xml:space="preserve">interim measure </w:t>
      </w:r>
      <w:r w:rsidR="00863674">
        <w:rPr>
          <w:rFonts w:ascii="Times New Roman" w:hAnsi="Times New Roman" w:cs="Times New Roman"/>
          <w:kern w:val="0"/>
          <w14:ligatures w14:val="none"/>
        </w:rPr>
        <w:t xml:space="preserve">pending a robust review of the DoP was recorded in the same MOU. Para 3 bullet 2 stated that </w:t>
      </w:r>
      <w:r w:rsidR="00863674">
        <w:rPr>
          <w:rFonts w:ascii="Times New Roman" w:hAnsi="Times New Roman" w:cs="Times New Roman"/>
          <w:b/>
          <w:bCs/>
          <w:i/>
          <w:iCs/>
          <w:kern w:val="0"/>
          <w14:ligatures w14:val="none"/>
        </w:rPr>
        <w:t>“</w:t>
      </w:r>
      <w:r w:rsidR="00863674" w:rsidRPr="00863674">
        <w:rPr>
          <w:rFonts w:ascii="Times New Roman" w:hAnsi="Times New Roman" w:cs="Times New Roman"/>
          <w:b/>
          <w:bCs/>
          <w:i/>
          <w:iCs/>
          <w:kern w:val="0"/>
          <w14:ligatures w14:val="none"/>
        </w:rPr>
        <w:t xml:space="preserve">the DoP once </w:t>
      </w:r>
      <w:r w:rsidR="00863674">
        <w:rPr>
          <w:rFonts w:ascii="Times New Roman" w:hAnsi="Times New Roman" w:cs="Times New Roman"/>
          <w:b/>
          <w:bCs/>
          <w:i/>
          <w:iCs/>
          <w:kern w:val="0"/>
          <w14:ligatures w14:val="none"/>
        </w:rPr>
        <w:t xml:space="preserve">finalised will be valid from 1 April 2022 until the DOP review is completed”. </w:t>
      </w:r>
      <w:r w:rsidR="00863674">
        <w:rPr>
          <w:rFonts w:ascii="Times New Roman" w:hAnsi="Times New Roman" w:cs="Times New Roman"/>
          <w:kern w:val="0"/>
          <w14:ligatures w14:val="none"/>
        </w:rPr>
        <w:t>The letter of 8 October 2024 from the first respondent’s office, which founds the applicants’ complaint reads in part as follows:</w:t>
      </w:r>
    </w:p>
    <w:p w14:paraId="372F51CB" w14:textId="2FA6361E" w:rsidR="00863674" w:rsidRPr="00FC266D" w:rsidRDefault="00863674" w:rsidP="00863674">
      <w:pPr>
        <w:pStyle w:val="ListParagraph"/>
        <w:tabs>
          <w:tab w:val="left" w:pos="426"/>
        </w:tabs>
        <w:spacing w:after="0" w:line="360" w:lineRule="auto"/>
        <w:ind w:left="0"/>
        <w:jc w:val="both"/>
        <w:rPr>
          <w:rFonts w:ascii="Times New Roman" w:hAnsi="Times New Roman" w:cs="Times New Roman"/>
          <w:b/>
          <w:bCs/>
          <w:kern w:val="0"/>
          <w:sz w:val="22"/>
          <w:szCs w:val="22"/>
          <w:u w:val="single"/>
          <w14:ligatures w14:val="none"/>
        </w:rPr>
      </w:pPr>
      <w:r>
        <w:rPr>
          <w:rFonts w:ascii="Times New Roman" w:hAnsi="Times New Roman" w:cs="Times New Roman"/>
          <w:b/>
          <w:bCs/>
          <w:i/>
          <w:iCs/>
          <w:kern w:val="0"/>
          <w14:ligatures w14:val="none"/>
        </w:rPr>
        <w:tab/>
      </w:r>
      <w:r>
        <w:rPr>
          <w:rFonts w:ascii="Times New Roman" w:hAnsi="Times New Roman" w:cs="Times New Roman"/>
          <w:b/>
          <w:bCs/>
          <w:i/>
          <w:iCs/>
          <w:kern w:val="0"/>
          <w14:ligatures w14:val="none"/>
        </w:rPr>
        <w:tab/>
      </w:r>
      <w:r w:rsidRPr="00FC266D">
        <w:rPr>
          <w:rFonts w:ascii="Times New Roman" w:hAnsi="Times New Roman" w:cs="Times New Roman"/>
          <w:b/>
          <w:bCs/>
          <w:i/>
          <w:iCs/>
          <w:kern w:val="0"/>
          <w:sz w:val="22"/>
          <w:szCs w:val="22"/>
          <w14:ligatures w14:val="none"/>
        </w:rPr>
        <w:t>“</w:t>
      </w:r>
      <w:r w:rsidR="00FC266D" w:rsidRPr="00FC266D">
        <w:rPr>
          <w:rFonts w:ascii="Times New Roman" w:hAnsi="Times New Roman" w:cs="Times New Roman"/>
          <w:b/>
          <w:bCs/>
          <w:kern w:val="0"/>
          <w:sz w:val="22"/>
          <w:szCs w:val="22"/>
          <w:u w:val="single"/>
          <w14:ligatures w14:val="none"/>
        </w:rPr>
        <w:t>IMPLEMENTATION OF THE 2016 DOP VALIDATION RESULTS</w:t>
      </w:r>
    </w:p>
    <w:p w14:paraId="69DF451E" w14:textId="594B06BB" w:rsidR="00FC266D" w:rsidRDefault="00FC266D" w:rsidP="00FC266D">
      <w:pPr>
        <w:pStyle w:val="ListParagraph"/>
        <w:tabs>
          <w:tab w:val="left" w:pos="426"/>
        </w:tabs>
        <w:spacing w:after="0" w:line="240" w:lineRule="auto"/>
        <w:jc w:val="both"/>
        <w:rPr>
          <w:rFonts w:ascii="Times New Roman" w:hAnsi="Times New Roman" w:cs="Times New Roman"/>
          <w:kern w:val="0"/>
          <w:sz w:val="22"/>
          <w:szCs w:val="22"/>
          <w14:ligatures w14:val="none"/>
        </w:rPr>
      </w:pPr>
      <w:r w:rsidRPr="00FC266D">
        <w:rPr>
          <w:rFonts w:ascii="Times New Roman" w:hAnsi="Times New Roman" w:cs="Times New Roman"/>
          <w:kern w:val="0"/>
          <w:sz w:val="22"/>
          <w:szCs w:val="22"/>
          <w14:ligatures w14:val="none"/>
        </w:rPr>
        <w:t xml:space="preserve">Following our meeting on 07 October 2024, where the Minister, Hon. N.M. Ndhlovu announced </w:t>
      </w:r>
      <w:r w:rsidRPr="00FC266D">
        <w:rPr>
          <w:rFonts w:ascii="Times New Roman" w:hAnsi="Times New Roman" w:cs="Times New Roman"/>
          <w:kern w:val="0"/>
          <w:sz w:val="22"/>
          <w:szCs w:val="22"/>
          <w:u w:val="single"/>
          <w14:ligatures w14:val="none"/>
        </w:rPr>
        <w:t>the results of the 2016 DOP validation exercise</w:t>
      </w:r>
      <w:r w:rsidRPr="00FC266D">
        <w:rPr>
          <w:rFonts w:ascii="Times New Roman" w:hAnsi="Times New Roman" w:cs="Times New Roman"/>
          <w:kern w:val="0"/>
          <w:sz w:val="22"/>
          <w:szCs w:val="22"/>
          <w14:ligatures w14:val="none"/>
        </w:rPr>
        <w:t>, the Ministry advises that the DOP ratio to be implemented is 80.5% and 19.5% to farmers and millers respectively</w:t>
      </w:r>
      <w:r>
        <w:rPr>
          <w:rFonts w:ascii="Times New Roman" w:hAnsi="Times New Roman" w:cs="Times New Roman"/>
          <w:kern w:val="0"/>
          <w:sz w:val="22"/>
          <w:szCs w:val="22"/>
          <w14:ligatures w14:val="none"/>
        </w:rPr>
        <w:t>.</w:t>
      </w:r>
    </w:p>
    <w:p w14:paraId="038CC79E" w14:textId="77777777" w:rsidR="00FC266D" w:rsidRDefault="00FC266D" w:rsidP="00FC266D">
      <w:pPr>
        <w:pStyle w:val="ListParagraph"/>
        <w:tabs>
          <w:tab w:val="left" w:pos="426"/>
        </w:tabs>
        <w:spacing w:after="0" w:line="240" w:lineRule="auto"/>
        <w:jc w:val="both"/>
        <w:rPr>
          <w:rFonts w:ascii="Times New Roman" w:hAnsi="Times New Roman" w:cs="Times New Roman"/>
          <w:kern w:val="0"/>
          <w:sz w:val="22"/>
          <w:szCs w:val="22"/>
          <w14:ligatures w14:val="none"/>
        </w:rPr>
      </w:pPr>
    </w:p>
    <w:p w14:paraId="1063132D" w14:textId="45F435C8" w:rsidR="00FC266D" w:rsidRDefault="00FC266D" w:rsidP="00FC266D">
      <w:pPr>
        <w:pStyle w:val="ListParagraph"/>
        <w:tabs>
          <w:tab w:val="left" w:pos="426"/>
        </w:tabs>
        <w:spacing w:after="0" w:line="240" w:lineRule="auto"/>
        <w:jc w:val="both"/>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 xml:space="preserve">Please take note of </w:t>
      </w:r>
      <w:r w:rsidRPr="00FC266D">
        <w:rPr>
          <w:rFonts w:ascii="Times New Roman" w:hAnsi="Times New Roman" w:cs="Times New Roman"/>
          <w:kern w:val="0"/>
          <w:sz w:val="22"/>
          <w:szCs w:val="22"/>
          <w:u w:val="single"/>
          <w14:ligatures w14:val="none"/>
        </w:rPr>
        <w:t>the 6</w:t>
      </w:r>
      <w:r w:rsidRPr="00FC266D">
        <w:rPr>
          <w:rFonts w:ascii="Times New Roman" w:hAnsi="Times New Roman" w:cs="Times New Roman"/>
          <w:kern w:val="0"/>
          <w:sz w:val="22"/>
          <w:szCs w:val="22"/>
          <w:u w:val="single"/>
          <w:vertAlign w:val="superscript"/>
          <w14:ligatures w14:val="none"/>
        </w:rPr>
        <w:t>th</w:t>
      </w:r>
      <w:r w:rsidRPr="00FC266D">
        <w:rPr>
          <w:rFonts w:ascii="Times New Roman" w:hAnsi="Times New Roman" w:cs="Times New Roman"/>
          <w:kern w:val="0"/>
          <w:sz w:val="22"/>
          <w:szCs w:val="22"/>
          <w:u w:val="single"/>
          <w14:ligatures w14:val="none"/>
        </w:rPr>
        <w:t xml:space="preserve"> Technical Working Group meeting resolutions</w:t>
      </w:r>
      <w:r>
        <w:rPr>
          <w:rFonts w:ascii="Times New Roman" w:hAnsi="Times New Roman" w:cs="Times New Roman"/>
          <w:kern w:val="0"/>
          <w:sz w:val="22"/>
          <w:szCs w:val="22"/>
          <w14:ligatures w14:val="none"/>
        </w:rPr>
        <w:t xml:space="preserve"> that the effective date for the implementation of this ratio is 01 April 2022.</w:t>
      </w:r>
    </w:p>
    <w:p w14:paraId="17E6BEBE" w14:textId="6FDBF8FE" w:rsidR="00FC266D" w:rsidRDefault="00FC266D" w:rsidP="00FC266D">
      <w:pPr>
        <w:pStyle w:val="ListParagraph"/>
        <w:tabs>
          <w:tab w:val="left" w:pos="426"/>
        </w:tabs>
        <w:spacing w:after="0" w:line="240" w:lineRule="auto"/>
        <w:jc w:val="both"/>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 xml:space="preserve">Please implement this determination as we prepare for </w:t>
      </w:r>
      <w:r w:rsidRPr="00FC266D">
        <w:rPr>
          <w:rFonts w:ascii="Times New Roman" w:hAnsi="Times New Roman" w:cs="Times New Roman"/>
          <w:kern w:val="0"/>
          <w:sz w:val="22"/>
          <w:szCs w:val="22"/>
          <w:u w:val="single"/>
          <w14:ligatures w14:val="none"/>
        </w:rPr>
        <w:t>a comprehensive and th</w:t>
      </w:r>
      <w:r>
        <w:rPr>
          <w:rFonts w:ascii="Times New Roman" w:hAnsi="Times New Roman" w:cs="Times New Roman"/>
          <w:kern w:val="0"/>
          <w:sz w:val="22"/>
          <w:szCs w:val="22"/>
          <w:u w:val="single"/>
          <w14:ligatures w14:val="none"/>
        </w:rPr>
        <w:t>o</w:t>
      </w:r>
      <w:r w:rsidRPr="00FC266D">
        <w:rPr>
          <w:rFonts w:ascii="Times New Roman" w:hAnsi="Times New Roman" w:cs="Times New Roman"/>
          <w:kern w:val="0"/>
          <w:sz w:val="22"/>
          <w:szCs w:val="22"/>
          <w:u w:val="single"/>
          <w14:ligatures w14:val="none"/>
        </w:rPr>
        <w:t>rough DOP Review exercise</w:t>
      </w:r>
      <w:r>
        <w:rPr>
          <w:rFonts w:ascii="Times New Roman" w:hAnsi="Times New Roman" w:cs="Times New Roman"/>
          <w:kern w:val="0"/>
          <w:sz w:val="22"/>
          <w:szCs w:val="22"/>
          <w14:ligatures w14:val="none"/>
        </w:rPr>
        <w:t>…..” (Underling for emphasis)</w:t>
      </w:r>
    </w:p>
    <w:p w14:paraId="6A94609B" w14:textId="77777777" w:rsidR="00FC266D" w:rsidRPr="00FC266D" w:rsidRDefault="00FC266D" w:rsidP="00FC266D">
      <w:pPr>
        <w:pStyle w:val="ListParagraph"/>
        <w:tabs>
          <w:tab w:val="left" w:pos="426"/>
        </w:tabs>
        <w:spacing w:after="0" w:line="240" w:lineRule="auto"/>
        <w:jc w:val="both"/>
        <w:rPr>
          <w:rFonts w:ascii="Times New Roman" w:hAnsi="Times New Roman" w:cs="Times New Roman"/>
          <w:kern w:val="0"/>
          <w:sz w:val="22"/>
          <w:szCs w:val="22"/>
          <w14:ligatures w14:val="none"/>
        </w:rPr>
      </w:pPr>
    </w:p>
    <w:p w14:paraId="753E22C3" w14:textId="75994AB7" w:rsidR="00BA3580" w:rsidRPr="00BA3580" w:rsidRDefault="00FC266D" w:rsidP="008759C7">
      <w:pPr>
        <w:pStyle w:val="ListParagraph"/>
        <w:numPr>
          <w:ilvl w:val="0"/>
          <w:numId w:val="12"/>
        </w:numPr>
        <w:tabs>
          <w:tab w:val="left" w:pos="426"/>
        </w:tabs>
        <w:spacing w:after="0" w:line="360" w:lineRule="auto"/>
        <w:ind w:left="0" w:firstLine="0"/>
        <w:jc w:val="both"/>
        <w:rPr>
          <w:rFonts w:ascii="Times New Roman" w:hAnsi="Times New Roman" w:cs="Times New Roman"/>
          <w:b/>
          <w:bCs/>
          <w:i/>
          <w:iCs/>
          <w:kern w:val="0"/>
          <w14:ligatures w14:val="none"/>
        </w:rPr>
      </w:pPr>
      <w:r>
        <w:rPr>
          <w:rFonts w:ascii="Times New Roman" w:hAnsi="Times New Roman" w:cs="Times New Roman"/>
          <w:kern w:val="0"/>
          <w14:ligatures w14:val="none"/>
        </w:rPr>
        <w:t xml:space="preserve"> The letter of 8 October 2024, when read together with the MOU is significant for the following reasons. Firstly, </w:t>
      </w:r>
      <w:r w:rsidR="00281481">
        <w:rPr>
          <w:rFonts w:ascii="Times New Roman" w:hAnsi="Times New Roman" w:cs="Times New Roman"/>
          <w:kern w:val="0"/>
          <w14:ligatures w14:val="none"/>
        </w:rPr>
        <w:t xml:space="preserve">the </w:t>
      </w:r>
      <w:r>
        <w:rPr>
          <w:rFonts w:ascii="Times New Roman" w:hAnsi="Times New Roman" w:cs="Times New Roman"/>
          <w:kern w:val="0"/>
          <w14:ligatures w14:val="none"/>
        </w:rPr>
        <w:t xml:space="preserve">DoP validation process was </w:t>
      </w:r>
      <w:r w:rsidR="004F4D83">
        <w:rPr>
          <w:rFonts w:ascii="Times New Roman" w:hAnsi="Times New Roman" w:cs="Times New Roman"/>
          <w:kern w:val="0"/>
          <w14:ligatures w14:val="none"/>
        </w:rPr>
        <w:t>a collective position</w:t>
      </w:r>
      <w:r>
        <w:rPr>
          <w:rFonts w:ascii="Times New Roman" w:hAnsi="Times New Roman" w:cs="Times New Roman"/>
          <w:kern w:val="0"/>
          <w14:ligatures w14:val="none"/>
        </w:rPr>
        <w:t xml:space="preserve"> agreed upon by the parties working under the auspices </w:t>
      </w:r>
      <w:r w:rsidR="00281481">
        <w:rPr>
          <w:rFonts w:ascii="Times New Roman" w:hAnsi="Times New Roman" w:cs="Times New Roman"/>
          <w:kern w:val="0"/>
          <w14:ligatures w14:val="none"/>
        </w:rPr>
        <w:t xml:space="preserve">of </w:t>
      </w:r>
      <w:r>
        <w:rPr>
          <w:rFonts w:ascii="Times New Roman" w:hAnsi="Times New Roman" w:cs="Times New Roman"/>
          <w:kern w:val="0"/>
          <w14:ligatures w14:val="none"/>
        </w:rPr>
        <w:t>the TWG.</w:t>
      </w:r>
      <w:r w:rsidR="004F4D83">
        <w:rPr>
          <w:rFonts w:ascii="Times New Roman" w:hAnsi="Times New Roman" w:cs="Times New Roman"/>
          <w:kern w:val="0"/>
          <w14:ligatures w14:val="none"/>
        </w:rPr>
        <w:t xml:space="preserve"> It was borne out of a contractual arrangement involving three</w:t>
      </w:r>
      <w:r w:rsidR="00281481">
        <w:rPr>
          <w:rFonts w:ascii="Times New Roman" w:hAnsi="Times New Roman" w:cs="Times New Roman"/>
          <w:kern w:val="0"/>
          <w14:ligatures w14:val="none"/>
        </w:rPr>
        <w:t xml:space="preserve"> stakeholders</w:t>
      </w:r>
      <w:r w:rsidR="004F4D83">
        <w:rPr>
          <w:rFonts w:ascii="Times New Roman" w:hAnsi="Times New Roman" w:cs="Times New Roman"/>
          <w:kern w:val="0"/>
          <w14:ligatures w14:val="none"/>
        </w:rPr>
        <w:t>.</w:t>
      </w:r>
      <w:r>
        <w:rPr>
          <w:rFonts w:ascii="Times New Roman" w:hAnsi="Times New Roman" w:cs="Times New Roman"/>
          <w:kern w:val="0"/>
          <w14:ligatures w14:val="none"/>
        </w:rPr>
        <w:t xml:space="preserve"> </w:t>
      </w:r>
      <w:r w:rsidR="004F4D83">
        <w:rPr>
          <w:rFonts w:ascii="Times New Roman" w:hAnsi="Times New Roman" w:cs="Times New Roman"/>
          <w:kern w:val="0"/>
          <w14:ligatures w14:val="none"/>
        </w:rPr>
        <w:t xml:space="preserve">Secondly, it </w:t>
      </w:r>
      <w:r w:rsidR="00281481">
        <w:rPr>
          <w:rFonts w:ascii="Times New Roman" w:hAnsi="Times New Roman" w:cs="Times New Roman"/>
          <w:kern w:val="0"/>
          <w14:ligatures w14:val="none"/>
        </w:rPr>
        <w:t>confirmed</w:t>
      </w:r>
      <w:r w:rsidR="004F4D83">
        <w:rPr>
          <w:rFonts w:ascii="Times New Roman" w:hAnsi="Times New Roman" w:cs="Times New Roman"/>
          <w:kern w:val="0"/>
          <w14:ligatures w14:val="none"/>
        </w:rPr>
        <w:t xml:space="preserve"> that the first respondent was only playing a facilitatory role. In their own words, the </w:t>
      </w:r>
      <w:r w:rsidR="00863674">
        <w:rPr>
          <w:rFonts w:ascii="Times New Roman" w:hAnsi="Times New Roman" w:cs="Times New Roman"/>
          <w:kern w:val="0"/>
          <w14:ligatures w14:val="none"/>
        </w:rPr>
        <w:t>applicants claim</w:t>
      </w:r>
      <w:r w:rsidR="004F4D83">
        <w:rPr>
          <w:rFonts w:ascii="Times New Roman" w:hAnsi="Times New Roman" w:cs="Times New Roman"/>
          <w:kern w:val="0"/>
          <w14:ligatures w14:val="none"/>
        </w:rPr>
        <w:t xml:space="preserve">ed that they sought </w:t>
      </w:r>
      <w:r w:rsidR="004F4D83" w:rsidRPr="00463E72">
        <w:rPr>
          <w:rFonts w:ascii="Times New Roman" w:hAnsi="Times New Roman" w:cs="Times New Roman"/>
          <w:b/>
          <w:bCs/>
          <w:kern w:val="0"/>
          <w14:ligatures w14:val="none"/>
        </w:rPr>
        <w:t>“mediation”</w:t>
      </w:r>
      <w:r w:rsidR="004F4D83">
        <w:rPr>
          <w:rFonts w:ascii="Times New Roman" w:hAnsi="Times New Roman" w:cs="Times New Roman"/>
          <w:kern w:val="0"/>
          <w14:ligatures w14:val="none"/>
        </w:rPr>
        <w:t xml:space="preserve"> through the office</w:t>
      </w:r>
      <w:r w:rsidR="00CA5163">
        <w:rPr>
          <w:rFonts w:ascii="Times New Roman" w:hAnsi="Times New Roman" w:cs="Times New Roman"/>
          <w:kern w:val="0"/>
          <w14:ligatures w14:val="none"/>
        </w:rPr>
        <w:t xml:space="preserve"> of</w:t>
      </w:r>
      <w:r w:rsidR="004F4D83">
        <w:rPr>
          <w:rFonts w:ascii="Times New Roman" w:hAnsi="Times New Roman" w:cs="Times New Roman"/>
          <w:kern w:val="0"/>
          <w14:ligatures w14:val="none"/>
        </w:rPr>
        <w:t xml:space="preserve"> the first respondent to help resolve their industrial disagreements.</w:t>
      </w:r>
      <w:r w:rsidR="004F4D83">
        <w:rPr>
          <w:rStyle w:val="FootnoteReference"/>
          <w:rFonts w:ascii="Times New Roman" w:hAnsi="Times New Roman" w:cs="Times New Roman"/>
          <w:kern w:val="0"/>
          <w14:ligatures w14:val="none"/>
        </w:rPr>
        <w:footnoteReference w:id="13"/>
      </w:r>
      <w:r w:rsidR="004F4D83">
        <w:rPr>
          <w:rFonts w:ascii="Times New Roman" w:hAnsi="Times New Roman" w:cs="Times New Roman"/>
          <w:kern w:val="0"/>
          <w14:ligatures w14:val="none"/>
        </w:rPr>
        <w:t xml:space="preserve"> Thirdly, having been approached to mediate and play a facilitatory role, the first respondent was not exercising any statutory function. </w:t>
      </w:r>
      <w:r w:rsidR="00BA3580">
        <w:rPr>
          <w:rFonts w:ascii="Times New Roman" w:hAnsi="Times New Roman" w:cs="Times New Roman"/>
          <w:kern w:val="0"/>
          <w14:ligatures w14:val="none"/>
        </w:rPr>
        <w:t>Indeed,</w:t>
      </w:r>
      <w:r w:rsidR="004F4D83">
        <w:rPr>
          <w:rFonts w:ascii="Times New Roman" w:hAnsi="Times New Roman" w:cs="Times New Roman"/>
          <w:kern w:val="0"/>
          <w14:ligatures w14:val="none"/>
        </w:rPr>
        <w:t xml:space="preserve"> in para 10 of the</w:t>
      </w:r>
      <w:r w:rsidR="00463E72">
        <w:rPr>
          <w:rFonts w:ascii="Times New Roman" w:hAnsi="Times New Roman" w:cs="Times New Roman"/>
          <w:kern w:val="0"/>
          <w14:ligatures w14:val="none"/>
        </w:rPr>
        <w:t>ir</w:t>
      </w:r>
      <w:r w:rsidR="004F4D83">
        <w:rPr>
          <w:rFonts w:ascii="Times New Roman" w:hAnsi="Times New Roman" w:cs="Times New Roman"/>
          <w:kern w:val="0"/>
          <w14:ligatures w14:val="none"/>
        </w:rPr>
        <w:t xml:space="preserve"> founding affidavit, the applicant</w:t>
      </w:r>
      <w:r w:rsidR="00BA3580">
        <w:rPr>
          <w:rFonts w:ascii="Times New Roman" w:hAnsi="Times New Roman" w:cs="Times New Roman"/>
          <w:kern w:val="0"/>
          <w14:ligatures w14:val="none"/>
        </w:rPr>
        <w:t xml:space="preserve">s also make the point </w:t>
      </w:r>
      <w:r w:rsidR="00463E72">
        <w:rPr>
          <w:rFonts w:ascii="Times New Roman" w:hAnsi="Times New Roman" w:cs="Times New Roman"/>
          <w:kern w:val="0"/>
          <w14:ligatures w14:val="none"/>
        </w:rPr>
        <w:t xml:space="preserve">that </w:t>
      </w:r>
      <w:r w:rsidR="00BA3580">
        <w:rPr>
          <w:rFonts w:ascii="Times New Roman" w:hAnsi="Times New Roman" w:cs="Times New Roman"/>
          <w:kern w:val="0"/>
          <w14:ligatures w14:val="none"/>
        </w:rPr>
        <w:t xml:space="preserve">traditionally, the DoP process never involved the first respondent. </w:t>
      </w:r>
      <w:r w:rsidR="00463E72">
        <w:rPr>
          <w:rFonts w:ascii="Times New Roman" w:hAnsi="Times New Roman" w:cs="Times New Roman"/>
          <w:kern w:val="0"/>
          <w14:ligatures w14:val="none"/>
        </w:rPr>
        <w:t>T</w:t>
      </w:r>
      <w:r w:rsidR="00BA3580">
        <w:rPr>
          <w:rFonts w:ascii="Times New Roman" w:hAnsi="Times New Roman" w:cs="Times New Roman"/>
          <w:kern w:val="0"/>
          <w14:ligatures w14:val="none"/>
        </w:rPr>
        <w:t>hey state:</w:t>
      </w:r>
    </w:p>
    <w:p w14:paraId="069E9744" w14:textId="46D8A147" w:rsidR="00BA3580" w:rsidRDefault="00BA3580" w:rsidP="00BA3580">
      <w:pPr>
        <w:pStyle w:val="ListParagraph"/>
        <w:tabs>
          <w:tab w:val="left" w:pos="426"/>
        </w:tabs>
        <w:spacing w:after="0" w:line="240" w:lineRule="auto"/>
        <w:jc w:val="both"/>
        <w:rPr>
          <w:rFonts w:ascii="Times New Roman" w:hAnsi="Times New Roman" w:cs="Times New Roman"/>
          <w:kern w:val="0"/>
          <w:sz w:val="22"/>
          <w:szCs w:val="22"/>
          <w14:ligatures w14:val="none"/>
        </w:rPr>
      </w:pPr>
      <w:r w:rsidRPr="00BA3580">
        <w:rPr>
          <w:rFonts w:ascii="Times New Roman" w:hAnsi="Times New Roman" w:cs="Times New Roman"/>
          <w:kern w:val="0"/>
          <w:sz w:val="22"/>
          <w:szCs w:val="22"/>
          <w14:ligatures w14:val="none"/>
        </w:rPr>
        <w:t>“Such DoP has in the past been determined through a mutually agreed process involving engagement of an independent internationally recognised consultant with relevant expertise, usually an accounting firm…”</w:t>
      </w:r>
    </w:p>
    <w:p w14:paraId="7B214582" w14:textId="77777777" w:rsidR="00BA3580" w:rsidRPr="00BA3580" w:rsidRDefault="00BA3580" w:rsidP="00BA3580">
      <w:pPr>
        <w:pStyle w:val="ListParagraph"/>
        <w:tabs>
          <w:tab w:val="left" w:pos="426"/>
        </w:tabs>
        <w:spacing w:after="0" w:line="240" w:lineRule="auto"/>
        <w:jc w:val="both"/>
        <w:rPr>
          <w:rFonts w:ascii="Times New Roman" w:hAnsi="Times New Roman" w:cs="Times New Roman"/>
          <w:b/>
          <w:bCs/>
          <w:i/>
          <w:iCs/>
          <w:kern w:val="0"/>
          <w:sz w:val="22"/>
          <w:szCs w:val="22"/>
          <w14:ligatures w14:val="none"/>
        </w:rPr>
      </w:pPr>
    </w:p>
    <w:p w14:paraId="2688D3C6" w14:textId="63BF1303" w:rsidR="00BA3580" w:rsidRPr="00BA3580" w:rsidRDefault="00BA3580" w:rsidP="008759C7">
      <w:pPr>
        <w:pStyle w:val="ListParagraph"/>
        <w:numPr>
          <w:ilvl w:val="0"/>
          <w:numId w:val="12"/>
        </w:numPr>
        <w:tabs>
          <w:tab w:val="left" w:pos="426"/>
        </w:tabs>
        <w:spacing w:after="0" w:line="360" w:lineRule="auto"/>
        <w:ind w:left="0" w:firstLine="0"/>
        <w:jc w:val="both"/>
        <w:rPr>
          <w:rFonts w:ascii="Times New Roman" w:hAnsi="Times New Roman" w:cs="Times New Roman"/>
          <w:b/>
          <w:bCs/>
          <w:i/>
          <w:iCs/>
          <w:kern w:val="0"/>
          <w14:ligatures w14:val="none"/>
        </w:rPr>
      </w:pPr>
      <w:r>
        <w:rPr>
          <w:rFonts w:ascii="Times New Roman" w:hAnsi="Times New Roman" w:cs="Times New Roman"/>
          <w:kern w:val="0"/>
          <w14:ligatures w14:val="none"/>
        </w:rPr>
        <w:t xml:space="preserve">Being the product of a mutually agreed process, regulated through the medium of an MOU, it followed </w:t>
      </w:r>
      <w:r w:rsidR="00463E72">
        <w:rPr>
          <w:rFonts w:ascii="Times New Roman" w:hAnsi="Times New Roman" w:cs="Times New Roman"/>
          <w:kern w:val="0"/>
          <w14:ligatures w14:val="none"/>
        </w:rPr>
        <w:t xml:space="preserve">that </w:t>
      </w:r>
      <w:r>
        <w:rPr>
          <w:rFonts w:ascii="Times New Roman" w:hAnsi="Times New Roman" w:cs="Times New Roman"/>
          <w:kern w:val="0"/>
          <w14:ligatures w14:val="none"/>
        </w:rPr>
        <w:t xml:space="preserve">the outcome of the DoP validation process must be taken to </w:t>
      </w:r>
      <w:r w:rsidR="00463E72">
        <w:rPr>
          <w:rFonts w:ascii="Times New Roman" w:hAnsi="Times New Roman" w:cs="Times New Roman"/>
          <w:kern w:val="0"/>
          <w14:ligatures w14:val="none"/>
        </w:rPr>
        <w:t>reflect</w:t>
      </w:r>
      <w:r>
        <w:rPr>
          <w:rFonts w:ascii="Times New Roman" w:hAnsi="Times New Roman" w:cs="Times New Roman"/>
          <w:kern w:val="0"/>
          <w14:ligatures w14:val="none"/>
        </w:rPr>
        <w:t xml:space="preserve"> the joint will of the parties. It was not the </w:t>
      </w:r>
      <w:r w:rsidR="00463E72">
        <w:rPr>
          <w:rFonts w:ascii="Times New Roman" w:hAnsi="Times New Roman" w:cs="Times New Roman"/>
          <w:kern w:val="0"/>
          <w14:ligatures w14:val="none"/>
        </w:rPr>
        <w:t xml:space="preserve">first </w:t>
      </w:r>
      <w:r>
        <w:rPr>
          <w:rFonts w:ascii="Times New Roman" w:hAnsi="Times New Roman" w:cs="Times New Roman"/>
          <w:kern w:val="0"/>
          <w14:ligatures w14:val="none"/>
        </w:rPr>
        <w:t xml:space="preserve">respondent that set the DoP. As a facilitator, the first respondent merely communicated the outcome of a process that the parties had subjected </w:t>
      </w:r>
      <w:r>
        <w:rPr>
          <w:rFonts w:ascii="Times New Roman" w:hAnsi="Times New Roman" w:cs="Times New Roman"/>
          <w:kern w:val="0"/>
          <w14:ligatures w14:val="none"/>
        </w:rPr>
        <w:lastRenderedPageBreak/>
        <w:t xml:space="preserve">themselves to through the TWG. It begs the question whether the applicants could seek a review of the outcome of a process that </w:t>
      </w:r>
      <w:r w:rsidR="00463E72">
        <w:rPr>
          <w:rFonts w:ascii="Times New Roman" w:hAnsi="Times New Roman" w:cs="Times New Roman"/>
          <w:kern w:val="0"/>
          <w14:ligatures w14:val="none"/>
        </w:rPr>
        <w:t xml:space="preserve">they voluntarily participated in </w:t>
      </w:r>
      <w:r>
        <w:rPr>
          <w:rFonts w:ascii="Times New Roman" w:hAnsi="Times New Roman" w:cs="Times New Roman"/>
          <w:kern w:val="0"/>
          <w14:ligatures w14:val="none"/>
        </w:rPr>
        <w:t>through the TWG.</w:t>
      </w:r>
    </w:p>
    <w:p w14:paraId="1DD0EBC3" w14:textId="1E91B570" w:rsidR="003F7672" w:rsidRPr="003F7672" w:rsidRDefault="00BA3580" w:rsidP="008759C7">
      <w:pPr>
        <w:pStyle w:val="ListParagraph"/>
        <w:numPr>
          <w:ilvl w:val="0"/>
          <w:numId w:val="12"/>
        </w:numPr>
        <w:tabs>
          <w:tab w:val="left" w:pos="426"/>
        </w:tabs>
        <w:spacing w:after="0" w:line="360" w:lineRule="auto"/>
        <w:ind w:left="0" w:firstLine="0"/>
        <w:jc w:val="both"/>
        <w:rPr>
          <w:rFonts w:ascii="Times New Roman" w:hAnsi="Times New Roman" w:cs="Times New Roman"/>
          <w:b/>
          <w:bCs/>
          <w:i/>
          <w:iCs/>
          <w:kern w:val="0"/>
          <w14:ligatures w14:val="none"/>
        </w:rPr>
      </w:pPr>
      <w:r>
        <w:rPr>
          <w:rFonts w:ascii="Times New Roman" w:hAnsi="Times New Roman" w:cs="Times New Roman"/>
          <w:kern w:val="0"/>
          <w14:ligatures w14:val="none"/>
        </w:rPr>
        <w:t xml:space="preserve"> Further, the question whether the applicants could seek a review of the outcome of the validation process by the second respondent must be considered in the context of the role played by the first respondent as an administrative authority as alleged by the applicants. </w:t>
      </w:r>
      <w:r w:rsidR="003F7672">
        <w:rPr>
          <w:rFonts w:ascii="Times New Roman" w:hAnsi="Times New Roman" w:cs="Times New Roman"/>
          <w:kern w:val="0"/>
          <w14:ligatures w14:val="none"/>
        </w:rPr>
        <w:t>Was the first respondent exercising any administrative function given its facilitatory role as confirmed by the parties</w:t>
      </w:r>
      <w:r w:rsidR="00BC454E">
        <w:rPr>
          <w:rFonts w:ascii="Times New Roman" w:hAnsi="Times New Roman" w:cs="Times New Roman"/>
          <w:kern w:val="0"/>
          <w14:ligatures w14:val="none"/>
        </w:rPr>
        <w:t>, as well as being a party to the TWG</w:t>
      </w:r>
      <w:r w:rsidR="003F7672">
        <w:rPr>
          <w:rFonts w:ascii="Times New Roman" w:hAnsi="Times New Roman" w:cs="Times New Roman"/>
          <w:kern w:val="0"/>
          <w14:ligatures w14:val="none"/>
        </w:rPr>
        <w:t xml:space="preserve">? For the court to </w:t>
      </w:r>
      <w:r w:rsidR="00BC454E">
        <w:rPr>
          <w:rFonts w:ascii="Times New Roman" w:hAnsi="Times New Roman" w:cs="Times New Roman"/>
          <w:kern w:val="0"/>
          <w14:ligatures w14:val="none"/>
        </w:rPr>
        <w:t xml:space="preserve">conclude </w:t>
      </w:r>
      <w:r w:rsidR="003F7672">
        <w:rPr>
          <w:rFonts w:ascii="Times New Roman" w:hAnsi="Times New Roman" w:cs="Times New Roman"/>
          <w:kern w:val="0"/>
          <w14:ligatures w14:val="none"/>
        </w:rPr>
        <w:t xml:space="preserve">that the second respondent was exercising an administrative function on behalf of the first respondent as contemplated </w:t>
      </w:r>
      <w:r w:rsidR="00BC454E">
        <w:rPr>
          <w:rFonts w:ascii="Times New Roman" w:hAnsi="Times New Roman" w:cs="Times New Roman"/>
          <w:kern w:val="0"/>
          <w14:ligatures w14:val="none"/>
        </w:rPr>
        <w:t xml:space="preserve">by </w:t>
      </w:r>
      <w:r w:rsidR="003F7672">
        <w:rPr>
          <w:rFonts w:ascii="Times New Roman" w:hAnsi="Times New Roman" w:cs="Times New Roman"/>
          <w:kern w:val="0"/>
          <w14:ligatures w14:val="none"/>
        </w:rPr>
        <w:t xml:space="preserve">the </w:t>
      </w:r>
      <w:r w:rsidR="003F7672" w:rsidRPr="003F7672">
        <w:rPr>
          <w:rFonts w:ascii="Times New Roman" w:hAnsi="Times New Roman" w:cs="Times New Roman"/>
          <w:i/>
          <w:iCs/>
          <w:kern w:val="0"/>
          <w14:ligatures w14:val="none"/>
        </w:rPr>
        <w:t>Vela</w:t>
      </w:r>
      <w:r w:rsidR="003F7672">
        <w:rPr>
          <w:rFonts w:ascii="Times New Roman" w:hAnsi="Times New Roman" w:cs="Times New Roman"/>
          <w:kern w:val="0"/>
          <w14:ligatures w14:val="none"/>
        </w:rPr>
        <w:t xml:space="preserve"> judgment, a finding must be made first that the first respondent delegated an administrative function to the second respondent. </w:t>
      </w:r>
    </w:p>
    <w:p w14:paraId="4CDC2C6A" w14:textId="16902411" w:rsidR="003F7672" w:rsidRPr="00894E16" w:rsidRDefault="003F7672" w:rsidP="008759C7">
      <w:pPr>
        <w:pStyle w:val="ListParagraph"/>
        <w:numPr>
          <w:ilvl w:val="0"/>
          <w:numId w:val="12"/>
        </w:numPr>
        <w:tabs>
          <w:tab w:val="left" w:pos="426"/>
        </w:tabs>
        <w:spacing w:after="0" w:line="360" w:lineRule="auto"/>
        <w:ind w:left="0" w:firstLine="0"/>
        <w:jc w:val="both"/>
        <w:rPr>
          <w:rFonts w:ascii="Times New Roman" w:hAnsi="Times New Roman" w:cs="Times New Roman"/>
          <w:b/>
          <w:bCs/>
          <w:i/>
          <w:iCs/>
          <w:kern w:val="0"/>
          <w14:ligatures w14:val="none"/>
        </w:rPr>
      </w:pPr>
      <w:r>
        <w:rPr>
          <w:rFonts w:ascii="Times New Roman" w:hAnsi="Times New Roman" w:cs="Times New Roman"/>
          <w:kern w:val="0"/>
          <w14:ligatures w14:val="none"/>
        </w:rPr>
        <w:t xml:space="preserve"> Having </w:t>
      </w:r>
      <w:r w:rsidR="00BC454E">
        <w:rPr>
          <w:rFonts w:ascii="Times New Roman" w:hAnsi="Times New Roman" w:cs="Times New Roman"/>
          <w:kern w:val="0"/>
          <w14:ligatures w14:val="none"/>
        </w:rPr>
        <w:t xml:space="preserve">established </w:t>
      </w:r>
      <w:r>
        <w:rPr>
          <w:rFonts w:ascii="Times New Roman" w:hAnsi="Times New Roman" w:cs="Times New Roman"/>
          <w:kern w:val="0"/>
          <w14:ligatures w14:val="none"/>
        </w:rPr>
        <w:t>that the first respondent only played a facilitatory role, and that the DoP validation process was the outcome of a contractually agreed position under the TWG, the court determines that the first respondent was not exercising a statutory or administrative function that was susceptible to review.</w:t>
      </w:r>
      <w:r w:rsidR="00894E16">
        <w:rPr>
          <w:rFonts w:ascii="Times New Roman" w:hAnsi="Times New Roman" w:cs="Times New Roman"/>
          <w:kern w:val="0"/>
          <w14:ligatures w14:val="none"/>
        </w:rPr>
        <w:t xml:space="preserve"> The first respondent was also an active </w:t>
      </w:r>
      <w:r w:rsidR="002E5DF6">
        <w:rPr>
          <w:rFonts w:ascii="Times New Roman" w:hAnsi="Times New Roman" w:cs="Times New Roman"/>
          <w:kern w:val="0"/>
          <w14:ligatures w14:val="none"/>
        </w:rPr>
        <w:t xml:space="preserve">participant </w:t>
      </w:r>
      <w:r w:rsidR="00894E16">
        <w:rPr>
          <w:rFonts w:ascii="Times New Roman" w:hAnsi="Times New Roman" w:cs="Times New Roman"/>
          <w:kern w:val="0"/>
          <w14:ligatures w14:val="none"/>
        </w:rPr>
        <w:t>in the TWG, the driving force behind the validation process of the EY report.</w:t>
      </w:r>
      <w:r>
        <w:rPr>
          <w:rFonts w:ascii="Times New Roman" w:hAnsi="Times New Roman" w:cs="Times New Roman"/>
          <w:kern w:val="0"/>
          <w14:ligatures w14:val="none"/>
        </w:rPr>
        <w:t xml:space="preserve"> Once that finding is made, it also follows that the second respondent could not have exercised an administrative function liable to judicial review if the first respondent was </w:t>
      </w:r>
      <w:r w:rsidR="00894E16">
        <w:rPr>
          <w:rFonts w:ascii="Times New Roman" w:hAnsi="Times New Roman" w:cs="Times New Roman"/>
          <w:kern w:val="0"/>
          <w14:ligatures w14:val="none"/>
        </w:rPr>
        <w:t xml:space="preserve">not </w:t>
      </w:r>
      <w:r>
        <w:rPr>
          <w:rFonts w:ascii="Times New Roman" w:hAnsi="Times New Roman" w:cs="Times New Roman"/>
          <w:kern w:val="0"/>
          <w14:ligatures w14:val="none"/>
        </w:rPr>
        <w:t xml:space="preserve">exercising </w:t>
      </w:r>
      <w:r w:rsidR="00894E16">
        <w:rPr>
          <w:rFonts w:ascii="Times New Roman" w:hAnsi="Times New Roman" w:cs="Times New Roman"/>
          <w:kern w:val="0"/>
          <w14:ligatures w14:val="none"/>
        </w:rPr>
        <w:t>an administrative function in the DoP validation process</w:t>
      </w:r>
      <w:r>
        <w:rPr>
          <w:rFonts w:ascii="Times New Roman" w:hAnsi="Times New Roman" w:cs="Times New Roman"/>
          <w:kern w:val="0"/>
          <w14:ligatures w14:val="none"/>
        </w:rPr>
        <w:t xml:space="preserve">. </w:t>
      </w:r>
    </w:p>
    <w:p w14:paraId="164D7837" w14:textId="1E6FA096" w:rsidR="00894E16" w:rsidRPr="00894E16" w:rsidRDefault="00894E16" w:rsidP="008759C7">
      <w:pPr>
        <w:pStyle w:val="ListParagraph"/>
        <w:numPr>
          <w:ilvl w:val="0"/>
          <w:numId w:val="12"/>
        </w:numPr>
        <w:tabs>
          <w:tab w:val="left" w:pos="426"/>
        </w:tabs>
        <w:spacing w:after="0" w:line="360" w:lineRule="auto"/>
        <w:ind w:left="0" w:firstLine="0"/>
        <w:jc w:val="both"/>
        <w:rPr>
          <w:rFonts w:ascii="Times New Roman" w:hAnsi="Times New Roman" w:cs="Times New Roman"/>
          <w:b/>
          <w:bCs/>
          <w:i/>
          <w:iCs/>
          <w:kern w:val="0"/>
          <w14:ligatures w14:val="none"/>
        </w:rPr>
      </w:pPr>
      <w:r>
        <w:rPr>
          <w:rFonts w:ascii="Times New Roman" w:hAnsi="Times New Roman" w:cs="Times New Roman"/>
          <w:kern w:val="0"/>
          <w14:ligatures w14:val="none"/>
        </w:rPr>
        <w:t xml:space="preserve"> The first respondent did not formulate the DoP ratio. It only communicated the outcome as a participant in the TWG. I say so because in its report, the second respondent reached the following conclusion:</w:t>
      </w:r>
    </w:p>
    <w:p w14:paraId="2371D0E5" w14:textId="2AB03B78" w:rsidR="00894E16" w:rsidRDefault="00894E16" w:rsidP="0084671B">
      <w:pPr>
        <w:pStyle w:val="ListParagraph"/>
        <w:tabs>
          <w:tab w:val="left" w:pos="426"/>
        </w:tabs>
        <w:spacing w:after="0" w:line="240" w:lineRule="auto"/>
        <w:ind w:left="426"/>
        <w:jc w:val="both"/>
        <w:rPr>
          <w:rFonts w:ascii="Times New Roman" w:hAnsi="Times New Roman" w:cs="Times New Roman"/>
          <w:kern w:val="0"/>
          <w:sz w:val="22"/>
          <w:szCs w:val="22"/>
          <w14:ligatures w14:val="none"/>
        </w:rPr>
      </w:pPr>
      <w:r w:rsidRPr="0084671B">
        <w:rPr>
          <w:rFonts w:ascii="Times New Roman" w:hAnsi="Times New Roman" w:cs="Times New Roman"/>
          <w:kern w:val="0"/>
          <w:sz w:val="22"/>
          <w:szCs w:val="22"/>
          <w14:ligatures w14:val="none"/>
        </w:rPr>
        <w:t>“Having made reasonable adjustments</w:t>
      </w:r>
      <w:r w:rsidR="00205A38" w:rsidRPr="0084671B">
        <w:rPr>
          <w:rFonts w:ascii="Times New Roman" w:hAnsi="Times New Roman" w:cs="Times New Roman"/>
          <w:kern w:val="0"/>
          <w:sz w:val="22"/>
          <w:szCs w:val="22"/>
          <w14:ligatures w14:val="none"/>
        </w:rPr>
        <w:t xml:space="preserve"> to inputs of the D.O.P formula, in our opinion the D.O.P ratio was supposed to be 80.5%:19.5% in favour of the grower</w:t>
      </w:r>
      <w:r w:rsidR="0084671B">
        <w:rPr>
          <w:rFonts w:ascii="Times New Roman" w:hAnsi="Times New Roman" w:cs="Times New Roman"/>
          <w:kern w:val="0"/>
          <w:sz w:val="22"/>
          <w:szCs w:val="22"/>
          <w14:ligatures w14:val="none"/>
        </w:rPr>
        <w:t>……”</w:t>
      </w:r>
      <w:r w:rsidR="00AC69C0">
        <w:rPr>
          <w:rStyle w:val="FootnoteReference"/>
          <w:rFonts w:ascii="Times New Roman" w:hAnsi="Times New Roman" w:cs="Times New Roman"/>
          <w:kern w:val="0"/>
          <w:sz w:val="22"/>
          <w:szCs w:val="22"/>
          <w14:ligatures w14:val="none"/>
        </w:rPr>
        <w:footnoteReference w:id="14"/>
      </w:r>
    </w:p>
    <w:p w14:paraId="6A723A43" w14:textId="77777777" w:rsidR="00AC69C0" w:rsidRDefault="00AC69C0" w:rsidP="00AC69C0">
      <w:pPr>
        <w:tabs>
          <w:tab w:val="left" w:pos="426"/>
        </w:tabs>
        <w:spacing w:after="0" w:line="240" w:lineRule="auto"/>
        <w:jc w:val="both"/>
        <w:rPr>
          <w:rFonts w:ascii="Times New Roman" w:hAnsi="Times New Roman" w:cs="Times New Roman"/>
          <w:kern w:val="0"/>
          <w:sz w:val="22"/>
          <w:szCs w:val="22"/>
          <w14:ligatures w14:val="none"/>
        </w:rPr>
      </w:pPr>
    </w:p>
    <w:p w14:paraId="62F964FD" w14:textId="7E710D5B" w:rsidR="00DF1936" w:rsidRDefault="003F7672" w:rsidP="008759C7">
      <w:pPr>
        <w:pStyle w:val="ListParagraph"/>
        <w:numPr>
          <w:ilvl w:val="0"/>
          <w:numId w:val="12"/>
        </w:numPr>
        <w:tabs>
          <w:tab w:val="left" w:pos="426"/>
        </w:tabs>
        <w:spacing w:after="0" w:line="360" w:lineRule="auto"/>
        <w:ind w:left="0" w:hanging="142"/>
        <w:jc w:val="both"/>
        <w:rPr>
          <w:rFonts w:ascii="Times New Roman" w:hAnsi="Times New Roman" w:cs="Times New Roman"/>
          <w:b/>
          <w:bCs/>
          <w:i/>
          <w:iCs/>
          <w:kern w:val="0"/>
          <w14:ligatures w14:val="none"/>
        </w:rPr>
      </w:pPr>
      <w:r>
        <w:rPr>
          <w:rFonts w:ascii="Times New Roman" w:hAnsi="Times New Roman" w:cs="Times New Roman"/>
          <w:kern w:val="0"/>
          <w14:ligatures w14:val="none"/>
        </w:rPr>
        <w:t xml:space="preserve"> The court finds merit in the preliminary </w:t>
      </w:r>
      <w:r w:rsidR="00AC69C0">
        <w:rPr>
          <w:rFonts w:ascii="Times New Roman" w:hAnsi="Times New Roman" w:cs="Times New Roman"/>
          <w:kern w:val="0"/>
          <w14:ligatures w14:val="none"/>
        </w:rPr>
        <w:t xml:space="preserve">objection </w:t>
      </w:r>
      <w:r>
        <w:rPr>
          <w:rFonts w:ascii="Times New Roman" w:hAnsi="Times New Roman" w:cs="Times New Roman"/>
          <w:kern w:val="0"/>
          <w14:ligatures w14:val="none"/>
        </w:rPr>
        <w:t xml:space="preserve">that </w:t>
      </w:r>
      <w:r w:rsidR="003B458E">
        <w:rPr>
          <w:rFonts w:ascii="Times New Roman" w:hAnsi="Times New Roman" w:cs="Times New Roman"/>
          <w:kern w:val="0"/>
          <w14:ligatures w14:val="none"/>
        </w:rPr>
        <w:t>the applicants could not approach the court for the review of the DoP validation process, it being the product of a contractual arrangement operationalised through the TWG. Th</w:t>
      </w:r>
      <w:r w:rsidR="00AC69C0">
        <w:rPr>
          <w:rFonts w:ascii="Times New Roman" w:hAnsi="Times New Roman" w:cs="Times New Roman"/>
          <w:kern w:val="0"/>
          <w14:ligatures w14:val="none"/>
        </w:rPr>
        <w:t xml:space="preserve">ere is also merit in the </w:t>
      </w:r>
      <w:r w:rsidR="003B458E">
        <w:rPr>
          <w:rFonts w:ascii="Times New Roman" w:hAnsi="Times New Roman" w:cs="Times New Roman"/>
          <w:kern w:val="0"/>
          <w14:ligatures w14:val="none"/>
        </w:rPr>
        <w:t xml:space="preserve">submission that second respondent’s report </w:t>
      </w:r>
      <w:r w:rsidR="00DF1936">
        <w:rPr>
          <w:rFonts w:ascii="Times New Roman" w:hAnsi="Times New Roman" w:cs="Times New Roman"/>
          <w:kern w:val="0"/>
          <w14:ligatures w14:val="none"/>
        </w:rPr>
        <w:t xml:space="preserve">was not reviewable, </w:t>
      </w:r>
      <w:r w:rsidR="003B458E">
        <w:rPr>
          <w:rFonts w:ascii="Times New Roman" w:hAnsi="Times New Roman" w:cs="Times New Roman"/>
          <w:kern w:val="0"/>
          <w14:ligatures w14:val="none"/>
        </w:rPr>
        <w:t xml:space="preserve">it being merely an opinion in respect of which the first and second respondents </w:t>
      </w:r>
      <w:r w:rsidR="00DF1936">
        <w:rPr>
          <w:rFonts w:ascii="Times New Roman" w:hAnsi="Times New Roman" w:cs="Times New Roman"/>
          <w:kern w:val="0"/>
          <w14:ligatures w14:val="none"/>
        </w:rPr>
        <w:t xml:space="preserve">were not demonstrated to have exercised an </w:t>
      </w:r>
      <w:r w:rsidR="003B458E">
        <w:rPr>
          <w:rFonts w:ascii="Times New Roman" w:hAnsi="Times New Roman" w:cs="Times New Roman"/>
          <w:kern w:val="0"/>
          <w14:ligatures w14:val="none"/>
        </w:rPr>
        <w:t xml:space="preserve">administrative function that was liable to review. </w:t>
      </w:r>
      <w:r w:rsidR="00DF1936">
        <w:rPr>
          <w:rFonts w:ascii="Times New Roman" w:hAnsi="Times New Roman" w:cs="Times New Roman"/>
          <w:kern w:val="0"/>
          <w14:ligatures w14:val="none"/>
        </w:rPr>
        <w:t xml:space="preserve">The court’s view is that an administrative action could not be attributed to the first respondent when it merely communicated the outcome of a process borne out of a tripartite arrangement that included the applicants and the first respondent. </w:t>
      </w:r>
    </w:p>
    <w:p w14:paraId="5FE6C39A" w14:textId="1D464E5D" w:rsidR="001063CE" w:rsidRPr="00DF1936" w:rsidRDefault="001063CE" w:rsidP="008759C7">
      <w:pPr>
        <w:pStyle w:val="ListParagraph"/>
        <w:numPr>
          <w:ilvl w:val="0"/>
          <w:numId w:val="12"/>
        </w:numPr>
        <w:tabs>
          <w:tab w:val="left" w:pos="426"/>
        </w:tabs>
        <w:spacing w:after="0" w:line="360" w:lineRule="auto"/>
        <w:ind w:left="0" w:hanging="142"/>
        <w:jc w:val="both"/>
        <w:rPr>
          <w:rFonts w:ascii="Times New Roman" w:hAnsi="Times New Roman" w:cs="Times New Roman"/>
          <w:b/>
          <w:bCs/>
          <w:i/>
          <w:iCs/>
          <w:kern w:val="0"/>
          <w14:ligatures w14:val="none"/>
        </w:rPr>
      </w:pPr>
      <w:r w:rsidRPr="00DF1936">
        <w:rPr>
          <w:rFonts w:ascii="Times New Roman" w:hAnsi="Times New Roman" w:cs="Times New Roman"/>
          <w:kern w:val="0"/>
          <w14:ligatures w14:val="none"/>
        </w:rPr>
        <w:lastRenderedPageBreak/>
        <w:t xml:space="preserve">Having reached the above conclusion on the preliminary points, it is needless for the court to traverse the merits of the matter. </w:t>
      </w:r>
      <w:r w:rsidR="004F7408" w:rsidRPr="00DF1936">
        <w:rPr>
          <w:rFonts w:ascii="Times New Roman" w:hAnsi="Times New Roman" w:cs="Times New Roman"/>
          <w:kern w:val="0"/>
          <w14:ligatures w14:val="none"/>
        </w:rPr>
        <w:t>The application was improperly before the court</w:t>
      </w:r>
      <w:r w:rsidR="00DF1936">
        <w:rPr>
          <w:rFonts w:ascii="Times New Roman" w:hAnsi="Times New Roman" w:cs="Times New Roman"/>
          <w:kern w:val="0"/>
          <w14:ligatures w14:val="none"/>
        </w:rPr>
        <w:t xml:space="preserve"> as an application for review, since there was no administrative conduct liable to review. The application for review was irregular and therefore improperly before the court. The claim based on a </w:t>
      </w:r>
      <w:r w:rsidR="00DF1936" w:rsidRPr="00DF1936">
        <w:rPr>
          <w:rFonts w:ascii="Times New Roman" w:hAnsi="Times New Roman" w:cs="Times New Roman"/>
          <w:i/>
          <w:iCs/>
          <w:kern w:val="0"/>
          <w14:ligatures w14:val="none"/>
        </w:rPr>
        <w:t>declaratur</w:t>
      </w:r>
      <w:r w:rsidR="00DF1936">
        <w:rPr>
          <w:rFonts w:ascii="Times New Roman" w:hAnsi="Times New Roman" w:cs="Times New Roman"/>
          <w:kern w:val="0"/>
          <w14:ligatures w14:val="none"/>
        </w:rPr>
        <w:t xml:space="preserve">, </w:t>
      </w:r>
      <w:r w:rsidR="00E4684D">
        <w:rPr>
          <w:rFonts w:ascii="Times New Roman" w:hAnsi="Times New Roman" w:cs="Times New Roman"/>
          <w:kern w:val="0"/>
          <w14:ligatures w14:val="none"/>
        </w:rPr>
        <w:t xml:space="preserve">assuming </w:t>
      </w:r>
      <w:r w:rsidR="00DF1936">
        <w:rPr>
          <w:rFonts w:ascii="Times New Roman" w:hAnsi="Times New Roman" w:cs="Times New Roman"/>
          <w:kern w:val="0"/>
          <w14:ligatures w14:val="none"/>
        </w:rPr>
        <w:t xml:space="preserve">the intention was to </w:t>
      </w:r>
      <w:r w:rsidR="00E4684D">
        <w:rPr>
          <w:rFonts w:ascii="Times New Roman" w:hAnsi="Times New Roman" w:cs="Times New Roman"/>
          <w:kern w:val="0"/>
          <w14:ligatures w14:val="none"/>
        </w:rPr>
        <w:t xml:space="preserve">also </w:t>
      </w:r>
      <w:r w:rsidR="00DF1936">
        <w:rPr>
          <w:rFonts w:ascii="Times New Roman" w:hAnsi="Times New Roman" w:cs="Times New Roman"/>
          <w:kern w:val="0"/>
          <w14:ligatures w14:val="none"/>
        </w:rPr>
        <w:t xml:space="preserve">motivate a case for a </w:t>
      </w:r>
      <w:r w:rsidR="00DF1936" w:rsidRPr="00DF1936">
        <w:rPr>
          <w:rFonts w:ascii="Times New Roman" w:hAnsi="Times New Roman" w:cs="Times New Roman"/>
          <w:i/>
          <w:iCs/>
          <w:kern w:val="0"/>
          <w14:ligatures w14:val="none"/>
        </w:rPr>
        <w:t>declaratur</w:t>
      </w:r>
      <w:r w:rsidR="00E4684D">
        <w:rPr>
          <w:rFonts w:ascii="Times New Roman" w:hAnsi="Times New Roman" w:cs="Times New Roman"/>
          <w:i/>
          <w:iCs/>
          <w:kern w:val="0"/>
          <w14:ligatures w14:val="none"/>
        </w:rPr>
        <w:t xml:space="preserve"> </w:t>
      </w:r>
      <w:r w:rsidR="00E4684D" w:rsidRPr="00E4684D">
        <w:rPr>
          <w:rFonts w:ascii="Times New Roman" w:hAnsi="Times New Roman" w:cs="Times New Roman"/>
          <w:kern w:val="0"/>
          <w14:ligatures w14:val="none"/>
        </w:rPr>
        <w:t>in the alternative</w:t>
      </w:r>
      <w:r w:rsidR="00DF1936" w:rsidRPr="00E4684D">
        <w:rPr>
          <w:rFonts w:ascii="Times New Roman" w:hAnsi="Times New Roman" w:cs="Times New Roman"/>
          <w:kern w:val="0"/>
          <w14:ligatures w14:val="none"/>
        </w:rPr>
        <w:t>,</w:t>
      </w:r>
      <w:r w:rsidR="00DF1936">
        <w:rPr>
          <w:rFonts w:ascii="Times New Roman" w:hAnsi="Times New Roman" w:cs="Times New Roman"/>
          <w:i/>
          <w:iCs/>
          <w:kern w:val="0"/>
          <w14:ligatures w14:val="none"/>
        </w:rPr>
        <w:t xml:space="preserve"> </w:t>
      </w:r>
      <w:r w:rsidR="00DF1936">
        <w:rPr>
          <w:rFonts w:ascii="Times New Roman" w:hAnsi="Times New Roman" w:cs="Times New Roman"/>
          <w:kern w:val="0"/>
          <w14:ligatures w14:val="none"/>
        </w:rPr>
        <w:t xml:space="preserve">was never pleaded in the applicant’s papers. </w:t>
      </w:r>
      <w:r w:rsidR="004F7408" w:rsidRPr="00DF1936">
        <w:rPr>
          <w:rFonts w:ascii="Times New Roman" w:hAnsi="Times New Roman" w:cs="Times New Roman"/>
          <w:kern w:val="0"/>
          <w14:ligatures w14:val="none"/>
        </w:rPr>
        <w:t xml:space="preserve"> </w:t>
      </w:r>
    </w:p>
    <w:p w14:paraId="3FAFE2D7" w14:textId="5C1EABDE" w:rsidR="00E64611" w:rsidRPr="003B458E" w:rsidRDefault="003B458E" w:rsidP="003B458E">
      <w:pPr>
        <w:pStyle w:val="ListParagraph"/>
        <w:tabs>
          <w:tab w:val="left" w:pos="426"/>
        </w:tabs>
        <w:spacing w:after="0" w:line="360" w:lineRule="auto"/>
        <w:ind w:left="0"/>
        <w:jc w:val="both"/>
        <w:rPr>
          <w:rFonts w:ascii="Times New Roman" w:hAnsi="Times New Roman" w:cs="Times New Roman"/>
          <w:b/>
          <w:bCs/>
          <w:i/>
          <w:iCs/>
          <w:kern w:val="0"/>
          <w:u w:val="single"/>
          <w14:ligatures w14:val="none"/>
        </w:rPr>
      </w:pPr>
      <w:r w:rsidRPr="003B458E">
        <w:rPr>
          <w:rFonts w:ascii="Times New Roman" w:hAnsi="Times New Roman" w:cs="Times New Roman"/>
          <w:b/>
          <w:bCs/>
          <w:kern w:val="0"/>
          <w:u w:val="single"/>
          <w14:ligatures w14:val="none"/>
        </w:rPr>
        <w:t xml:space="preserve">Costs of suit </w:t>
      </w:r>
      <w:r w:rsidR="004F4D83" w:rsidRPr="003B458E">
        <w:rPr>
          <w:rFonts w:ascii="Times New Roman" w:hAnsi="Times New Roman" w:cs="Times New Roman"/>
          <w:b/>
          <w:bCs/>
          <w:kern w:val="0"/>
          <w:u w:val="single"/>
          <w14:ligatures w14:val="none"/>
        </w:rPr>
        <w:t xml:space="preserve"> </w:t>
      </w:r>
    </w:p>
    <w:p w14:paraId="4A71AE79" w14:textId="1DE37396" w:rsidR="001063CE" w:rsidRPr="001063CE" w:rsidRDefault="001063CE" w:rsidP="008759C7">
      <w:pPr>
        <w:pStyle w:val="ListParagraph"/>
        <w:numPr>
          <w:ilvl w:val="0"/>
          <w:numId w:val="12"/>
        </w:numPr>
        <w:tabs>
          <w:tab w:val="left" w:pos="426"/>
          <w:tab w:val="left" w:pos="567"/>
        </w:tabs>
        <w:spacing w:after="0" w:line="360" w:lineRule="auto"/>
        <w:ind w:left="0" w:hanging="142"/>
        <w:jc w:val="both"/>
        <w:rPr>
          <w:rFonts w:ascii="Times New Roman" w:hAnsi="Times New Roman" w:cs="Times New Roman"/>
          <w:bCs/>
          <w:kern w:val="0"/>
          <w14:ligatures w14:val="none"/>
        </w:rPr>
      </w:pPr>
      <w:r w:rsidRPr="001063CE">
        <w:rPr>
          <w:rFonts w:ascii="Times New Roman" w:hAnsi="Times New Roman" w:cs="Times New Roman"/>
          <w:bCs/>
        </w:rPr>
        <w:t>The general rule is that costs follow the event. The first and second respondents sought the dismissal of the application with costs on the ordinary scale, while the third to thirteenth respondents sought the dismissal of the application with costs on the higher scale of attorney and client. The claim for costs on the legal practitioner and client scale was not further motivated in oral submissions. The matter not only raised important legal questions, but the parties</w:t>
      </w:r>
      <w:r w:rsidR="00E4684D">
        <w:rPr>
          <w:rFonts w:ascii="Times New Roman" w:hAnsi="Times New Roman" w:cs="Times New Roman"/>
          <w:bCs/>
        </w:rPr>
        <w:t>’</w:t>
      </w:r>
      <w:r w:rsidRPr="001063CE">
        <w:rPr>
          <w:rFonts w:ascii="Times New Roman" w:hAnsi="Times New Roman" w:cs="Times New Roman"/>
          <w:bCs/>
        </w:rPr>
        <w:t xml:space="preserve"> </w:t>
      </w:r>
      <w:r w:rsidR="00E4684D">
        <w:rPr>
          <w:rFonts w:ascii="Times New Roman" w:hAnsi="Times New Roman" w:cs="Times New Roman"/>
          <w:bCs/>
        </w:rPr>
        <w:t>relationship is</w:t>
      </w:r>
      <w:r w:rsidRPr="001063CE">
        <w:rPr>
          <w:rFonts w:ascii="Times New Roman" w:hAnsi="Times New Roman" w:cs="Times New Roman"/>
          <w:bCs/>
        </w:rPr>
        <w:t xml:space="preserve"> symbiotic </w:t>
      </w:r>
      <w:r w:rsidR="00E4684D">
        <w:rPr>
          <w:rFonts w:ascii="Times New Roman" w:hAnsi="Times New Roman" w:cs="Times New Roman"/>
          <w:bCs/>
        </w:rPr>
        <w:t xml:space="preserve">and existential, and it </w:t>
      </w:r>
      <w:r w:rsidRPr="001063CE">
        <w:rPr>
          <w:rFonts w:ascii="Times New Roman" w:hAnsi="Times New Roman" w:cs="Times New Roman"/>
          <w:bCs/>
        </w:rPr>
        <w:t xml:space="preserve">must be preserved and nurtured for the benefit of the sugar industry in the country. </w:t>
      </w:r>
      <w:r>
        <w:rPr>
          <w:rFonts w:ascii="Times New Roman" w:hAnsi="Times New Roman" w:cs="Times New Roman"/>
          <w:bCs/>
        </w:rPr>
        <w:t>The</w:t>
      </w:r>
      <w:r w:rsidR="00CA5163">
        <w:rPr>
          <w:rFonts w:ascii="Times New Roman" w:hAnsi="Times New Roman" w:cs="Times New Roman"/>
          <w:bCs/>
        </w:rPr>
        <w:t xml:space="preserve"> </w:t>
      </w:r>
      <w:r w:rsidR="00354ED7">
        <w:rPr>
          <w:rFonts w:ascii="Times New Roman" w:hAnsi="Times New Roman" w:cs="Times New Roman"/>
          <w:bCs/>
        </w:rPr>
        <w:t>parties’</w:t>
      </w:r>
      <w:r w:rsidR="00CA5163">
        <w:rPr>
          <w:rFonts w:ascii="Times New Roman" w:hAnsi="Times New Roman" w:cs="Times New Roman"/>
          <w:bCs/>
        </w:rPr>
        <w:t xml:space="preserve"> </w:t>
      </w:r>
      <w:r>
        <w:rPr>
          <w:rFonts w:ascii="Times New Roman" w:hAnsi="Times New Roman" w:cs="Times New Roman"/>
          <w:bCs/>
        </w:rPr>
        <w:t xml:space="preserve">disputes must be resolved amicably and expeditiously. </w:t>
      </w:r>
      <w:r w:rsidRPr="001063CE">
        <w:rPr>
          <w:rFonts w:ascii="Times New Roman" w:hAnsi="Times New Roman" w:cs="Times New Roman"/>
          <w:bCs/>
        </w:rPr>
        <w:t>For th</w:t>
      </w:r>
      <w:r w:rsidR="00E4684D">
        <w:rPr>
          <w:rFonts w:ascii="Times New Roman" w:hAnsi="Times New Roman" w:cs="Times New Roman"/>
          <w:bCs/>
        </w:rPr>
        <w:t>e</w:t>
      </w:r>
      <w:r w:rsidRPr="001063CE">
        <w:rPr>
          <w:rFonts w:ascii="Times New Roman" w:hAnsi="Times New Roman" w:cs="Times New Roman"/>
          <w:bCs/>
        </w:rPr>
        <w:t xml:space="preserve">se reasons, the court was disinclined </w:t>
      </w:r>
      <w:r w:rsidR="00CA5163">
        <w:rPr>
          <w:rFonts w:ascii="Times New Roman" w:hAnsi="Times New Roman" w:cs="Times New Roman"/>
          <w:bCs/>
        </w:rPr>
        <w:t xml:space="preserve">to make </w:t>
      </w:r>
      <w:r w:rsidRPr="001063CE">
        <w:rPr>
          <w:rFonts w:ascii="Times New Roman" w:hAnsi="Times New Roman" w:cs="Times New Roman"/>
          <w:bCs/>
        </w:rPr>
        <w:t xml:space="preserve">an award of costs against the applicants. </w:t>
      </w:r>
    </w:p>
    <w:p w14:paraId="3865FD94" w14:textId="77777777" w:rsidR="00E63366" w:rsidRPr="00CA11E0" w:rsidRDefault="00E63366" w:rsidP="00E4684D">
      <w:pPr>
        <w:pStyle w:val="ListParagraph"/>
        <w:tabs>
          <w:tab w:val="left" w:pos="426"/>
        </w:tabs>
        <w:spacing w:after="0" w:line="360" w:lineRule="auto"/>
        <w:ind w:left="0"/>
        <w:jc w:val="both"/>
        <w:rPr>
          <w:rFonts w:ascii="Times New Roman" w:hAnsi="Times New Roman" w:cs="Times New Roman"/>
          <w:kern w:val="0"/>
          <w14:ligatures w14:val="none"/>
        </w:rPr>
      </w:pPr>
    </w:p>
    <w:p w14:paraId="48941F0C" w14:textId="77777777" w:rsidR="003D58A2" w:rsidRPr="00D850DE" w:rsidRDefault="003D58A2" w:rsidP="003D58A2">
      <w:pPr>
        <w:spacing w:after="0" w:line="360" w:lineRule="auto"/>
        <w:jc w:val="both"/>
        <w:rPr>
          <w:rFonts w:ascii="Times New Roman" w:hAnsi="Times New Roman" w:cs="Times New Roman"/>
          <w:b/>
          <w:kern w:val="0"/>
          <w14:ligatures w14:val="none"/>
        </w:rPr>
      </w:pPr>
      <w:r w:rsidRPr="00D850DE">
        <w:rPr>
          <w:rFonts w:ascii="Times New Roman" w:hAnsi="Times New Roman" w:cs="Times New Roman"/>
          <w:b/>
          <w:kern w:val="0"/>
          <w14:ligatures w14:val="none"/>
        </w:rPr>
        <w:t>Resultantly, it is ordered that:</w:t>
      </w:r>
    </w:p>
    <w:p w14:paraId="760BA8AC" w14:textId="77777777" w:rsidR="00860B2B" w:rsidRDefault="003D58A2" w:rsidP="003D58A2">
      <w:pPr>
        <w:numPr>
          <w:ilvl w:val="0"/>
          <w:numId w:val="1"/>
        </w:numPr>
        <w:tabs>
          <w:tab w:val="clear" w:pos="720"/>
          <w:tab w:val="num" w:pos="426"/>
        </w:tabs>
        <w:spacing w:after="0" w:line="276" w:lineRule="auto"/>
        <w:ind w:left="426" w:hanging="426"/>
        <w:jc w:val="both"/>
        <w:rPr>
          <w:rFonts w:ascii="Times New Roman" w:eastAsia="Times New Roman" w:hAnsi="Times New Roman" w:cs="Times New Roman"/>
          <w:kern w:val="0"/>
          <w14:ligatures w14:val="none"/>
        </w:rPr>
      </w:pPr>
      <w:r w:rsidRPr="00D850DE">
        <w:rPr>
          <w:rFonts w:ascii="Times New Roman" w:eastAsia="Times New Roman" w:hAnsi="Times New Roman" w:cs="Times New Roman"/>
          <w:kern w:val="0"/>
          <w14:ligatures w14:val="none"/>
        </w:rPr>
        <w:t xml:space="preserve">The </w:t>
      </w:r>
      <w:r w:rsidR="00860B2B">
        <w:rPr>
          <w:rFonts w:ascii="Times New Roman" w:eastAsia="Times New Roman" w:hAnsi="Times New Roman" w:cs="Times New Roman"/>
          <w:kern w:val="0"/>
          <w14:ligatures w14:val="none"/>
        </w:rPr>
        <w:t xml:space="preserve">application is hereby struck off the roll for being improperly before the court. </w:t>
      </w:r>
    </w:p>
    <w:p w14:paraId="0DE20F45" w14:textId="75144B27" w:rsidR="003D58A2" w:rsidRPr="00D850DE" w:rsidRDefault="00860B2B" w:rsidP="00860B2B">
      <w:pPr>
        <w:numPr>
          <w:ilvl w:val="0"/>
          <w:numId w:val="1"/>
        </w:numPr>
        <w:tabs>
          <w:tab w:val="clear" w:pos="720"/>
          <w:tab w:val="num" w:pos="426"/>
        </w:tabs>
        <w:spacing w:after="0" w:line="276" w:lineRule="auto"/>
        <w:ind w:left="426" w:hanging="4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party shall bear its own costs of suit. </w:t>
      </w:r>
    </w:p>
    <w:p w14:paraId="34707D78" w14:textId="77777777" w:rsidR="003D58A2" w:rsidRDefault="003D58A2" w:rsidP="003D58A2">
      <w:pPr>
        <w:spacing w:after="0" w:line="360" w:lineRule="auto"/>
        <w:jc w:val="both"/>
        <w:rPr>
          <w:rFonts w:ascii="Times New Roman" w:hAnsi="Times New Roman" w:cs="Times New Roman"/>
          <w:b/>
          <w:bCs/>
        </w:rPr>
      </w:pPr>
    </w:p>
    <w:p w14:paraId="4E0E4C43" w14:textId="77777777" w:rsidR="00CA5163" w:rsidRPr="00D850DE" w:rsidRDefault="00CA5163" w:rsidP="003D58A2">
      <w:pPr>
        <w:spacing w:after="0" w:line="360" w:lineRule="auto"/>
        <w:jc w:val="both"/>
        <w:rPr>
          <w:rFonts w:ascii="Times New Roman" w:hAnsi="Times New Roman" w:cs="Times New Roman"/>
          <w:b/>
          <w:bCs/>
        </w:rPr>
      </w:pPr>
    </w:p>
    <w:p w14:paraId="15047048" w14:textId="778D930D" w:rsidR="002863B1" w:rsidRPr="00EA1386" w:rsidRDefault="002863B1" w:rsidP="002863B1">
      <w:pPr>
        <w:spacing w:line="360" w:lineRule="auto"/>
        <w:jc w:val="both"/>
        <w:rPr>
          <w:rFonts w:ascii="Times New Roman" w:hAnsi="Times New Roman" w:cs="Times New Roman"/>
          <w:smallCaps/>
        </w:rPr>
      </w:pPr>
      <w:r w:rsidRPr="00EA1386">
        <w:rPr>
          <w:rFonts w:ascii="Times New Roman" w:hAnsi="Times New Roman" w:cs="Times New Roman"/>
          <w:b/>
          <w:bCs/>
          <w:smallCaps/>
        </w:rPr>
        <w:t>Musithu J</w:t>
      </w:r>
      <w:r w:rsidRPr="00EA1386">
        <w:rPr>
          <w:rFonts w:ascii="Times New Roman" w:hAnsi="Times New Roman" w:cs="Times New Roman"/>
          <w:smallCaps/>
        </w:rPr>
        <w:t>……………………………………</w:t>
      </w:r>
      <w:r>
        <w:rPr>
          <w:rFonts w:ascii="Times New Roman" w:hAnsi="Times New Roman" w:cs="Times New Roman"/>
          <w:smallCaps/>
        </w:rPr>
        <w:t>……………………</w:t>
      </w:r>
    </w:p>
    <w:p w14:paraId="02455420" w14:textId="77777777" w:rsidR="003D58A2" w:rsidRPr="00D850DE" w:rsidRDefault="003D58A2" w:rsidP="003D58A2">
      <w:pPr>
        <w:spacing w:after="0" w:line="360" w:lineRule="auto"/>
        <w:jc w:val="both"/>
        <w:rPr>
          <w:rFonts w:ascii="Times New Roman" w:eastAsia="Times New Roman" w:hAnsi="Times New Roman" w:cs="Times New Roman"/>
          <w:kern w:val="0"/>
          <w14:ligatures w14:val="none"/>
        </w:rPr>
      </w:pPr>
    </w:p>
    <w:p w14:paraId="38B8F71D" w14:textId="413AF69D" w:rsidR="003D58A2" w:rsidRPr="00512DB7" w:rsidRDefault="002F4FD9" w:rsidP="003D58A2">
      <w:pPr>
        <w:spacing w:after="0" w:line="240" w:lineRule="auto"/>
        <w:jc w:val="both"/>
        <w:rPr>
          <w:rFonts w:ascii="Times New Roman" w:hAnsi="Times New Roman" w:cs="Times New Roman"/>
          <w:i/>
        </w:rPr>
      </w:pPr>
      <w:r>
        <w:rPr>
          <w:rFonts w:ascii="Times New Roman" w:hAnsi="Times New Roman" w:cs="Times New Roman"/>
          <w:i/>
        </w:rPr>
        <w:t>Mushoriwa Moyo</w:t>
      </w:r>
      <w:r w:rsidR="003D58A2" w:rsidRPr="00D850DE">
        <w:rPr>
          <w:rFonts w:ascii="Times New Roman" w:hAnsi="Times New Roman" w:cs="Times New Roman"/>
          <w:i/>
        </w:rPr>
        <w:t>,</w:t>
      </w:r>
      <w:r w:rsidR="003D58A2" w:rsidRPr="00D850DE">
        <w:rPr>
          <w:rFonts w:ascii="Times New Roman" w:hAnsi="Times New Roman" w:cs="Times New Roman"/>
        </w:rPr>
        <w:t xml:space="preserve"> legal practitioners for the applicant</w:t>
      </w:r>
      <w:r w:rsidR="005A1B69">
        <w:rPr>
          <w:rFonts w:ascii="Times New Roman" w:hAnsi="Times New Roman" w:cs="Times New Roman"/>
        </w:rPr>
        <w:t>s</w:t>
      </w:r>
    </w:p>
    <w:p w14:paraId="2AECE2D0" w14:textId="77777777" w:rsidR="003D58A2" w:rsidRDefault="003D58A2" w:rsidP="003D58A2">
      <w:pPr>
        <w:spacing w:after="0" w:line="240" w:lineRule="auto"/>
        <w:jc w:val="both"/>
        <w:rPr>
          <w:rFonts w:ascii="Times New Roman" w:hAnsi="Times New Roman" w:cs="Times New Roman"/>
        </w:rPr>
      </w:pPr>
      <w:r>
        <w:rPr>
          <w:rFonts w:ascii="Times New Roman" w:hAnsi="Times New Roman" w:cs="Times New Roman"/>
          <w:i/>
        </w:rPr>
        <w:t>Civil Division of the Attorney General</w:t>
      </w:r>
      <w:r w:rsidRPr="00D850DE">
        <w:rPr>
          <w:rFonts w:ascii="Times New Roman" w:hAnsi="Times New Roman" w:cs="Times New Roman"/>
          <w:i/>
        </w:rPr>
        <w:t xml:space="preserve">, </w:t>
      </w:r>
      <w:r w:rsidRPr="00D850DE">
        <w:rPr>
          <w:rFonts w:ascii="Times New Roman" w:hAnsi="Times New Roman" w:cs="Times New Roman"/>
        </w:rPr>
        <w:t xml:space="preserve">legal practitioners for the </w:t>
      </w:r>
      <w:r>
        <w:rPr>
          <w:rFonts w:ascii="Times New Roman" w:hAnsi="Times New Roman" w:cs="Times New Roman"/>
        </w:rPr>
        <w:t>1</w:t>
      </w:r>
      <w:r w:rsidRPr="00512DB7">
        <w:rPr>
          <w:rFonts w:ascii="Times New Roman" w:hAnsi="Times New Roman" w:cs="Times New Roman"/>
          <w:vertAlign w:val="superscript"/>
        </w:rPr>
        <w:t>st</w:t>
      </w:r>
      <w:r>
        <w:rPr>
          <w:rFonts w:ascii="Times New Roman" w:hAnsi="Times New Roman" w:cs="Times New Roman"/>
        </w:rPr>
        <w:t xml:space="preserve"> </w:t>
      </w:r>
      <w:r w:rsidRPr="00D850DE">
        <w:rPr>
          <w:rFonts w:ascii="Times New Roman" w:hAnsi="Times New Roman" w:cs="Times New Roman"/>
        </w:rPr>
        <w:t>respondent</w:t>
      </w:r>
    </w:p>
    <w:p w14:paraId="5CC616C9" w14:textId="7C50ED4B" w:rsidR="003D58A2" w:rsidRDefault="002F4FD9" w:rsidP="003D58A2">
      <w:pPr>
        <w:spacing w:after="0" w:line="240" w:lineRule="auto"/>
        <w:jc w:val="both"/>
        <w:rPr>
          <w:rFonts w:ascii="Times New Roman" w:hAnsi="Times New Roman" w:cs="Times New Roman"/>
        </w:rPr>
      </w:pPr>
      <w:r>
        <w:rPr>
          <w:rFonts w:ascii="Times New Roman" w:hAnsi="Times New Roman" w:cs="Times New Roman"/>
          <w:i/>
          <w:iCs/>
        </w:rPr>
        <w:t xml:space="preserve">Mundia </w:t>
      </w:r>
      <w:r w:rsidR="003D58A2">
        <w:rPr>
          <w:rFonts w:ascii="Times New Roman" w:hAnsi="Times New Roman" w:cs="Times New Roman"/>
          <w:i/>
          <w:iCs/>
        </w:rPr>
        <w:t>&amp; M</w:t>
      </w:r>
      <w:r>
        <w:rPr>
          <w:rFonts w:ascii="Times New Roman" w:hAnsi="Times New Roman" w:cs="Times New Roman"/>
          <w:i/>
          <w:iCs/>
        </w:rPr>
        <w:t xml:space="preserve">udhara, </w:t>
      </w:r>
      <w:r>
        <w:rPr>
          <w:rFonts w:ascii="Times New Roman" w:hAnsi="Times New Roman" w:cs="Times New Roman"/>
        </w:rPr>
        <w:t>l</w:t>
      </w:r>
      <w:r w:rsidR="003D58A2">
        <w:rPr>
          <w:rFonts w:ascii="Times New Roman" w:hAnsi="Times New Roman" w:cs="Times New Roman"/>
        </w:rPr>
        <w:t>egal practitioners for the 2</w:t>
      </w:r>
      <w:r w:rsidR="003D58A2" w:rsidRPr="00512DB7">
        <w:rPr>
          <w:rFonts w:ascii="Times New Roman" w:hAnsi="Times New Roman" w:cs="Times New Roman"/>
          <w:vertAlign w:val="superscript"/>
        </w:rPr>
        <w:t>nd</w:t>
      </w:r>
      <w:r w:rsidR="003D58A2">
        <w:rPr>
          <w:rFonts w:ascii="Times New Roman" w:hAnsi="Times New Roman" w:cs="Times New Roman"/>
        </w:rPr>
        <w:t xml:space="preserve"> respondent </w:t>
      </w:r>
    </w:p>
    <w:p w14:paraId="07590D5E" w14:textId="185D3FC4" w:rsidR="00A52836" w:rsidRDefault="002F4FD9" w:rsidP="00860B2B">
      <w:pPr>
        <w:spacing w:after="0" w:line="240" w:lineRule="auto"/>
        <w:jc w:val="both"/>
      </w:pPr>
      <w:r>
        <w:rPr>
          <w:rFonts w:ascii="Times New Roman" w:hAnsi="Times New Roman" w:cs="Times New Roman"/>
          <w:i/>
          <w:iCs/>
        </w:rPr>
        <w:t>Jiti Law Chambers</w:t>
      </w:r>
      <w:r w:rsidR="003D58A2">
        <w:rPr>
          <w:rFonts w:ascii="Times New Roman" w:hAnsi="Times New Roman" w:cs="Times New Roman"/>
          <w:i/>
          <w:iCs/>
        </w:rPr>
        <w:t xml:space="preserve">, </w:t>
      </w:r>
      <w:r w:rsidR="003D58A2">
        <w:rPr>
          <w:rFonts w:ascii="Times New Roman" w:hAnsi="Times New Roman" w:cs="Times New Roman"/>
        </w:rPr>
        <w:t>legal practitioners for the</w:t>
      </w:r>
      <w:r>
        <w:rPr>
          <w:rFonts w:ascii="Times New Roman" w:hAnsi="Times New Roman" w:cs="Times New Roman"/>
        </w:rPr>
        <w:t xml:space="preserve"> 3</w:t>
      </w:r>
      <w:r w:rsidRPr="002F4FD9">
        <w:rPr>
          <w:rFonts w:ascii="Times New Roman" w:hAnsi="Times New Roman" w:cs="Times New Roman"/>
          <w:vertAlign w:val="superscript"/>
        </w:rPr>
        <w:t>rd</w:t>
      </w:r>
      <w:r>
        <w:rPr>
          <w:rFonts w:ascii="Times New Roman" w:hAnsi="Times New Roman" w:cs="Times New Roman"/>
        </w:rPr>
        <w:t xml:space="preserve"> to 13</w:t>
      </w:r>
      <w:r w:rsidR="003D58A2" w:rsidRPr="00512DB7">
        <w:rPr>
          <w:rFonts w:ascii="Times New Roman" w:hAnsi="Times New Roman" w:cs="Times New Roman"/>
          <w:vertAlign w:val="superscript"/>
        </w:rPr>
        <w:t>th</w:t>
      </w:r>
      <w:r w:rsidR="003D58A2">
        <w:rPr>
          <w:rFonts w:ascii="Times New Roman" w:hAnsi="Times New Roman" w:cs="Times New Roman"/>
        </w:rPr>
        <w:t xml:space="preserve"> respondent</w:t>
      </w:r>
      <w:r>
        <w:rPr>
          <w:rFonts w:ascii="Times New Roman" w:hAnsi="Times New Roman" w:cs="Times New Roman"/>
        </w:rPr>
        <w:t>s</w:t>
      </w:r>
      <w:r w:rsidR="003D58A2">
        <w:rPr>
          <w:rFonts w:ascii="Times New Roman" w:hAnsi="Times New Roman" w:cs="Times New Roman"/>
        </w:rPr>
        <w:t xml:space="preserve"> </w:t>
      </w:r>
    </w:p>
    <w:sectPr w:rsidR="00A52836" w:rsidSect="003D58A2">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BF691F" w14:textId="77777777" w:rsidR="00102EDF" w:rsidRDefault="00102EDF" w:rsidP="00E07706">
      <w:pPr>
        <w:spacing w:after="0" w:line="240" w:lineRule="auto"/>
      </w:pPr>
      <w:r>
        <w:separator/>
      </w:r>
    </w:p>
  </w:endnote>
  <w:endnote w:type="continuationSeparator" w:id="0">
    <w:p w14:paraId="4AB26427" w14:textId="77777777" w:rsidR="00102EDF" w:rsidRDefault="00102EDF" w:rsidP="00E07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BD86F6" w14:textId="77777777" w:rsidR="00102EDF" w:rsidRDefault="00102EDF" w:rsidP="00E07706">
      <w:pPr>
        <w:spacing w:after="0" w:line="240" w:lineRule="auto"/>
      </w:pPr>
      <w:r>
        <w:separator/>
      </w:r>
    </w:p>
  </w:footnote>
  <w:footnote w:type="continuationSeparator" w:id="0">
    <w:p w14:paraId="71C856E6" w14:textId="77777777" w:rsidR="00102EDF" w:rsidRDefault="00102EDF" w:rsidP="00E07706">
      <w:pPr>
        <w:spacing w:after="0" w:line="240" w:lineRule="auto"/>
      </w:pPr>
      <w:r>
        <w:continuationSeparator/>
      </w:r>
    </w:p>
  </w:footnote>
  <w:footnote w:id="1">
    <w:p w14:paraId="676BBD1E" w14:textId="57DD91C5" w:rsidR="000250D7" w:rsidRPr="000250D7" w:rsidRDefault="000250D7">
      <w:pPr>
        <w:pStyle w:val="FootnoteText"/>
        <w:rPr>
          <w:rFonts w:ascii="Times New Roman" w:hAnsi="Times New Roman" w:cs="Times New Roman"/>
          <w:sz w:val="18"/>
          <w:szCs w:val="18"/>
          <w:lang w:val="en-US"/>
        </w:rPr>
      </w:pPr>
      <w:r w:rsidRPr="000250D7">
        <w:rPr>
          <w:rStyle w:val="FootnoteReference"/>
          <w:rFonts w:ascii="Times New Roman" w:hAnsi="Times New Roman" w:cs="Times New Roman"/>
          <w:sz w:val="18"/>
          <w:szCs w:val="18"/>
        </w:rPr>
        <w:footnoteRef/>
      </w:r>
      <w:r w:rsidRPr="000250D7">
        <w:rPr>
          <w:rFonts w:ascii="Times New Roman" w:hAnsi="Times New Roman" w:cs="Times New Roman"/>
          <w:sz w:val="18"/>
          <w:szCs w:val="18"/>
        </w:rPr>
        <w:t xml:space="preserve"> </w:t>
      </w:r>
      <w:r w:rsidRPr="000250D7">
        <w:rPr>
          <w:rFonts w:ascii="Times New Roman" w:hAnsi="Times New Roman" w:cs="Times New Roman"/>
          <w:sz w:val="18"/>
          <w:szCs w:val="18"/>
          <w:lang w:val="en-US"/>
        </w:rPr>
        <w:t>[</w:t>
      </w:r>
      <w:r w:rsidRPr="000250D7">
        <w:rPr>
          <w:rFonts w:ascii="Times New Roman" w:hAnsi="Times New Roman" w:cs="Times New Roman"/>
          <w:i/>
          <w:iCs/>
          <w:sz w:val="18"/>
          <w:szCs w:val="18"/>
          <w:lang w:val="en-US"/>
        </w:rPr>
        <w:t>Chapter 18:19</w:t>
      </w:r>
      <w:r w:rsidRPr="000250D7">
        <w:rPr>
          <w:rFonts w:ascii="Times New Roman" w:hAnsi="Times New Roman" w:cs="Times New Roman"/>
          <w:sz w:val="18"/>
          <w:szCs w:val="18"/>
          <w:lang w:val="en-US"/>
        </w:rPr>
        <w:t>]</w:t>
      </w:r>
    </w:p>
  </w:footnote>
  <w:footnote w:id="2">
    <w:p w14:paraId="0241DB31" w14:textId="4099EE32" w:rsidR="005833FA" w:rsidRPr="005833FA" w:rsidRDefault="005833FA">
      <w:pPr>
        <w:pStyle w:val="FootnoteText"/>
        <w:rPr>
          <w:rFonts w:ascii="Times New Roman" w:hAnsi="Times New Roman" w:cs="Times New Roman"/>
          <w:lang w:val="en-US"/>
        </w:rPr>
      </w:pPr>
      <w:r w:rsidRPr="005833FA">
        <w:rPr>
          <w:rStyle w:val="FootnoteReference"/>
          <w:rFonts w:ascii="Times New Roman" w:hAnsi="Times New Roman" w:cs="Times New Roman"/>
        </w:rPr>
        <w:footnoteRef/>
      </w:r>
      <w:r w:rsidRPr="005833FA">
        <w:rPr>
          <w:rFonts w:ascii="Times New Roman" w:hAnsi="Times New Roman" w:cs="Times New Roman"/>
        </w:rPr>
        <w:t xml:space="preserve"> </w:t>
      </w:r>
      <w:r w:rsidRPr="005833FA">
        <w:rPr>
          <w:rFonts w:ascii="Times New Roman" w:hAnsi="Times New Roman" w:cs="Times New Roman"/>
          <w:lang w:val="en-US"/>
        </w:rPr>
        <w:t>SC 10/15</w:t>
      </w:r>
    </w:p>
  </w:footnote>
  <w:footnote w:id="3">
    <w:p w14:paraId="50CBFAEB" w14:textId="204A97EE" w:rsidR="00F704D4" w:rsidRPr="00F704D4" w:rsidRDefault="00F704D4">
      <w:pPr>
        <w:pStyle w:val="FootnoteText"/>
        <w:rPr>
          <w:rFonts w:ascii="Times New Roman" w:hAnsi="Times New Roman" w:cs="Times New Roman"/>
          <w:lang w:val="en-US"/>
        </w:rPr>
      </w:pPr>
      <w:r w:rsidRPr="00F704D4">
        <w:rPr>
          <w:rStyle w:val="FootnoteReference"/>
          <w:rFonts w:ascii="Times New Roman" w:hAnsi="Times New Roman" w:cs="Times New Roman"/>
        </w:rPr>
        <w:footnoteRef/>
      </w:r>
      <w:r w:rsidRPr="00F704D4">
        <w:rPr>
          <w:rFonts w:ascii="Times New Roman" w:hAnsi="Times New Roman" w:cs="Times New Roman"/>
        </w:rPr>
        <w:t xml:space="preserve"> </w:t>
      </w:r>
      <w:r w:rsidRPr="00F704D4">
        <w:rPr>
          <w:rFonts w:ascii="Times New Roman" w:hAnsi="Times New Roman" w:cs="Times New Roman"/>
          <w:lang w:val="en-US"/>
        </w:rPr>
        <w:t xml:space="preserve">See </w:t>
      </w:r>
      <w:r w:rsidRPr="00F704D4">
        <w:rPr>
          <w:rFonts w:ascii="Times New Roman" w:eastAsia="Cambria" w:hAnsi="Times New Roman" w:cs="Times New Roman"/>
          <w:i/>
          <w:lang w:val="en-US" w:bidi="en-US"/>
        </w:rPr>
        <w:t xml:space="preserve">Johnsen v Agricultural Finance Corp </w:t>
      </w:r>
      <w:r w:rsidRPr="00F704D4">
        <w:rPr>
          <w:rFonts w:ascii="Times New Roman" w:eastAsia="Cambria" w:hAnsi="Times New Roman" w:cs="Times New Roman"/>
          <w:lang w:val="en-US" w:bidi="en-US"/>
        </w:rPr>
        <w:t>1995 (1) ZLR 65 (S) at p 72E-F</w:t>
      </w:r>
      <w:r>
        <w:rPr>
          <w:rFonts w:ascii="Times New Roman" w:eastAsia="Cambria" w:hAnsi="Times New Roman" w:cs="Times New Roman"/>
          <w:lang w:val="en-US" w:bidi="en-US"/>
        </w:rPr>
        <w:t xml:space="preserve"> and </w:t>
      </w:r>
      <w:r w:rsidR="00BE77CD" w:rsidRPr="00BE77CD">
        <w:rPr>
          <w:rFonts w:ascii="Times New Roman" w:eastAsia="Cambria" w:hAnsi="Times New Roman" w:cs="Times New Roman"/>
          <w:i/>
          <w:iCs/>
          <w:lang w:val="en-US" w:bidi="en-US"/>
        </w:rPr>
        <w:t xml:space="preserve">Dongo v Naik &amp; 5 Ors </w:t>
      </w:r>
      <w:r w:rsidR="00BE77CD">
        <w:rPr>
          <w:rFonts w:ascii="Times New Roman" w:eastAsia="Cambria" w:hAnsi="Times New Roman" w:cs="Times New Roman"/>
          <w:lang w:val="en-US" w:bidi="en-US"/>
        </w:rPr>
        <w:t>SC 52/20 at p 6-7</w:t>
      </w:r>
    </w:p>
  </w:footnote>
  <w:footnote w:id="4">
    <w:p w14:paraId="45546754" w14:textId="095B6966" w:rsidR="0056266F" w:rsidRPr="00E86CE7" w:rsidRDefault="0056266F">
      <w:pPr>
        <w:pStyle w:val="FootnoteText"/>
        <w:rPr>
          <w:rFonts w:ascii="Times New Roman" w:hAnsi="Times New Roman" w:cs="Times New Roman"/>
          <w:sz w:val="18"/>
          <w:szCs w:val="18"/>
          <w:lang w:val="en-US"/>
        </w:rPr>
      </w:pPr>
      <w:r w:rsidRPr="00E86CE7">
        <w:rPr>
          <w:rStyle w:val="FootnoteReference"/>
          <w:rFonts w:ascii="Times New Roman" w:hAnsi="Times New Roman" w:cs="Times New Roman"/>
          <w:sz w:val="18"/>
          <w:szCs w:val="18"/>
        </w:rPr>
        <w:footnoteRef/>
      </w:r>
      <w:r w:rsidRPr="00E86CE7">
        <w:rPr>
          <w:rFonts w:ascii="Times New Roman" w:hAnsi="Times New Roman" w:cs="Times New Roman"/>
          <w:sz w:val="18"/>
          <w:szCs w:val="18"/>
        </w:rPr>
        <w:t xml:space="preserve"> </w:t>
      </w:r>
      <w:r w:rsidRPr="00E86CE7">
        <w:rPr>
          <w:rFonts w:ascii="Times New Roman" w:eastAsia="Cambria" w:hAnsi="Times New Roman" w:cs="Times New Roman"/>
          <w:sz w:val="18"/>
          <w:szCs w:val="18"/>
          <w:lang w:val="en-US" w:bidi="en-US"/>
        </w:rPr>
        <w:t>1980 (2) SA 516 (T) at 519H-520B</w:t>
      </w:r>
    </w:p>
  </w:footnote>
  <w:footnote w:id="5">
    <w:p w14:paraId="146C8468" w14:textId="430F2B70" w:rsidR="00E86CE7" w:rsidRPr="00E86CE7" w:rsidRDefault="00E86CE7">
      <w:pPr>
        <w:pStyle w:val="FootnoteText"/>
        <w:rPr>
          <w:lang w:val="en-US"/>
        </w:rPr>
      </w:pPr>
      <w:r w:rsidRPr="00E86CE7">
        <w:rPr>
          <w:rStyle w:val="FootnoteReference"/>
          <w:rFonts w:ascii="Times New Roman" w:hAnsi="Times New Roman" w:cs="Times New Roman"/>
          <w:sz w:val="18"/>
          <w:szCs w:val="18"/>
        </w:rPr>
        <w:footnoteRef/>
      </w:r>
      <w:r w:rsidRPr="00E86CE7">
        <w:rPr>
          <w:rFonts w:ascii="Times New Roman" w:hAnsi="Times New Roman" w:cs="Times New Roman"/>
          <w:sz w:val="18"/>
          <w:szCs w:val="18"/>
        </w:rPr>
        <w:t xml:space="preserve"> See </w:t>
      </w:r>
      <w:r w:rsidRPr="00E86CE7">
        <w:rPr>
          <w:rFonts w:ascii="Times New Roman" w:hAnsi="Times New Roman" w:cs="Times New Roman"/>
          <w:i/>
          <w:iCs/>
          <w:kern w:val="0"/>
          <w:sz w:val="18"/>
          <w:szCs w:val="18"/>
          <w14:ligatures w14:val="none"/>
        </w:rPr>
        <w:t>Ahmed</w:t>
      </w:r>
      <w:r w:rsidRPr="00AE20AA">
        <w:rPr>
          <w:rFonts w:ascii="Times New Roman" w:hAnsi="Times New Roman" w:cs="Times New Roman"/>
          <w:i/>
          <w:iCs/>
          <w:kern w:val="0"/>
          <w14:ligatures w14:val="none"/>
        </w:rPr>
        <w:t xml:space="preserve"> v Docking Station Safaris (Pvt) Ltd t/a CC Sales</w:t>
      </w:r>
      <w:r>
        <w:rPr>
          <w:rFonts w:ascii="Times New Roman" w:hAnsi="Times New Roman" w:cs="Times New Roman"/>
          <w:i/>
          <w:iCs/>
          <w:kern w:val="0"/>
          <w14:ligatures w14:val="none"/>
        </w:rPr>
        <w:t xml:space="preserve"> </w:t>
      </w:r>
      <w:r w:rsidRPr="008959DD">
        <w:rPr>
          <w:rFonts w:ascii="Times New Roman" w:hAnsi="Times New Roman" w:cs="Times New Roman"/>
          <w:lang w:val="en-US"/>
        </w:rPr>
        <w:t>SC 70/18 at p 3 of the judgment</w:t>
      </w:r>
    </w:p>
  </w:footnote>
  <w:footnote w:id="6">
    <w:p w14:paraId="3D998336" w14:textId="12CB580D" w:rsidR="004746B2" w:rsidRPr="00261651" w:rsidRDefault="004746B2">
      <w:pPr>
        <w:pStyle w:val="FootnoteText"/>
        <w:rPr>
          <w:rFonts w:ascii="Times New Roman" w:hAnsi="Times New Roman" w:cs="Times New Roman"/>
          <w:lang w:val="en-US"/>
        </w:rPr>
      </w:pPr>
      <w:r w:rsidRPr="00261651">
        <w:rPr>
          <w:rStyle w:val="FootnoteReference"/>
          <w:rFonts w:ascii="Times New Roman" w:hAnsi="Times New Roman" w:cs="Times New Roman"/>
        </w:rPr>
        <w:footnoteRef/>
      </w:r>
      <w:r w:rsidRPr="00261651">
        <w:rPr>
          <w:rFonts w:ascii="Times New Roman" w:hAnsi="Times New Roman" w:cs="Times New Roman"/>
        </w:rPr>
        <w:t xml:space="preserve"> </w:t>
      </w:r>
      <w:r w:rsidRPr="00261651">
        <w:rPr>
          <w:rFonts w:ascii="Times New Roman" w:hAnsi="Times New Roman" w:cs="Times New Roman"/>
          <w:lang w:val="en-US"/>
        </w:rPr>
        <w:t xml:space="preserve">See para 9 page 615 of the record </w:t>
      </w:r>
    </w:p>
  </w:footnote>
  <w:footnote w:id="7">
    <w:p w14:paraId="547ED532" w14:textId="55147F48" w:rsidR="00261651" w:rsidRPr="00261651" w:rsidRDefault="00261651">
      <w:pPr>
        <w:pStyle w:val="FootnoteText"/>
        <w:rPr>
          <w:rFonts w:ascii="Times New Roman" w:hAnsi="Times New Roman" w:cs="Times New Roman"/>
          <w:lang w:val="en-US"/>
        </w:rPr>
      </w:pPr>
      <w:r w:rsidRPr="00261651">
        <w:rPr>
          <w:rStyle w:val="FootnoteReference"/>
          <w:rFonts w:ascii="Times New Roman" w:hAnsi="Times New Roman" w:cs="Times New Roman"/>
        </w:rPr>
        <w:footnoteRef/>
      </w:r>
      <w:r w:rsidRPr="00261651">
        <w:rPr>
          <w:rFonts w:ascii="Times New Roman" w:hAnsi="Times New Roman" w:cs="Times New Roman"/>
        </w:rPr>
        <w:t xml:space="preserve"> At p 7 of the judgment </w:t>
      </w:r>
    </w:p>
  </w:footnote>
  <w:footnote w:id="8">
    <w:p w14:paraId="386968D4" w14:textId="77777777" w:rsidR="00A07FEC" w:rsidRPr="00A07FEC" w:rsidRDefault="00A07FEC" w:rsidP="00A07FEC">
      <w:pPr>
        <w:pStyle w:val="FootnoteText"/>
        <w:jc w:val="both"/>
        <w:rPr>
          <w:rFonts w:ascii="Times New Roman" w:hAnsi="Times New Roman" w:cs="Times New Roman"/>
        </w:rPr>
      </w:pPr>
      <w:r w:rsidRPr="00A07FEC">
        <w:rPr>
          <w:rStyle w:val="FootnoteReference"/>
          <w:rFonts w:ascii="Times New Roman" w:hAnsi="Times New Roman" w:cs="Times New Roman"/>
        </w:rPr>
        <w:footnoteRef/>
      </w:r>
      <w:r w:rsidRPr="00A07FEC">
        <w:rPr>
          <w:rFonts w:ascii="Times New Roman" w:hAnsi="Times New Roman" w:cs="Times New Roman"/>
        </w:rPr>
        <w:t xml:space="preserve"> For instance, in </w:t>
      </w:r>
      <w:r w:rsidRPr="00A07FEC">
        <w:rPr>
          <w:rFonts w:ascii="Times New Roman" w:hAnsi="Times New Roman" w:cs="Times New Roman"/>
          <w:i/>
        </w:rPr>
        <w:t xml:space="preserve">Johannesburg Consolidated Investment Co and Anor v Johannesburg City Counci 1903 TS 111 </w:t>
      </w:r>
      <w:r w:rsidRPr="00A07FEC">
        <w:rPr>
          <w:rFonts w:ascii="Times New Roman" w:hAnsi="Times New Roman" w:cs="Times New Roman"/>
        </w:rPr>
        <w:t xml:space="preserve">the court distinguished three types of reviews, being review by summons, a wider power of review granted by statute and thirdly……review by motion. </w:t>
      </w:r>
    </w:p>
  </w:footnote>
  <w:footnote w:id="9">
    <w:p w14:paraId="27287076" w14:textId="77777777" w:rsidR="00326BB5" w:rsidRPr="00326BB5" w:rsidRDefault="00326BB5" w:rsidP="00326BB5">
      <w:pPr>
        <w:pStyle w:val="ListParagraph"/>
        <w:tabs>
          <w:tab w:val="left" w:pos="426"/>
        </w:tabs>
        <w:spacing w:after="0" w:line="360" w:lineRule="auto"/>
        <w:ind w:left="0"/>
        <w:jc w:val="both"/>
        <w:rPr>
          <w:rFonts w:ascii="Times New Roman" w:hAnsi="Times New Roman" w:cs="Times New Roman"/>
          <w:kern w:val="0"/>
          <w:sz w:val="20"/>
          <w:szCs w:val="20"/>
          <w14:ligatures w14:val="none"/>
        </w:rPr>
      </w:pPr>
      <w:r w:rsidRPr="00326BB5">
        <w:rPr>
          <w:rStyle w:val="FootnoteReference"/>
          <w:sz w:val="20"/>
          <w:szCs w:val="20"/>
        </w:rPr>
        <w:footnoteRef/>
      </w:r>
      <w:r w:rsidRPr="00326BB5">
        <w:rPr>
          <w:sz w:val="20"/>
          <w:szCs w:val="20"/>
        </w:rPr>
        <w:t xml:space="preserve"> </w:t>
      </w:r>
      <w:r w:rsidRPr="00326BB5">
        <w:rPr>
          <w:rFonts w:ascii="Times New Roman" w:hAnsi="Times New Roman" w:cs="Times New Roman"/>
          <w:sz w:val="20"/>
          <w:szCs w:val="20"/>
          <w:lang w:val="en-GB"/>
        </w:rPr>
        <w:t>CCZ 07/21</w:t>
      </w:r>
      <w:r w:rsidRPr="00326BB5">
        <w:rPr>
          <w:rFonts w:ascii="Times New Roman" w:hAnsi="Times New Roman" w:cs="Times New Roman"/>
          <w:kern w:val="0"/>
          <w:sz w:val="20"/>
          <w:szCs w:val="20"/>
          <w14:ligatures w14:val="none"/>
        </w:rPr>
        <w:t xml:space="preserve"> </w:t>
      </w:r>
    </w:p>
    <w:p w14:paraId="2705D6F1" w14:textId="556F1AF5" w:rsidR="00326BB5" w:rsidRPr="00326BB5" w:rsidRDefault="00326BB5">
      <w:pPr>
        <w:pStyle w:val="FootnoteText"/>
        <w:rPr>
          <w:lang w:val="en-US"/>
        </w:rPr>
      </w:pPr>
    </w:p>
  </w:footnote>
  <w:footnote w:id="10">
    <w:p w14:paraId="7D088FD4" w14:textId="2843D724" w:rsidR="00E452AD" w:rsidRPr="00186413" w:rsidRDefault="00E452AD">
      <w:pPr>
        <w:pStyle w:val="FootnoteText"/>
        <w:rPr>
          <w:rFonts w:ascii="Times New Roman" w:hAnsi="Times New Roman" w:cs="Times New Roman"/>
          <w:lang w:val="en-US"/>
        </w:rPr>
      </w:pPr>
      <w:r w:rsidRPr="00186413">
        <w:rPr>
          <w:rStyle w:val="FootnoteReference"/>
          <w:rFonts w:ascii="Times New Roman" w:hAnsi="Times New Roman" w:cs="Times New Roman"/>
        </w:rPr>
        <w:footnoteRef/>
      </w:r>
      <w:r w:rsidRPr="00186413">
        <w:rPr>
          <w:rFonts w:ascii="Times New Roman" w:hAnsi="Times New Roman" w:cs="Times New Roman"/>
        </w:rPr>
        <w:t xml:space="preserve"> </w:t>
      </w:r>
      <w:r w:rsidRPr="00186413">
        <w:rPr>
          <w:rFonts w:ascii="Times New Roman" w:hAnsi="Times New Roman" w:cs="Times New Roman"/>
          <w:lang w:val="en-US"/>
        </w:rPr>
        <w:t xml:space="preserve">CCZ 1/23 </w:t>
      </w:r>
    </w:p>
  </w:footnote>
  <w:footnote w:id="11">
    <w:p w14:paraId="6D3A12FD" w14:textId="5F220BFC" w:rsidR="00186413" w:rsidRPr="00186413" w:rsidRDefault="00186413">
      <w:pPr>
        <w:pStyle w:val="FootnoteText"/>
        <w:rPr>
          <w:rFonts w:ascii="Times New Roman" w:hAnsi="Times New Roman" w:cs="Times New Roman"/>
          <w:lang w:val="en-US"/>
        </w:rPr>
      </w:pPr>
      <w:r w:rsidRPr="00186413">
        <w:rPr>
          <w:rStyle w:val="FootnoteReference"/>
          <w:rFonts w:ascii="Times New Roman" w:hAnsi="Times New Roman" w:cs="Times New Roman"/>
        </w:rPr>
        <w:footnoteRef/>
      </w:r>
      <w:r w:rsidRPr="00186413">
        <w:rPr>
          <w:rFonts w:ascii="Times New Roman" w:hAnsi="Times New Roman" w:cs="Times New Roman"/>
        </w:rPr>
        <w:t xml:space="preserve"> </w:t>
      </w:r>
      <w:r w:rsidRPr="00186413">
        <w:rPr>
          <w:rFonts w:ascii="Times New Roman" w:hAnsi="Times New Roman" w:cs="Times New Roman"/>
          <w:lang w:val="en-US"/>
        </w:rPr>
        <w:t>[</w:t>
      </w:r>
      <w:r w:rsidRPr="00186413">
        <w:rPr>
          <w:rFonts w:ascii="Times New Roman" w:hAnsi="Times New Roman" w:cs="Times New Roman"/>
          <w:i/>
          <w:iCs/>
          <w:lang w:val="en-US"/>
        </w:rPr>
        <w:t>Chapter 22:18</w:t>
      </w:r>
      <w:r w:rsidRPr="00186413">
        <w:rPr>
          <w:rFonts w:ascii="Times New Roman" w:hAnsi="Times New Roman" w:cs="Times New Roman"/>
          <w:lang w:val="en-US"/>
        </w:rPr>
        <w:t>]</w:t>
      </w:r>
    </w:p>
  </w:footnote>
  <w:footnote w:id="12">
    <w:p w14:paraId="509C1FAF" w14:textId="689A7234" w:rsidR="008522B2" w:rsidRPr="00703FC1" w:rsidRDefault="008522B2">
      <w:pPr>
        <w:pStyle w:val="FootnoteText"/>
        <w:rPr>
          <w:rFonts w:ascii="Times New Roman" w:hAnsi="Times New Roman" w:cs="Times New Roman"/>
          <w:lang w:val="en-US"/>
        </w:rPr>
      </w:pPr>
      <w:r w:rsidRPr="00703FC1">
        <w:rPr>
          <w:rStyle w:val="FootnoteReference"/>
          <w:rFonts w:ascii="Times New Roman" w:hAnsi="Times New Roman" w:cs="Times New Roman"/>
        </w:rPr>
        <w:footnoteRef/>
      </w:r>
      <w:r w:rsidRPr="00703FC1">
        <w:rPr>
          <w:rFonts w:ascii="Times New Roman" w:hAnsi="Times New Roman" w:cs="Times New Roman"/>
        </w:rPr>
        <w:t xml:space="preserve"> </w:t>
      </w:r>
      <w:r w:rsidRPr="00703FC1">
        <w:rPr>
          <w:rFonts w:ascii="Times New Roman" w:hAnsi="Times New Roman" w:cs="Times New Roman"/>
          <w:lang w:val="en-US"/>
        </w:rPr>
        <w:t xml:space="preserve">See </w:t>
      </w:r>
      <w:r w:rsidRPr="00703FC1">
        <w:rPr>
          <w:rFonts w:ascii="Times New Roman" w:hAnsi="Times New Roman" w:cs="Times New Roman"/>
          <w:i/>
          <w:iCs/>
          <w:lang w:val="en-US"/>
        </w:rPr>
        <w:t xml:space="preserve">Milne </w:t>
      </w:r>
      <w:r w:rsidR="00703FC1" w:rsidRPr="00703FC1">
        <w:rPr>
          <w:rFonts w:ascii="Times New Roman" w:hAnsi="Times New Roman" w:cs="Times New Roman"/>
          <w:i/>
          <w:iCs/>
          <w:lang w:val="en-US"/>
        </w:rPr>
        <w:t>v Padday</w:t>
      </w:r>
      <w:r w:rsidR="00703FC1" w:rsidRPr="00703FC1">
        <w:rPr>
          <w:rFonts w:ascii="Times New Roman" w:hAnsi="Times New Roman" w:cs="Times New Roman"/>
          <w:lang w:val="en-US"/>
        </w:rPr>
        <w:t xml:space="preserve"> 1914 EDL 277</w:t>
      </w:r>
      <w:r w:rsidR="00703FC1">
        <w:rPr>
          <w:rFonts w:ascii="Times New Roman" w:hAnsi="Times New Roman" w:cs="Times New Roman"/>
          <w:lang w:val="en-US"/>
        </w:rPr>
        <w:t xml:space="preserve">; </w:t>
      </w:r>
      <w:r w:rsidR="00703FC1" w:rsidRPr="00703FC1">
        <w:rPr>
          <w:rFonts w:ascii="Times New Roman" w:hAnsi="Times New Roman" w:cs="Times New Roman"/>
          <w:i/>
          <w:iCs/>
          <w:lang w:val="en-US"/>
        </w:rPr>
        <w:t>Zimbabwe Educational, Scientific, Social and Cultural Workers Union v Welfare, Educational Institutions Employers Association</w:t>
      </w:r>
      <w:r w:rsidR="00703FC1">
        <w:rPr>
          <w:rFonts w:ascii="Times New Roman" w:hAnsi="Times New Roman" w:cs="Times New Roman"/>
          <w:lang w:val="en-US"/>
        </w:rPr>
        <w:t xml:space="preserve"> SC 11/13. </w:t>
      </w:r>
    </w:p>
  </w:footnote>
  <w:footnote w:id="13">
    <w:p w14:paraId="2BDEBA35" w14:textId="65D3E602" w:rsidR="004F4D83" w:rsidRPr="004F4D83" w:rsidRDefault="004F4D83">
      <w:pPr>
        <w:pStyle w:val="FootnoteText"/>
        <w:rPr>
          <w:rFonts w:ascii="Times New Roman" w:hAnsi="Times New Roman" w:cs="Times New Roman"/>
          <w:lang w:val="en-US"/>
        </w:rPr>
      </w:pPr>
      <w:r w:rsidRPr="004F4D83">
        <w:rPr>
          <w:rStyle w:val="FootnoteReference"/>
          <w:rFonts w:ascii="Times New Roman" w:hAnsi="Times New Roman" w:cs="Times New Roman"/>
        </w:rPr>
        <w:footnoteRef/>
      </w:r>
      <w:r w:rsidRPr="004F4D83">
        <w:rPr>
          <w:rFonts w:ascii="Times New Roman" w:hAnsi="Times New Roman" w:cs="Times New Roman"/>
        </w:rPr>
        <w:t xml:space="preserve"> </w:t>
      </w:r>
      <w:r w:rsidRPr="004F4D83">
        <w:rPr>
          <w:rFonts w:ascii="Times New Roman" w:hAnsi="Times New Roman" w:cs="Times New Roman"/>
          <w:lang w:val="en-US"/>
        </w:rPr>
        <w:t xml:space="preserve">Para 5 of the </w:t>
      </w:r>
      <w:r w:rsidR="003F7672" w:rsidRPr="004F4D83">
        <w:rPr>
          <w:rFonts w:ascii="Times New Roman" w:hAnsi="Times New Roman" w:cs="Times New Roman"/>
          <w:lang w:val="en-US"/>
        </w:rPr>
        <w:t>applicants’</w:t>
      </w:r>
      <w:r w:rsidRPr="004F4D83">
        <w:rPr>
          <w:rFonts w:ascii="Times New Roman" w:hAnsi="Times New Roman" w:cs="Times New Roman"/>
          <w:lang w:val="en-US"/>
        </w:rPr>
        <w:t xml:space="preserve"> heads of argument p 613 of the record. </w:t>
      </w:r>
    </w:p>
  </w:footnote>
  <w:footnote w:id="14">
    <w:p w14:paraId="45E62364" w14:textId="447606BB" w:rsidR="00AC69C0" w:rsidRPr="00AC69C0" w:rsidRDefault="00AC69C0">
      <w:pPr>
        <w:pStyle w:val="FootnoteText"/>
        <w:rPr>
          <w:rFonts w:ascii="Times New Roman" w:hAnsi="Times New Roman" w:cs="Times New Roman"/>
          <w:lang w:val="en-US"/>
        </w:rPr>
      </w:pPr>
      <w:r w:rsidRPr="00AC69C0">
        <w:rPr>
          <w:rStyle w:val="FootnoteReference"/>
          <w:rFonts w:ascii="Times New Roman" w:hAnsi="Times New Roman" w:cs="Times New Roman"/>
        </w:rPr>
        <w:footnoteRef/>
      </w:r>
      <w:r w:rsidRPr="00AC69C0">
        <w:rPr>
          <w:rFonts w:ascii="Times New Roman" w:hAnsi="Times New Roman" w:cs="Times New Roman"/>
        </w:rPr>
        <w:t xml:space="preserve"> </w:t>
      </w:r>
      <w:r w:rsidRPr="00AC69C0">
        <w:rPr>
          <w:rFonts w:ascii="Times New Roman" w:hAnsi="Times New Roman" w:cs="Times New Roman"/>
          <w:lang w:val="en-US"/>
        </w:rPr>
        <w:t xml:space="preserve">Page 195 of the record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6256257"/>
      <w:docPartObj>
        <w:docPartGallery w:val="Page Numbers (Top of Page)"/>
        <w:docPartUnique/>
      </w:docPartObj>
    </w:sdtPr>
    <w:sdtEndPr>
      <w:rPr>
        <w:rFonts w:ascii="Times New Roman" w:hAnsi="Times New Roman" w:cs="Times New Roman"/>
        <w:noProof/>
      </w:rPr>
    </w:sdtEndPr>
    <w:sdtContent>
      <w:p w14:paraId="2931494C" w14:textId="77777777" w:rsidR="003D58A2" w:rsidRPr="00D850DE" w:rsidRDefault="003D58A2">
        <w:pPr>
          <w:pStyle w:val="Header"/>
          <w:jc w:val="right"/>
          <w:rPr>
            <w:rFonts w:ascii="Times New Roman" w:hAnsi="Times New Roman" w:cs="Times New Roman"/>
            <w:noProof/>
          </w:rPr>
        </w:pPr>
        <w:r w:rsidRPr="00D850DE">
          <w:rPr>
            <w:rFonts w:ascii="Times New Roman" w:hAnsi="Times New Roman" w:cs="Times New Roman"/>
          </w:rPr>
          <w:fldChar w:fldCharType="begin"/>
        </w:r>
        <w:r w:rsidRPr="00D850DE">
          <w:rPr>
            <w:rFonts w:ascii="Times New Roman" w:hAnsi="Times New Roman" w:cs="Times New Roman"/>
          </w:rPr>
          <w:instrText xml:space="preserve"> PAGE   \* MERGEFORMAT </w:instrText>
        </w:r>
        <w:r w:rsidRPr="00D850DE">
          <w:rPr>
            <w:rFonts w:ascii="Times New Roman" w:hAnsi="Times New Roman" w:cs="Times New Roman"/>
          </w:rPr>
          <w:fldChar w:fldCharType="separate"/>
        </w:r>
        <w:r w:rsidR="0098571B">
          <w:rPr>
            <w:rFonts w:ascii="Times New Roman" w:hAnsi="Times New Roman" w:cs="Times New Roman"/>
            <w:noProof/>
          </w:rPr>
          <w:t>1</w:t>
        </w:r>
        <w:r w:rsidRPr="00D850DE">
          <w:rPr>
            <w:rFonts w:ascii="Times New Roman" w:hAnsi="Times New Roman" w:cs="Times New Roman"/>
            <w:noProof/>
          </w:rPr>
          <w:fldChar w:fldCharType="end"/>
        </w:r>
      </w:p>
      <w:p w14:paraId="62D5A35A" w14:textId="0D804096" w:rsidR="003D58A2" w:rsidRPr="00D850DE" w:rsidRDefault="003D58A2">
        <w:pPr>
          <w:pStyle w:val="Header"/>
          <w:jc w:val="right"/>
          <w:rPr>
            <w:rFonts w:ascii="Times New Roman" w:hAnsi="Times New Roman" w:cs="Times New Roman"/>
            <w:noProof/>
          </w:rPr>
        </w:pPr>
        <w:r w:rsidRPr="00D850DE">
          <w:rPr>
            <w:rFonts w:ascii="Times New Roman" w:hAnsi="Times New Roman" w:cs="Times New Roman"/>
            <w:noProof/>
          </w:rPr>
          <w:t>HH</w:t>
        </w:r>
        <w:r w:rsidR="008759C7">
          <w:rPr>
            <w:rFonts w:ascii="Times New Roman" w:hAnsi="Times New Roman" w:cs="Times New Roman"/>
            <w:noProof/>
          </w:rPr>
          <w:t xml:space="preserve"> 526-</w:t>
        </w:r>
        <w:r w:rsidRPr="00D850DE">
          <w:rPr>
            <w:rFonts w:ascii="Times New Roman" w:hAnsi="Times New Roman" w:cs="Times New Roman"/>
            <w:noProof/>
          </w:rPr>
          <w:t>26</w:t>
        </w:r>
      </w:p>
      <w:p w14:paraId="38E89D1F" w14:textId="1F2C39DC" w:rsidR="003D58A2" w:rsidRPr="00D850DE" w:rsidRDefault="003D58A2">
        <w:pPr>
          <w:pStyle w:val="Header"/>
          <w:jc w:val="right"/>
          <w:rPr>
            <w:rFonts w:ascii="Times New Roman" w:hAnsi="Times New Roman" w:cs="Times New Roman"/>
          </w:rPr>
        </w:pPr>
        <w:r w:rsidRPr="00D850DE">
          <w:rPr>
            <w:rFonts w:ascii="Times New Roman" w:hAnsi="Times New Roman" w:cs="Times New Roman"/>
            <w:noProof/>
          </w:rPr>
          <w:t>HCH</w:t>
        </w:r>
        <w:r>
          <w:rPr>
            <w:rFonts w:ascii="Times New Roman" w:hAnsi="Times New Roman" w:cs="Times New Roman"/>
            <w:noProof/>
          </w:rPr>
          <w:t xml:space="preserve"> </w:t>
        </w:r>
        <w:r w:rsidR="00E07706">
          <w:rPr>
            <w:rFonts w:ascii="Times New Roman" w:hAnsi="Times New Roman" w:cs="Times New Roman"/>
            <w:noProof/>
          </w:rPr>
          <w:t>4521/24</w:t>
        </w:r>
      </w:p>
    </w:sdtContent>
  </w:sdt>
  <w:p w14:paraId="4EE0778A" w14:textId="77777777" w:rsidR="003D58A2" w:rsidRDefault="003D58A2">
    <w:pPr>
      <w:pStyle w:val="Header"/>
      <w:ind w:left="7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324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F407C6"/>
    <w:multiLevelType w:val="multilevel"/>
    <w:tmpl w:val="B91E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AA671F"/>
    <w:multiLevelType w:val="hybridMultilevel"/>
    <w:tmpl w:val="36C2073A"/>
    <w:lvl w:ilvl="0" w:tplc="90488C84">
      <w:start w:val="1"/>
      <w:numFmt w:val="lowerLetter"/>
      <w:lvlText w:val="%1)"/>
      <w:lvlJc w:val="left"/>
      <w:pPr>
        <w:ind w:left="792" w:hanging="360"/>
      </w:pPr>
      <w:rPr>
        <w:rFonts w:hint="default"/>
      </w:rPr>
    </w:lvl>
    <w:lvl w:ilvl="1" w:tplc="30090019" w:tentative="1">
      <w:start w:val="1"/>
      <w:numFmt w:val="lowerLetter"/>
      <w:lvlText w:val="%2."/>
      <w:lvlJc w:val="left"/>
      <w:pPr>
        <w:ind w:left="1512" w:hanging="360"/>
      </w:pPr>
    </w:lvl>
    <w:lvl w:ilvl="2" w:tplc="3009001B" w:tentative="1">
      <w:start w:val="1"/>
      <w:numFmt w:val="lowerRoman"/>
      <w:lvlText w:val="%3."/>
      <w:lvlJc w:val="right"/>
      <w:pPr>
        <w:ind w:left="2232" w:hanging="180"/>
      </w:pPr>
    </w:lvl>
    <w:lvl w:ilvl="3" w:tplc="3009000F" w:tentative="1">
      <w:start w:val="1"/>
      <w:numFmt w:val="decimal"/>
      <w:lvlText w:val="%4."/>
      <w:lvlJc w:val="left"/>
      <w:pPr>
        <w:ind w:left="2952" w:hanging="360"/>
      </w:pPr>
    </w:lvl>
    <w:lvl w:ilvl="4" w:tplc="30090019" w:tentative="1">
      <w:start w:val="1"/>
      <w:numFmt w:val="lowerLetter"/>
      <w:lvlText w:val="%5."/>
      <w:lvlJc w:val="left"/>
      <w:pPr>
        <w:ind w:left="3672" w:hanging="360"/>
      </w:pPr>
    </w:lvl>
    <w:lvl w:ilvl="5" w:tplc="3009001B" w:tentative="1">
      <w:start w:val="1"/>
      <w:numFmt w:val="lowerRoman"/>
      <w:lvlText w:val="%6."/>
      <w:lvlJc w:val="right"/>
      <w:pPr>
        <w:ind w:left="4392" w:hanging="180"/>
      </w:pPr>
    </w:lvl>
    <w:lvl w:ilvl="6" w:tplc="3009000F" w:tentative="1">
      <w:start w:val="1"/>
      <w:numFmt w:val="decimal"/>
      <w:lvlText w:val="%7."/>
      <w:lvlJc w:val="left"/>
      <w:pPr>
        <w:ind w:left="5112" w:hanging="360"/>
      </w:pPr>
    </w:lvl>
    <w:lvl w:ilvl="7" w:tplc="30090019" w:tentative="1">
      <w:start w:val="1"/>
      <w:numFmt w:val="lowerLetter"/>
      <w:lvlText w:val="%8."/>
      <w:lvlJc w:val="left"/>
      <w:pPr>
        <w:ind w:left="5832" w:hanging="360"/>
      </w:pPr>
    </w:lvl>
    <w:lvl w:ilvl="8" w:tplc="3009001B" w:tentative="1">
      <w:start w:val="1"/>
      <w:numFmt w:val="lowerRoman"/>
      <w:lvlText w:val="%9."/>
      <w:lvlJc w:val="right"/>
      <w:pPr>
        <w:ind w:left="6552" w:hanging="180"/>
      </w:pPr>
    </w:lvl>
  </w:abstractNum>
  <w:abstractNum w:abstractNumId="3">
    <w:nsid w:val="4BE25677"/>
    <w:multiLevelType w:val="hybridMultilevel"/>
    <w:tmpl w:val="99BAF866"/>
    <w:lvl w:ilvl="0" w:tplc="54BC1352">
      <w:start w:val="6"/>
      <w:numFmt w:val="decimal"/>
      <w:lvlText w:val="[%1]"/>
      <w:lvlJc w:val="left"/>
      <w:pPr>
        <w:ind w:left="502" w:hanging="360"/>
      </w:pPr>
      <w:rPr>
        <w:rFonts w:hint="default"/>
        <w:b/>
        <w:bCs/>
        <w:i w:val="0"/>
        <w:iCs w:val="0"/>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545C0E58"/>
    <w:multiLevelType w:val="multilevel"/>
    <w:tmpl w:val="AED01132"/>
    <w:lvl w:ilvl="0">
      <w:start w:val="1"/>
      <w:numFmt w:val="decimal"/>
      <w:lvlText w:val="%1."/>
      <w:lvlJc w:val="left"/>
      <w:pPr>
        <w:ind w:left="720" w:hanging="360"/>
      </w:pPr>
      <w:rPr>
        <w:rFonts w:eastAsia="Calibri" w:hint="default"/>
        <w:b/>
        <w:bCs/>
        <w:i w:val="0"/>
        <w:iCs w:val="0"/>
        <w:color w:val="auto"/>
      </w:rPr>
    </w:lvl>
    <w:lvl w:ilvl="1">
      <w:start w:val="1"/>
      <w:numFmt w:val="decimal"/>
      <w:isLgl/>
      <w:lvlText w:val="%1.%2"/>
      <w:lvlJc w:val="left"/>
      <w:pPr>
        <w:ind w:left="780" w:hanging="4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5A38613D"/>
    <w:multiLevelType w:val="multilevel"/>
    <w:tmpl w:val="7D42ED3E"/>
    <w:lvl w:ilvl="0">
      <w:start w:val="3"/>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6">
    <w:nsid w:val="5D275840"/>
    <w:multiLevelType w:val="hybridMultilevel"/>
    <w:tmpl w:val="68E6C378"/>
    <w:lvl w:ilvl="0" w:tplc="ACB2A054">
      <w:start w:val="1"/>
      <w:numFmt w:val="decimal"/>
      <w:lvlText w:val="(%1)"/>
      <w:lvlJc w:val="left"/>
      <w:pPr>
        <w:ind w:left="1356" w:hanging="360"/>
      </w:pPr>
      <w:rPr>
        <w:rFonts w:hint="default"/>
        <w:sz w:val="22"/>
      </w:rPr>
    </w:lvl>
    <w:lvl w:ilvl="1" w:tplc="30090019" w:tentative="1">
      <w:start w:val="1"/>
      <w:numFmt w:val="lowerLetter"/>
      <w:lvlText w:val="%2."/>
      <w:lvlJc w:val="left"/>
      <w:pPr>
        <w:ind w:left="2076" w:hanging="360"/>
      </w:pPr>
    </w:lvl>
    <w:lvl w:ilvl="2" w:tplc="3009001B" w:tentative="1">
      <w:start w:val="1"/>
      <w:numFmt w:val="lowerRoman"/>
      <w:lvlText w:val="%3."/>
      <w:lvlJc w:val="right"/>
      <w:pPr>
        <w:ind w:left="2796" w:hanging="180"/>
      </w:pPr>
    </w:lvl>
    <w:lvl w:ilvl="3" w:tplc="3009000F" w:tentative="1">
      <w:start w:val="1"/>
      <w:numFmt w:val="decimal"/>
      <w:lvlText w:val="%4."/>
      <w:lvlJc w:val="left"/>
      <w:pPr>
        <w:ind w:left="3516" w:hanging="360"/>
      </w:pPr>
    </w:lvl>
    <w:lvl w:ilvl="4" w:tplc="30090019" w:tentative="1">
      <w:start w:val="1"/>
      <w:numFmt w:val="lowerLetter"/>
      <w:lvlText w:val="%5."/>
      <w:lvlJc w:val="left"/>
      <w:pPr>
        <w:ind w:left="4236" w:hanging="360"/>
      </w:pPr>
    </w:lvl>
    <w:lvl w:ilvl="5" w:tplc="3009001B" w:tentative="1">
      <w:start w:val="1"/>
      <w:numFmt w:val="lowerRoman"/>
      <w:lvlText w:val="%6."/>
      <w:lvlJc w:val="right"/>
      <w:pPr>
        <w:ind w:left="4956" w:hanging="180"/>
      </w:pPr>
    </w:lvl>
    <w:lvl w:ilvl="6" w:tplc="3009000F" w:tentative="1">
      <w:start w:val="1"/>
      <w:numFmt w:val="decimal"/>
      <w:lvlText w:val="%7."/>
      <w:lvlJc w:val="left"/>
      <w:pPr>
        <w:ind w:left="5676" w:hanging="360"/>
      </w:pPr>
    </w:lvl>
    <w:lvl w:ilvl="7" w:tplc="30090019" w:tentative="1">
      <w:start w:val="1"/>
      <w:numFmt w:val="lowerLetter"/>
      <w:lvlText w:val="%8."/>
      <w:lvlJc w:val="left"/>
      <w:pPr>
        <w:ind w:left="6396" w:hanging="360"/>
      </w:pPr>
    </w:lvl>
    <w:lvl w:ilvl="8" w:tplc="3009001B" w:tentative="1">
      <w:start w:val="1"/>
      <w:numFmt w:val="lowerRoman"/>
      <w:lvlText w:val="%9."/>
      <w:lvlJc w:val="right"/>
      <w:pPr>
        <w:ind w:left="7116" w:hanging="180"/>
      </w:pPr>
    </w:lvl>
  </w:abstractNum>
  <w:abstractNum w:abstractNumId="7">
    <w:nsid w:val="5E4847A3"/>
    <w:multiLevelType w:val="multilevel"/>
    <w:tmpl w:val="F2D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C544B9"/>
    <w:multiLevelType w:val="hybridMultilevel"/>
    <w:tmpl w:val="5F8842C8"/>
    <w:lvl w:ilvl="0" w:tplc="9364EB26">
      <w:start w:val="5"/>
      <w:numFmt w:val="decimal"/>
      <w:lvlText w:val="[%1]"/>
      <w:lvlJc w:val="left"/>
      <w:pPr>
        <w:ind w:left="720" w:hanging="360"/>
      </w:pPr>
      <w:rPr>
        <w:rFonts w:hint="default"/>
        <w:b/>
        <w:bCs/>
        <w:i w:val="0"/>
        <w:iCs w:val="0"/>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nsid w:val="72847AD2"/>
    <w:multiLevelType w:val="hybridMultilevel"/>
    <w:tmpl w:val="22AA47F6"/>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nsid w:val="79E51939"/>
    <w:multiLevelType w:val="hybridMultilevel"/>
    <w:tmpl w:val="F54E406A"/>
    <w:lvl w:ilvl="0" w:tplc="6BC4C872">
      <w:start w:val="1"/>
      <w:numFmt w:val="decimal"/>
      <w:lvlText w:val="[%1]"/>
      <w:lvlJc w:val="left"/>
      <w:pPr>
        <w:ind w:left="720" w:hanging="360"/>
      </w:pPr>
      <w:rPr>
        <w:rFonts w:hint="default"/>
        <w:b/>
        <w:bCs/>
        <w:i w:val="0"/>
        <w:iCs w:val="0"/>
        <w:sz w:val="24"/>
      </w:r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nsid w:val="7EEE52A8"/>
    <w:multiLevelType w:val="multilevel"/>
    <w:tmpl w:val="7E447C16"/>
    <w:lvl w:ilvl="0">
      <w:start w:val="1"/>
      <w:numFmt w:val="decimal"/>
      <w:lvlText w:val="%1"/>
      <w:lvlJc w:val="left"/>
      <w:pPr>
        <w:ind w:left="564" w:hanging="564"/>
      </w:pPr>
      <w:rPr>
        <w:rFonts w:hint="default"/>
      </w:rPr>
    </w:lvl>
    <w:lvl w:ilvl="1">
      <w:start w:val="1"/>
      <w:numFmt w:val="decimal"/>
      <w:lvlText w:val="%1.%2"/>
      <w:lvlJc w:val="left"/>
      <w:pPr>
        <w:ind w:left="996" w:hanging="564"/>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num w:numId="1">
    <w:abstractNumId w:val="0"/>
  </w:num>
  <w:num w:numId="2">
    <w:abstractNumId w:val="10"/>
  </w:num>
  <w:num w:numId="3">
    <w:abstractNumId w:val="11"/>
  </w:num>
  <w:num w:numId="4">
    <w:abstractNumId w:val="5"/>
  </w:num>
  <w:num w:numId="5">
    <w:abstractNumId w:val="2"/>
  </w:num>
  <w:num w:numId="6">
    <w:abstractNumId w:val="9"/>
  </w:num>
  <w:num w:numId="7">
    <w:abstractNumId w:val="7"/>
  </w:num>
  <w:num w:numId="8">
    <w:abstractNumId w:val="6"/>
  </w:num>
  <w:num w:numId="9">
    <w:abstractNumId w:val="4"/>
  </w:num>
  <w:num w:numId="10">
    <w:abstractNumId w:val="1"/>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8A2"/>
    <w:rsid w:val="000058E1"/>
    <w:rsid w:val="00023A1D"/>
    <w:rsid w:val="000250D7"/>
    <w:rsid w:val="000348CF"/>
    <w:rsid w:val="0005362C"/>
    <w:rsid w:val="000827C7"/>
    <w:rsid w:val="0008592E"/>
    <w:rsid w:val="000B00B3"/>
    <w:rsid w:val="00102EDF"/>
    <w:rsid w:val="001063CE"/>
    <w:rsid w:val="0012026F"/>
    <w:rsid w:val="0012408B"/>
    <w:rsid w:val="001269E6"/>
    <w:rsid w:val="00145811"/>
    <w:rsid w:val="001678F6"/>
    <w:rsid w:val="00186413"/>
    <w:rsid w:val="001A5178"/>
    <w:rsid w:val="001A52B7"/>
    <w:rsid w:val="001C3B36"/>
    <w:rsid w:val="001D287D"/>
    <w:rsid w:val="001E6739"/>
    <w:rsid w:val="001F6453"/>
    <w:rsid w:val="002059BB"/>
    <w:rsid w:val="00205A38"/>
    <w:rsid w:val="00206645"/>
    <w:rsid w:val="002276AE"/>
    <w:rsid w:val="0024455A"/>
    <w:rsid w:val="00261651"/>
    <w:rsid w:val="002617A9"/>
    <w:rsid w:val="00262D97"/>
    <w:rsid w:val="00276B70"/>
    <w:rsid w:val="00281481"/>
    <w:rsid w:val="002863B1"/>
    <w:rsid w:val="002A6C2C"/>
    <w:rsid w:val="002B4284"/>
    <w:rsid w:val="002C3FB1"/>
    <w:rsid w:val="002D7F2C"/>
    <w:rsid w:val="002E5DF6"/>
    <w:rsid w:val="002F4FD9"/>
    <w:rsid w:val="00321D9F"/>
    <w:rsid w:val="00326BB5"/>
    <w:rsid w:val="00326DE3"/>
    <w:rsid w:val="00345D03"/>
    <w:rsid w:val="003478F8"/>
    <w:rsid w:val="00354ED7"/>
    <w:rsid w:val="00360D4A"/>
    <w:rsid w:val="00380A54"/>
    <w:rsid w:val="00385077"/>
    <w:rsid w:val="00387C5E"/>
    <w:rsid w:val="00392D36"/>
    <w:rsid w:val="003A2706"/>
    <w:rsid w:val="003A47AA"/>
    <w:rsid w:val="003B123E"/>
    <w:rsid w:val="003B458E"/>
    <w:rsid w:val="003C5AB9"/>
    <w:rsid w:val="003D58A2"/>
    <w:rsid w:val="003D69F4"/>
    <w:rsid w:val="003F0F29"/>
    <w:rsid w:val="003F5561"/>
    <w:rsid w:val="003F6C67"/>
    <w:rsid w:val="003F7672"/>
    <w:rsid w:val="00402533"/>
    <w:rsid w:val="004123C2"/>
    <w:rsid w:val="0041330F"/>
    <w:rsid w:val="00413D98"/>
    <w:rsid w:val="0041767F"/>
    <w:rsid w:val="00417693"/>
    <w:rsid w:val="00417AC6"/>
    <w:rsid w:val="00432A11"/>
    <w:rsid w:val="00446139"/>
    <w:rsid w:val="00452632"/>
    <w:rsid w:val="00463E72"/>
    <w:rsid w:val="004746B2"/>
    <w:rsid w:val="00475886"/>
    <w:rsid w:val="0048130D"/>
    <w:rsid w:val="004A3537"/>
    <w:rsid w:val="004A3D35"/>
    <w:rsid w:val="004A617B"/>
    <w:rsid w:val="004C7677"/>
    <w:rsid w:val="004E5ACC"/>
    <w:rsid w:val="004F1DB5"/>
    <w:rsid w:val="004F4D83"/>
    <w:rsid w:val="004F7408"/>
    <w:rsid w:val="00502E2B"/>
    <w:rsid w:val="005047EE"/>
    <w:rsid w:val="00510FE2"/>
    <w:rsid w:val="0051480B"/>
    <w:rsid w:val="00530B6A"/>
    <w:rsid w:val="00536CB6"/>
    <w:rsid w:val="0053742E"/>
    <w:rsid w:val="00552482"/>
    <w:rsid w:val="0056266F"/>
    <w:rsid w:val="005735F4"/>
    <w:rsid w:val="005833FA"/>
    <w:rsid w:val="00590B79"/>
    <w:rsid w:val="005A1B69"/>
    <w:rsid w:val="005A4B84"/>
    <w:rsid w:val="005C06B4"/>
    <w:rsid w:val="005C508A"/>
    <w:rsid w:val="005C5ADE"/>
    <w:rsid w:val="005D30EB"/>
    <w:rsid w:val="005E2BE8"/>
    <w:rsid w:val="00603215"/>
    <w:rsid w:val="00607678"/>
    <w:rsid w:val="00612CFC"/>
    <w:rsid w:val="006175C8"/>
    <w:rsid w:val="00641848"/>
    <w:rsid w:val="00670538"/>
    <w:rsid w:val="00673053"/>
    <w:rsid w:val="00674AE5"/>
    <w:rsid w:val="0067609F"/>
    <w:rsid w:val="006913D8"/>
    <w:rsid w:val="006B7837"/>
    <w:rsid w:val="006C5078"/>
    <w:rsid w:val="00701E55"/>
    <w:rsid w:val="00703FC1"/>
    <w:rsid w:val="00722AD9"/>
    <w:rsid w:val="00725B89"/>
    <w:rsid w:val="00741AB4"/>
    <w:rsid w:val="00754DD2"/>
    <w:rsid w:val="00757AB1"/>
    <w:rsid w:val="007602B0"/>
    <w:rsid w:val="00764FD6"/>
    <w:rsid w:val="0078115D"/>
    <w:rsid w:val="007A47CA"/>
    <w:rsid w:val="007A7752"/>
    <w:rsid w:val="007C6A6C"/>
    <w:rsid w:val="007F205F"/>
    <w:rsid w:val="00801661"/>
    <w:rsid w:val="008060A0"/>
    <w:rsid w:val="00810329"/>
    <w:rsid w:val="00811C9E"/>
    <w:rsid w:val="00812600"/>
    <w:rsid w:val="0081490A"/>
    <w:rsid w:val="00823970"/>
    <w:rsid w:val="00840CD4"/>
    <w:rsid w:val="0084671B"/>
    <w:rsid w:val="00850F30"/>
    <w:rsid w:val="00851064"/>
    <w:rsid w:val="008522B2"/>
    <w:rsid w:val="00860B2B"/>
    <w:rsid w:val="00863674"/>
    <w:rsid w:val="0087066F"/>
    <w:rsid w:val="008756E2"/>
    <w:rsid w:val="008759C7"/>
    <w:rsid w:val="00884F46"/>
    <w:rsid w:val="00885182"/>
    <w:rsid w:val="00894E16"/>
    <w:rsid w:val="008A4D5B"/>
    <w:rsid w:val="008B0767"/>
    <w:rsid w:val="008B4EC0"/>
    <w:rsid w:val="008C2557"/>
    <w:rsid w:val="008C3A61"/>
    <w:rsid w:val="008C6CBE"/>
    <w:rsid w:val="008D179E"/>
    <w:rsid w:val="008E2B05"/>
    <w:rsid w:val="008E6032"/>
    <w:rsid w:val="008E67DD"/>
    <w:rsid w:val="008F4C08"/>
    <w:rsid w:val="00911EB3"/>
    <w:rsid w:val="00911FD9"/>
    <w:rsid w:val="0091546B"/>
    <w:rsid w:val="00916898"/>
    <w:rsid w:val="0092154F"/>
    <w:rsid w:val="00924A2E"/>
    <w:rsid w:val="009434B1"/>
    <w:rsid w:val="00960ED5"/>
    <w:rsid w:val="0097700F"/>
    <w:rsid w:val="0098295A"/>
    <w:rsid w:val="009847E0"/>
    <w:rsid w:val="0098571B"/>
    <w:rsid w:val="00996C66"/>
    <w:rsid w:val="009A3AA2"/>
    <w:rsid w:val="009D3CBC"/>
    <w:rsid w:val="009E0441"/>
    <w:rsid w:val="00A07FEC"/>
    <w:rsid w:val="00A12741"/>
    <w:rsid w:val="00A2147C"/>
    <w:rsid w:val="00A30F14"/>
    <w:rsid w:val="00A52836"/>
    <w:rsid w:val="00A54FDA"/>
    <w:rsid w:val="00A62219"/>
    <w:rsid w:val="00A64F9C"/>
    <w:rsid w:val="00A70296"/>
    <w:rsid w:val="00A726CB"/>
    <w:rsid w:val="00A85233"/>
    <w:rsid w:val="00AB1449"/>
    <w:rsid w:val="00AC16A6"/>
    <w:rsid w:val="00AC69C0"/>
    <w:rsid w:val="00AD31E8"/>
    <w:rsid w:val="00AD5568"/>
    <w:rsid w:val="00AD641F"/>
    <w:rsid w:val="00AE02AA"/>
    <w:rsid w:val="00B05645"/>
    <w:rsid w:val="00B20D95"/>
    <w:rsid w:val="00B370FC"/>
    <w:rsid w:val="00B37D9A"/>
    <w:rsid w:val="00B72884"/>
    <w:rsid w:val="00B74C7D"/>
    <w:rsid w:val="00B93B13"/>
    <w:rsid w:val="00BA3580"/>
    <w:rsid w:val="00BA7262"/>
    <w:rsid w:val="00BC3C4C"/>
    <w:rsid w:val="00BC454E"/>
    <w:rsid w:val="00BD0B49"/>
    <w:rsid w:val="00BD3D2B"/>
    <w:rsid w:val="00BE77CD"/>
    <w:rsid w:val="00BF6648"/>
    <w:rsid w:val="00C104F8"/>
    <w:rsid w:val="00C46B3A"/>
    <w:rsid w:val="00C55020"/>
    <w:rsid w:val="00C74C8F"/>
    <w:rsid w:val="00C81E8C"/>
    <w:rsid w:val="00C96B4B"/>
    <w:rsid w:val="00CA11E0"/>
    <w:rsid w:val="00CA5163"/>
    <w:rsid w:val="00CB2DB5"/>
    <w:rsid w:val="00CD0ED7"/>
    <w:rsid w:val="00D0136A"/>
    <w:rsid w:val="00D12055"/>
    <w:rsid w:val="00D43357"/>
    <w:rsid w:val="00D551C8"/>
    <w:rsid w:val="00D61005"/>
    <w:rsid w:val="00D71F96"/>
    <w:rsid w:val="00D842EF"/>
    <w:rsid w:val="00DB3462"/>
    <w:rsid w:val="00DC3E47"/>
    <w:rsid w:val="00DC56BA"/>
    <w:rsid w:val="00DD60A8"/>
    <w:rsid w:val="00DE01D1"/>
    <w:rsid w:val="00DF1936"/>
    <w:rsid w:val="00E07706"/>
    <w:rsid w:val="00E0790C"/>
    <w:rsid w:val="00E154BD"/>
    <w:rsid w:val="00E232A3"/>
    <w:rsid w:val="00E452AD"/>
    <w:rsid w:val="00E4684D"/>
    <w:rsid w:val="00E55432"/>
    <w:rsid w:val="00E63366"/>
    <w:rsid w:val="00E64611"/>
    <w:rsid w:val="00E75FDA"/>
    <w:rsid w:val="00E86CE7"/>
    <w:rsid w:val="00EB7C7E"/>
    <w:rsid w:val="00EC0872"/>
    <w:rsid w:val="00EC7DDB"/>
    <w:rsid w:val="00EE29B0"/>
    <w:rsid w:val="00F022D6"/>
    <w:rsid w:val="00F0324F"/>
    <w:rsid w:val="00F04285"/>
    <w:rsid w:val="00F05CB4"/>
    <w:rsid w:val="00F65221"/>
    <w:rsid w:val="00F704D4"/>
    <w:rsid w:val="00F776B6"/>
    <w:rsid w:val="00F8790C"/>
    <w:rsid w:val="00FB0F29"/>
    <w:rsid w:val="00FC266D"/>
    <w:rsid w:val="00FF728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58A2"/>
    <w:pPr>
      <w:spacing w:line="278" w:lineRule="auto"/>
    </w:pPr>
    <w:rPr>
      <w:rFonts w:eastAsiaTheme="minorEastAsia"/>
      <w:kern w:val="2"/>
      <w:sz w:val="24"/>
      <w:szCs w:val="24"/>
      <w:lang w:eastAsia="en-GB"/>
      <w14:ligatures w14:val="standardContextual"/>
    </w:rPr>
  </w:style>
  <w:style w:type="paragraph" w:styleId="Heading1">
    <w:name w:val="heading 1"/>
    <w:basedOn w:val="Normal"/>
    <w:next w:val="Normal"/>
    <w:link w:val="Heading1Char"/>
    <w:uiPriority w:val="9"/>
    <w:qFormat/>
    <w:rsid w:val="003D5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A2"/>
    <w:rPr>
      <w:rFonts w:eastAsiaTheme="majorEastAsia" w:cstheme="majorBidi"/>
      <w:color w:val="272727" w:themeColor="text1" w:themeTint="D8"/>
    </w:rPr>
  </w:style>
  <w:style w:type="paragraph" w:styleId="Title">
    <w:name w:val="Title"/>
    <w:basedOn w:val="Normal"/>
    <w:next w:val="Normal"/>
    <w:link w:val="TitleChar"/>
    <w:uiPriority w:val="10"/>
    <w:qFormat/>
    <w:rsid w:val="003D5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A2"/>
    <w:pPr>
      <w:spacing w:before="160"/>
      <w:jc w:val="center"/>
    </w:pPr>
    <w:rPr>
      <w:i/>
      <w:iCs/>
      <w:color w:val="404040" w:themeColor="text1" w:themeTint="BF"/>
    </w:rPr>
  </w:style>
  <w:style w:type="character" w:customStyle="1" w:styleId="QuoteChar">
    <w:name w:val="Quote Char"/>
    <w:basedOn w:val="DefaultParagraphFont"/>
    <w:link w:val="Quote"/>
    <w:uiPriority w:val="29"/>
    <w:rsid w:val="003D58A2"/>
    <w:rPr>
      <w:i/>
      <w:iCs/>
      <w:color w:val="404040" w:themeColor="text1" w:themeTint="BF"/>
    </w:rPr>
  </w:style>
  <w:style w:type="paragraph" w:styleId="ListParagraph">
    <w:name w:val="List Paragraph"/>
    <w:basedOn w:val="Normal"/>
    <w:uiPriority w:val="34"/>
    <w:qFormat/>
    <w:rsid w:val="003D58A2"/>
    <w:pPr>
      <w:ind w:left="720"/>
      <w:contextualSpacing/>
    </w:pPr>
  </w:style>
  <w:style w:type="character" w:styleId="IntenseEmphasis">
    <w:name w:val="Intense Emphasis"/>
    <w:basedOn w:val="DefaultParagraphFont"/>
    <w:uiPriority w:val="21"/>
    <w:qFormat/>
    <w:rsid w:val="003D58A2"/>
    <w:rPr>
      <w:i/>
      <w:iCs/>
      <w:color w:val="2F5496" w:themeColor="accent1" w:themeShade="BF"/>
    </w:rPr>
  </w:style>
  <w:style w:type="paragraph" w:styleId="IntenseQuote">
    <w:name w:val="Intense Quote"/>
    <w:basedOn w:val="Normal"/>
    <w:next w:val="Normal"/>
    <w:link w:val="IntenseQuoteChar"/>
    <w:uiPriority w:val="30"/>
    <w:qFormat/>
    <w:rsid w:val="003D5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8A2"/>
    <w:rPr>
      <w:i/>
      <w:iCs/>
      <w:color w:val="2F5496" w:themeColor="accent1" w:themeShade="BF"/>
    </w:rPr>
  </w:style>
  <w:style w:type="character" w:styleId="IntenseReference">
    <w:name w:val="Intense Reference"/>
    <w:basedOn w:val="DefaultParagraphFont"/>
    <w:uiPriority w:val="32"/>
    <w:qFormat/>
    <w:rsid w:val="003D58A2"/>
    <w:rPr>
      <w:b/>
      <w:bCs/>
      <w:smallCaps/>
      <w:color w:val="2F5496" w:themeColor="accent1" w:themeShade="BF"/>
      <w:spacing w:val="5"/>
    </w:rPr>
  </w:style>
  <w:style w:type="paragraph" w:styleId="Header">
    <w:name w:val="header"/>
    <w:basedOn w:val="Normal"/>
    <w:link w:val="HeaderChar"/>
    <w:uiPriority w:val="99"/>
    <w:unhideWhenUsed/>
    <w:rsid w:val="003D5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8A2"/>
    <w:rPr>
      <w:rFonts w:eastAsiaTheme="minorEastAsia"/>
      <w:kern w:val="2"/>
      <w:sz w:val="24"/>
      <w:szCs w:val="24"/>
      <w:lang w:eastAsia="en-GB"/>
      <w14:ligatures w14:val="standardContextual"/>
    </w:rPr>
  </w:style>
  <w:style w:type="paragraph" w:styleId="Footer">
    <w:name w:val="footer"/>
    <w:basedOn w:val="Normal"/>
    <w:link w:val="FooterChar"/>
    <w:uiPriority w:val="99"/>
    <w:unhideWhenUsed/>
    <w:rsid w:val="00E077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706"/>
    <w:rPr>
      <w:rFonts w:eastAsiaTheme="minorEastAsia"/>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0250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50D7"/>
    <w:rPr>
      <w:rFonts w:eastAsiaTheme="minorEastAsia"/>
      <w:kern w:val="2"/>
      <w:sz w:val="20"/>
      <w:szCs w:val="20"/>
      <w:lang w:eastAsia="en-GB"/>
      <w14:ligatures w14:val="standardContextual"/>
    </w:rPr>
  </w:style>
  <w:style w:type="character" w:styleId="FootnoteReference">
    <w:name w:val="footnote reference"/>
    <w:basedOn w:val="DefaultParagraphFont"/>
    <w:uiPriority w:val="99"/>
    <w:semiHidden/>
    <w:unhideWhenUsed/>
    <w:rsid w:val="000250D7"/>
    <w:rPr>
      <w:vertAlign w:val="superscript"/>
    </w:rPr>
  </w:style>
  <w:style w:type="paragraph" w:customStyle="1" w:styleId="lrsection">
    <w:name w:val="lr section"/>
    <w:basedOn w:val="Normal"/>
    <w:rsid w:val="00D0136A"/>
    <w:pPr>
      <w:tabs>
        <w:tab w:val="left" w:pos="369"/>
      </w:tabs>
      <w:overflowPunct w:val="0"/>
      <w:autoSpaceDE w:val="0"/>
      <w:autoSpaceDN w:val="0"/>
      <w:adjustRightInd w:val="0"/>
      <w:spacing w:after="80" w:line="300" w:lineRule="exact"/>
      <w:ind w:firstLine="369"/>
      <w:jc w:val="both"/>
      <w:textAlignment w:val="baseline"/>
    </w:pPr>
    <w:rPr>
      <w:rFonts w:ascii="Times New Roman" w:eastAsia="Times New Roman" w:hAnsi="Times New Roman" w:cs="Times New Roman"/>
      <w:kern w:val="0"/>
      <w:sz w:val="22"/>
      <w:szCs w:val="20"/>
      <w:lang w:val="en-GB" w:eastAsia="en-US"/>
      <w14:ligatures w14:val="none"/>
    </w:rPr>
  </w:style>
  <w:style w:type="paragraph" w:customStyle="1" w:styleId="lrpara-a">
    <w:name w:val="lr para-a"/>
    <w:basedOn w:val="Normal"/>
    <w:rsid w:val="00D0136A"/>
    <w:pPr>
      <w:tabs>
        <w:tab w:val="right" w:pos="680"/>
        <w:tab w:val="left" w:pos="822"/>
        <w:tab w:val="left" w:pos="1276"/>
      </w:tabs>
      <w:overflowPunct w:val="0"/>
      <w:autoSpaceDE w:val="0"/>
      <w:autoSpaceDN w:val="0"/>
      <w:adjustRightInd w:val="0"/>
      <w:spacing w:after="80" w:line="300" w:lineRule="exact"/>
      <w:ind w:left="822" w:hanging="822"/>
      <w:jc w:val="both"/>
      <w:textAlignment w:val="baseline"/>
    </w:pPr>
    <w:rPr>
      <w:rFonts w:ascii="Times New Roman" w:eastAsia="Times New Roman" w:hAnsi="Times New Roman" w:cs="Times New Roman"/>
      <w:kern w:val="0"/>
      <w:sz w:val="22"/>
      <w:szCs w:val="20"/>
      <w:lang w:val="en-GB" w:eastAsia="en-US"/>
      <w14:ligatures w14:val="none"/>
    </w:rPr>
  </w:style>
  <w:style w:type="paragraph" w:customStyle="1" w:styleId="lrsecthead">
    <w:name w:val="lr secthead"/>
    <w:basedOn w:val="Normal"/>
    <w:next w:val="lrsection"/>
    <w:rsid w:val="00D0136A"/>
    <w:pPr>
      <w:keepNext/>
      <w:keepLines/>
      <w:tabs>
        <w:tab w:val="left" w:pos="369"/>
      </w:tabs>
      <w:overflowPunct w:val="0"/>
      <w:autoSpaceDE w:val="0"/>
      <w:autoSpaceDN w:val="0"/>
      <w:adjustRightInd w:val="0"/>
      <w:spacing w:before="120" w:after="80" w:line="300" w:lineRule="exact"/>
      <w:ind w:left="369" w:hanging="369"/>
      <w:textAlignment w:val="baseline"/>
    </w:pPr>
    <w:rPr>
      <w:rFonts w:ascii="Arial" w:eastAsia="Times New Roman" w:hAnsi="Arial" w:cs="Times New Roman"/>
      <w:b/>
      <w:kern w:val="0"/>
      <w:sz w:val="22"/>
      <w:szCs w:val="20"/>
      <w:lang w:val="en-GB" w:eastAsia="en-US"/>
      <w14:ligatures w14:val="none"/>
    </w:rPr>
  </w:style>
  <w:style w:type="paragraph" w:customStyle="1" w:styleId="lrpara-i">
    <w:name w:val="lr para-i"/>
    <w:basedOn w:val="Normal"/>
    <w:rsid w:val="00D0136A"/>
    <w:pPr>
      <w:tabs>
        <w:tab w:val="right" w:pos="1276"/>
        <w:tab w:val="left" w:pos="1474"/>
        <w:tab w:val="left" w:pos="1899"/>
      </w:tabs>
      <w:overflowPunct w:val="0"/>
      <w:autoSpaceDE w:val="0"/>
      <w:autoSpaceDN w:val="0"/>
      <w:adjustRightInd w:val="0"/>
      <w:spacing w:after="80" w:line="300" w:lineRule="exact"/>
      <w:ind w:left="1474" w:hanging="1474"/>
      <w:jc w:val="both"/>
      <w:textAlignment w:val="baseline"/>
    </w:pPr>
    <w:rPr>
      <w:rFonts w:ascii="Times New Roman" w:eastAsia="Times New Roman" w:hAnsi="Times New Roman" w:cs="Times New Roman"/>
      <w:kern w:val="0"/>
      <w:sz w:val="22"/>
      <w:szCs w:val="20"/>
      <w:lang w:val="en-GB" w:eastAsia="en-US"/>
      <w14:ligatures w14:val="none"/>
    </w:rPr>
  </w:style>
  <w:style w:type="paragraph" w:styleId="NoSpacing">
    <w:name w:val="No Spacing"/>
    <w:uiPriority w:val="1"/>
    <w:qFormat/>
    <w:rsid w:val="008D179E"/>
    <w:pPr>
      <w:keepLines/>
      <w:spacing w:before="100" w:beforeAutospacing="1" w:after="100" w:afterAutospacing="1" w:line="240" w:lineRule="auto"/>
      <w:contextualSpacing/>
    </w:pPr>
    <w:rPr>
      <w:rFonts w:ascii="Times New Roman" w:hAnsi="Times New Roman"/>
      <w:sz w:val="24"/>
      <w:lang w:val="en-US"/>
    </w:rPr>
  </w:style>
  <w:style w:type="character" w:styleId="CommentReference">
    <w:name w:val="annotation reference"/>
    <w:basedOn w:val="DefaultParagraphFont"/>
    <w:uiPriority w:val="99"/>
    <w:semiHidden/>
    <w:unhideWhenUsed/>
    <w:rsid w:val="005C06B4"/>
    <w:rPr>
      <w:sz w:val="16"/>
      <w:szCs w:val="16"/>
    </w:rPr>
  </w:style>
  <w:style w:type="paragraph" w:styleId="CommentText">
    <w:name w:val="annotation text"/>
    <w:basedOn w:val="Normal"/>
    <w:link w:val="CommentTextChar"/>
    <w:uiPriority w:val="99"/>
    <w:semiHidden/>
    <w:unhideWhenUsed/>
    <w:rsid w:val="005C06B4"/>
    <w:pPr>
      <w:spacing w:line="240" w:lineRule="auto"/>
    </w:pPr>
    <w:rPr>
      <w:sz w:val="20"/>
      <w:szCs w:val="20"/>
    </w:rPr>
  </w:style>
  <w:style w:type="character" w:customStyle="1" w:styleId="CommentTextChar">
    <w:name w:val="Comment Text Char"/>
    <w:basedOn w:val="DefaultParagraphFont"/>
    <w:link w:val="CommentText"/>
    <w:uiPriority w:val="99"/>
    <w:semiHidden/>
    <w:rsid w:val="005C06B4"/>
    <w:rPr>
      <w:rFonts w:eastAsiaTheme="minorEastAsia"/>
      <w:kern w:val="2"/>
      <w:sz w:val="20"/>
      <w:szCs w:val="20"/>
      <w:lang w:eastAsia="en-GB"/>
      <w14:ligatures w14:val="standardContextual"/>
    </w:rPr>
  </w:style>
  <w:style w:type="paragraph" w:styleId="CommentSubject">
    <w:name w:val="annotation subject"/>
    <w:basedOn w:val="CommentText"/>
    <w:next w:val="CommentText"/>
    <w:link w:val="CommentSubjectChar"/>
    <w:uiPriority w:val="99"/>
    <w:semiHidden/>
    <w:unhideWhenUsed/>
    <w:rsid w:val="005C06B4"/>
    <w:rPr>
      <w:b/>
      <w:bCs/>
    </w:rPr>
  </w:style>
  <w:style w:type="character" w:customStyle="1" w:styleId="CommentSubjectChar">
    <w:name w:val="Comment Subject Char"/>
    <w:basedOn w:val="CommentTextChar"/>
    <w:link w:val="CommentSubject"/>
    <w:uiPriority w:val="99"/>
    <w:semiHidden/>
    <w:rsid w:val="005C06B4"/>
    <w:rPr>
      <w:rFonts w:eastAsiaTheme="minorEastAsia"/>
      <w:b/>
      <w:bCs/>
      <w:kern w:val="2"/>
      <w:sz w:val="20"/>
      <w:szCs w:val="20"/>
      <w:lang w:eastAsia="en-GB"/>
      <w14:ligatures w14:val="standardContextual"/>
    </w:rPr>
  </w:style>
  <w:style w:type="paragraph" w:styleId="BalloonText">
    <w:name w:val="Balloon Text"/>
    <w:basedOn w:val="Normal"/>
    <w:link w:val="BalloonTextChar"/>
    <w:uiPriority w:val="99"/>
    <w:semiHidden/>
    <w:unhideWhenUsed/>
    <w:rsid w:val="005C06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06B4"/>
    <w:rPr>
      <w:rFonts w:ascii="Segoe UI" w:eastAsiaTheme="minorEastAsia" w:hAnsi="Segoe UI" w:cs="Segoe UI"/>
      <w:kern w:val="2"/>
      <w:sz w:val="18"/>
      <w:szCs w:val="18"/>
      <w:lang w:eastAsia="en-GB"/>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58A2"/>
    <w:pPr>
      <w:spacing w:line="278" w:lineRule="auto"/>
    </w:pPr>
    <w:rPr>
      <w:rFonts w:eastAsiaTheme="minorEastAsia"/>
      <w:kern w:val="2"/>
      <w:sz w:val="24"/>
      <w:szCs w:val="24"/>
      <w:lang w:eastAsia="en-GB"/>
      <w14:ligatures w14:val="standardContextual"/>
    </w:rPr>
  </w:style>
  <w:style w:type="paragraph" w:styleId="Heading1">
    <w:name w:val="heading 1"/>
    <w:basedOn w:val="Normal"/>
    <w:next w:val="Normal"/>
    <w:link w:val="Heading1Char"/>
    <w:uiPriority w:val="9"/>
    <w:qFormat/>
    <w:rsid w:val="003D5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A2"/>
    <w:rPr>
      <w:rFonts w:eastAsiaTheme="majorEastAsia" w:cstheme="majorBidi"/>
      <w:color w:val="272727" w:themeColor="text1" w:themeTint="D8"/>
    </w:rPr>
  </w:style>
  <w:style w:type="paragraph" w:styleId="Title">
    <w:name w:val="Title"/>
    <w:basedOn w:val="Normal"/>
    <w:next w:val="Normal"/>
    <w:link w:val="TitleChar"/>
    <w:uiPriority w:val="10"/>
    <w:qFormat/>
    <w:rsid w:val="003D5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A2"/>
    <w:pPr>
      <w:spacing w:before="160"/>
      <w:jc w:val="center"/>
    </w:pPr>
    <w:rPr>
      <w:i/>
      <w:iCs/>
      <w:color w:val="404040" w:themeColor="text1" w:themeTint="BF"/>
    </w:rPr>
  </w:style>
  <w:style w:type="character" w:customStyle="1" w:styleId="QuoteChar">
    <w:name w:val="Quote Char"/>
    <w:basedOn w:val="DefaultParagraphFont"/>
    <w:link w:val="Quote"/>
    <w:uiPriority w:val="29"/>
    <w:rsid w:val="003D58A2"/>
    <w:rPr>
      <w:i/>
      <w:iCs/>
      <w:color w:val="404040" w:themeColor="text1" w:themeTint="BF"/>
    </w:rPr>
  </w:style>
  <w:style w:type="paragraph" w:styleId="ListParagraph">
    <w:name w:val="List Paragraph"/>
    <w:basedOn w:val="Normal"/>
    <w:uiPriority w:val="34"/>
    <w:qFormat/>
    <w:rsid w:val="003D58A2"/>
    <w:pPr>
      <w:ind w:left="720"/>
      <w:contextualSpacing/>
    </w:pPr>
  </w:style>
  <w:style w:type="character" w:styleId="IntenseEmphasis">
    <w:name w:val="Intense Emphasis"/>
    <w:basedOn w:val="DefaultParagraphFont"/>
    <w:uiPriority w:val="21"/>
    <w:qFormat/>
    <w:rsid w:val="003D58A2"/>
    <w:rPr>
      <w:i/>
      <w:iCs/>
      <w:color w:val="2F5496" w:themeColor="accent1" w:themeShade="BF"/>
    </w:rPr>
  </w:style>
  <w:style w:type="paragraph" w:styleId="IntenseQuote">
    <w:name w:val="Intense Quote"/>
    <w:basedOn w:val="Normal"/>
    <w:next w:val="Normal"/>
    <w:link w:val="IntenseQuoteChar"/>
    <w:uiPriority w:val="30"/>
    <w:qFormat/>
    <w:rsid w:val="003D5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8A2"/>
    <w:rPr>
      <w:i/>
      <w:iCs/>
      <w:color w:val="2F5496" w:themeColor="accent1" w:themeShade="BF"/>
    </w:rPr>
  </w:style>
  <w:style w:type="character" w:styleId="IntenseReference">
    <w:name w:val="Intense Reference"/>
    <w:basedOn w:val="DefaultParagraphFont"/>
    <w:uiPriority w:val="32"/>
    <w:qFormat/>
    <w:rsid w:val="003D58A2"/>
    <w:rPr>
      <w:b/>
      <w:bCs/>
      <w:smallCaps/>
      <w:color w:val="2F5496" w:themeColor="accent1" w:themeShade="BF"/>
      <w:spacing w:val="5"/>
    </w:rPr>
  </w:style>
  <w:style w:type="paragraph" w:styleId="Header">
    <w:name w:val="header"/>
    <w:basedOn w:val="Normal"/>
    <w:link w:val="HeaderChar"/>
    <w:uiPriority w:val="99"/>
    <w:unhideWhenUsed/>
    <w:rsid w:val="003D5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8A2"/>
    <w:rPr>
      <w:rFonts w:eastAsiaTheme="minorEastAsia"/>
      <w:kern w:val="2"/>
      <w:sz w:val="24"/>
      <w:szCs w:val="24"/>
      <w:lang w:eastAsia="en-GB"/>
      <w14:ligatures w14:val="standardContextual"/>
    </w:rPr>
  </w:style>
  <w:style w:type="paragraph" w:styleId="Footer">
    <w:name w:val="footer"/>
    <w:basedOn w:val="Normal"/>
    <w:link w:val="FooterChar"/>
    <w:uiPriority w:val="99"/>
    <w:unhideWhenUsed/>
    <w:rsid w:val="00E077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706"/>
    <w:rPr>
      <w:rFonts w:eastAsiaTheme="minorEastAsia"/>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0250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50D7"/>
    <w:rPr>
      <w:rFonts w:eastAsiaTheme="minorEastAsia"/>
      <w:kern w:val="2"/>
      <w:sz w:val="20"/>
      <w:szCs w:val="20"/>
      <w:lang w:eastAsia="en-GB"/>
      <w14:ligatures w14:val="standardContextual"/>
    </w:rPr>
  </w:style>
  <w:style w:type="character" w:styleId="FootnoteReference">
    <w:name w:val="footnote reference"/>
    <w:basedOn w:val="DefaultParagraphFont"/>
    <w:uiPriority w:val="99"/>
    <w:semiHidden/>
    <w:unhideWhenUsed/>
    <w:rsid w:val="000250D7"/>
    <w:rPr>
      <w:vertAlign w:val="superscript"/>
    </w:rPr>
  </w:style>
  <w:style w:type="paragraph" w:customStyle="1" w:styleId="lrsection">
    <w:name w:val="lr section"/>
    <w:basedOn w:val="Normal"/>
    <w:rsid w:val="00D0136A"/>
    <w:pPr>
      <w:tabs>
        <w:tab w:val="left" w:pos="369"/>
      </w:tabs>
      <w:overflowPunct w:val="0"/>
      <w:autoSpaceDE w:val="0"/>
      <w:autoSpaceDN w:val="0"/>
      <w:adjustRightInd w:val="0"/>
      <w:spacing w:after="80" w:line="300" w:lineRule="exact"/>
      <w:ind w:firstLine="369"/>
      <w:jc w:val="both"/>
      <w:textAlignment w:val="baseline"/>
    </w:pPr>
    <w:rPr>
      <w:rFonts w:ascii="Times New Roman" w:eastAsia="Times New Roman" w:hAnsi="Times New Roman" w:cs="Times New Roman"/>
      <w:kern w:val="0"/>
      <w:sz w:val="22"/>
      <w:szCs w:val="20"/>
      <w:lang w:val="en-GB" w:eastAsia="en-US"/>
      <w14:ligatures w14:val="none"/>
    </w:rPr>
  </w:style>
  <w:style w:type="paragraph" w:customStyle="1" w:styleId="lrpara-a">
    <w:name w:val="lr para-a"/>
    <w:basedOn w:val="Normal"/>
    <w:rsid w:val="00D0136A"/>
    <w:pPr>
      <w:tabs>
        <w:tab w:val="right" w:pos="680"/>
        <w:tab w:val="left" w:pos="822"/>
        <w:tab w:val="left" w:pos="1276"/>
      </w:tabs>
      <w:overflowPunct w:val="0"/>
      <w:autoSpaceDE w:val="0"/>
      <w:autoSpaceDN w:val="0"/>
      <w:adjustRightInd w:val="0"/>
      <w:spacing w:after="80" w:line="300" w:lineRule="exact"/>
      <w:ind w:left="822" w:hanging="822"/>
      <w:jc w:val="both"/>
      <w:textAlignment w:val="baseline"/>
    </w:pPr>
    <w:rPr>
      <w:rFonts w:ascii="Times New Roman" w:eastAsia="Times New Roman" w:hAnsi="Times New Roman" w:cs="Times New Roman"/>
      <w:kern w:val="0"/>
      <w:sz w:val="22"/>
      <w:szCs w:val="20"/>
      <w:lang w:val="en-GB" w:eastAsia="en-US"/>
      <w14:ligatures w14:val="none"/>
    </w:rPr>
  </w:style>
  <w:style w:type="paragraph" w:customStyle="1" w:styleId="lrsecthead">
    <w:name w:val="lr secthead"/>
    <w:basedOn w:val="Normal"/>
    <w:next w:val="lrsection"/>
    <w:rsid w:val="00D0136A"/>
    <w:pPr>
      <w:keepNext/>
      <w:keepLines/>
      <w:tabs>
        <w:tab w:val="left" w:pos="369"/>
      </w:tabs>
      <w:overflowPunct w:val="0"/>
      <w:autoSpaceDE w:val="0"/>
      <w:autoSpaceDN w:val="0"/>
      <w:adjustRightInd w:val="0"/>
      <w:spacing w:before="120" w:after="80" w:line="300" w:lineRule="exact"/>
      <w:ind w:left="369" w:hanging="369"/>
      <w:textAlignment w:val="baseline"/>
    </w:pPr>
    <w:rPr>
      <w:rFonts w:ascii="Arial" w:eastAsia="Times New Roman" w:hAnsi="Arial" w:cs="Times New Roman"/>
      <w:b/>
      <w:kern w:val="0"/>
      <w:sz w:val="22"/>
      <w:szCs w:val="20"/>
      <w:lang w:val="en-GB" w:eastAsia="en-US"/>
      <w14:ligatures w14:val="none"/>
    </w:rPr>
  </w:style>
  <w:style w:type="paragraph" w:customStyle="1" w:styleId="lrpara-i">
    <w:name w:val="lr para-i"/>
    <w:basedOn w:val="Normal"/>
    <w:rsid w:val="00D0136A"/>
    <w:pPr>
      <w:tabs>
        <w:tab w:val="right" w:pos="1276"/>
        <w:tab w:val="left" w:pos="1474"/>
        <w:tab w:val="left" w:pos="1899"/>
      </w:tabs>
      <w:overflowPunct w:val="0"/>
      <w:autoSpaceDE w:val="0"/>
      <w:autoSpaceDN w:val="0"/>
      <w:adjustRightInd w:val="0"/>
      <w:spacing w:after="80" w:line="300" w:lineRule="exact"/>
      <w:ind w:left="1474" w:hanging="1474"/>
      <w:jc w:val="both"/>
      <w:textAlignment w:val="baseline"/>
    </w:pPr>
    <w:rPr>
      <w:rFonts w:ascii="Times New Roman" w:eastAsia="Times New Roman" w:hAnsi="Times New Roman" w:cs="Times New Roman"/>
      <w:kern w:val="0"/>
      <w:sz w:val="22"/>
      <w:szCs w:val="20"/>
      <w:lang w:val="en-GB" w:eastAsia="en-US"/>
      <w14:ligatures w14:val="none"/>
    </w:rPr>
  </w:style>
  <w:style w:type="paragraph" w:styleId="NoSpacing">
    <w:name w:val="No Spacing"/>
    <w:uiPriority w:val="1"/>
    <w:qFormat/>
    <w:rsid w:val="008D179E"/>
    <w:pPr>
      <w:keepLines/>
      <w:spacing w:before="100" w:beforeAutospacing="1" w:after="100" w:afterAutospacing="1" w:line="240" w:lineRule="auto"/>
      <w:contextualSpacing/>
    </w:pPr>
    <w:rPr>
      <w:rFonts w:ascii="Times New Roman" w:hAnsi="Times New Roman"/>
      <w:sz w:val="24"/>
      <w:lang w:val="en-US"/>
    </w:rPr>
  </w:style>
  <w:style w:type="character" w:styleId="CommentReference">
    <w:name w:val="annotation reference"/>
    <w:basedOn w:val="DefaultParagraphFont"/>
    <w:uiPriority w:val="99"/>
    <w:semiHidden/>
    <w:unhideWhenUsed/>
    <w:rsid w:val="005C06B4"/>
    <w:rPr>
      <w:sz w:val="16"/>
      <w:szCs w:val="16"/>
    </w:rPr>
  </w:style>
  <w:style w:type="paragraph" w:styleId="CommentText">
    <w:name w:val="annotation text"/>
    <w:basedOn w:val="Normal"/>
    <w:link w:val="CommentTextChar"/>
    <w:uiPriority w:val="99"/>
    <w:semiHidden/>
    <w:unhideWhenUsed/>
    <w:rsid w:val="005C06B4"/>
    <w:pPr>
      <w:spacing w:line="240" w:lineRule="auto"/>
    </w:pPr>
    <w:rPr>
      <w:sz w:val="20"/>
      <w:szCs w:val="20"/>
    </w:rPr>
  </w:style>
  <w:style w:type="character" w:customStyle="1" w:styleId="CommentTextChar">
    <w:name w:val="Comment Text Char"/>
    <w:basedOn w:val="DefaultParagraphFont"/>
    <w:link w:val="CommentText"/>
    <w:uiPriority w:val="99"/>
    <w:semiHidden/>
    <w:rsid w:val="005C06B4"/>
    <w:rPr>
      <w:rFonts w:eastAsiaTheme="minorEastAsia"/>
      <w:kern w:val="2"/>
      <w:sz w:val="20"/>
      <w:szCs w:val="20"/>
      <w:lang w:eastAsia="en-GB"/>
      <w14:ligatures w14:val="standardContextual"/>
    </w:rPr>
  </w:style>
  <w:style w:type="paragraph" w:styleId="CommentSubject">
    <w:name w:val="annotation subject"/>
    <w:basedOn w:val="CommentText"/>
    <w:next w:val="CommentText"/>
    <w:link w:val="CommentSubjectChar"/>
    <w:uiPriority w:val="99"/>
    <w:semiHidden/>
    <w:unhideWhenUsed/>
    <w:rsid w:val="005C06B4"/>
    <w:rPr>
      <w:b/>
      <w:bCs/>
    </w:rPr>
  </w:style>
  <w:style w:type="character" w:customStyle="1" w:styleId="CommentSubjectChar">
    <w:name w:val="Comment Subject Char"/>
    <w:basedOn w:val="CommentTextChar"/>
    <w:link w:val="CommentSubject"/>
    <w:uiPriority w:val="99"/>
    <w:semiHidden/>
    <w:rsid w:val="005C06B4"/>
    <w:rPr>
      <w:rFonts w:eastAsiaTheme="minorEastAsia"/>
      <w:b/>
      <w:bCs/>
      <w:kern w:val="2"/>
      <w:sz w:val="20"/>
      <w:szCs w:val="20"/>
      <w:lang w:eastAsia="en-GB"/>
      <w14:ligatures w14:val="standardContextual"/>
    </w:rPr>
  </w:style>
  <w:style w:type="paragraph" w:styleId="BalloonText">
    <w:name w:val="Balloon Text"/>
    <w:basedOn w:val="Normal"/>
    <w:link w:val="BalloonTextChar"/>
    <w:uiPriority w:val="99"/>
    <w:semiHidden/>
    <w:unhideWhenUsed/>
    <w:rsid w:val="005C06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06B4"/>
    <w:rPr>
      <w:rFonts w:ascii="Segoe UI" w:eastAsiaTheme="minorEastAsia" w:hAnsi="Segoe UI" w:cs="Segoe UI"/>
      <w:kern w:val="2"/>
      <w:sz w:val="18"/>
      <w:szCs w:val="18"/>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CC3F2F5248D04CB9FC697F52C9A92C" ma:contentTypeVersion="4" ma:contentTypeDescription="Create a new document." ma:contentTypeScope="" ma:versionID="23e0e672ffe3000ef970ffedf977dfe5">
  <xsd:schema xmlns:xsd="http://www.w3.org/2001/XMLSchema" xmlns:xs="http://www.w3.org/2001/XMLSchema" xmlns:p="http://schemas.microsoft.com/office/2006/metadata/properties" xmlns:ns3="0b49ed7a-3b3c-4a9f-9c7c-342c94bcbb41" targetNamespace="http://schemas.microsoft.com/office/2006/metadata/properties" ma:root="true" ma:fieldsID="2ec08230fcb1b705cccc18b1f2eab422" ns3:_="">
    <xsd:import namespace="0b49ed7a-3b3c-4a9f-9c7c-342c94bcbb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ed7a-3b3c-4a9f-9c7c-342c94bcbb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91B5-A468-44E0-9C37-9BB35E0F9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ed7a-3b3c-4a9f-9c7c-342c94bcbb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68E67E-9D79-403B-90B6-AFE5F397C40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1B675B-958B-48DD-9B2D-A8B0C525F995}">
  <ds:schemaRefs>
    <ds:schemaRef ds:uri="http://schemas.microsoft.com/sharepoint/v3/contenttype/forms"/>
  </ds:schemaRefs>
</ds:datastoreItem>
</file>

<file path=customXml/itemProps4.xml><?xml version="1.0" encoding="utf-8"?>
<ds:datastoreItem xmlns:ds="http://schemas.openxmlformats.org/officeDocument/2006/customXml" ds:itemID="{DE036DFE-26B0-4D5E-B9DF-75A41DA50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10768</Words>
  <Characters>61379</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Judge Musithu</dc:creator>
  <cp:lastModifiedBy>JSC</cp:lastModifiedBy>
  <cp:revision>2</cp:revision>
  <dcterms:created xsi:type="dcterms:W3CDTF">2026-07-28T12:55:00Z</dcterms:created>
  <dcterms:modified xsi:type="dcterms:W3CDTF">2026-07-28T12:55:00Z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0x01010070CC3F2F5248D04CB9FC697F52C9A92C</vt:lpwstr>
  </property>
</Properties>
</file>