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E04B0" w14:textId="77777777" w:rsidR="00F67F6A" w:rsidRPr="00F67F6A" w:rsidRDefault="00F67F6A" w:rsidP="00F67F6A">
      <w:pPr>
        <w:spacing w:after="0" w:line="240" w:lineRule="auto"/>
        <w:outlineLvl w:val="0"/>
        <w:rPr>
          <w:rFonts w:ascii="Georgia" w:eastAsia="Times New Roman" w:hAnsi="Georgia" w:cs="Times New Roman"/>
          <w:color w:val="1F1F1F"/>
          <w:kern w:val="36"/>
          <w:sz w:val="48"/>
          <w:szCs w:val="48"/>
          <w14:ligatures w14:val="none"/>
        </w:rPr>
      </w:pPr>
      <w:r w:rsidRPr="00F67F6A">
        <w:rPr>
          <w:rFonts w:ascii="Georgia" w:eastAsia="Times New Roman" w:hAnsi="Georgia" w:cs="Times New Roman"/>
          <w:color w:val="1F1F1F"/>
          <w:kern w:val="36"/>
          <w:sz w:val="48"/>
          <w:szCs w:val="48"/>
          <w14:ligatures w14:val="none"/>
        </w:rPr>
        <w:t>Optimization of bacterial cellulose production from prickly pear peels and its </w:t>
      </w:r>
      <w:r w:rsidRPr="00F67F6A">
        <w:rPr>
          <w:rFonts w:ascii="Georgia" w:eastAsia="Times New Roman" w:hAnsi="Georgia" w:cs="Times New Roman"/>
          <w:i/>
          <w:iCs/>
          <w:color w:val="1F1F1F"/>
          <w:kern w:val="36"/>
          <w:sz w:val="48"/>
          <w:szCs w:val="48"/>
          <w14:ligatures w14:val="none"/>
        </w:rPr>
        <w:t>ex situ</w:t>
      </w:r>
      <w:r w:rsidRPr="00F67F6A">
        <w:rPr>
          <w:rFonts w:ascii="Georgia" w:eastAsia="Times New Roman" w:hAnsi="Georgia" w:cs="Times New Roman"/>
          <w:color w:val="1F1F1F"/>
          <w:kern w:val="36"/>
          <w:sz w:val="48"/>
          <w:szCs w:val="48"/>
          <w14:ligatures w14:val="none"/>
        </w:rPr>
        <w:t> impregnation with fruit byproducts for antimicrobial and strawberry packaging applications</w:t>
      </w:r>
    </w:p>
    <w:p w14:paraId="2C569736" w14:textId="77777777" w:rsidR="00F67F6A" w:rsidRDefault="00F67F6A" w:rsidP="00F67F6A">
      <w:pPr>
        <w:pStyle w:val="Heading2"/>
        <w:spacing w:before="480" w:after="240"/>
        <w:rPr>
          <w:rFonts w:ascii="Georgia" w:hAnsi="Georgia"/>
          <w:color w:val="1F1F1F"/>
        </w:rPr>
      </w:pPr>
      <w:r>
        <w:br/>
      </w:r>
      <w:r>
        <w:br/>
      </w:r>
      <w:r>
        <w:rPr>
          <w:rFonts w:ascii="Georgia" w:hAnsi="Georgia"/>
          <w:b/>
          <w:bCs/>
          <w:color w:val="1F1F1F"/>
        </w:rPr>
        <w:t>Abstract</w:t>
      </w:r>
    </w:p>
    <w:p w14:paraId="10F3CD5C" w14:textId="77777777" w:rsidR="00F67F6A" w:rsidRDefault="00F67F6A" w:rsidP="00F67F6A">
      <w:pPr>
        <w:pStyle w:val="NormalWeb"/>
        <w:spacing w:before="0" w:beforeAutospacing="0" w:after="0" w:afterAutospacing="0"/>
        <w:rPr>
          <w:rFonts w:ascii="Georgia" w:hAnsi="Georgia"/>
          <w:color w:val="1F1F1F"/>
        </w:rPr>
      </w:pPr>
      <w:r>
        <w:rPr>
          <w:rFonts w:ascii="Georgia" w:hAnsi="Georgia"/>
          <w:color w:val="1F1F1F"/>
        </w:rPr>
        <w:t>Bacterial </w:t>
      </w:r>
      <w:hyperlink r:id="rId5" w:tooltip="Learn more about cellulose from ScienceDirect's AI-generated Topic Pages" w:history="1">
        <w:r>
          <w:rPr>
            <w:rStyle w:val="Hyperlink"/>
            <w:rFonts w:ascii="Georgia" w:eastAsiaTheme="majorEastAsia" w:hAnsi="Georgia"/>
            <w:color w:val="1F1F1F"/>
          </w:rPr>
          <w:t>cellulose</w:t>
        </w:r>
      </w:hyperlink>
      <w:r>
        <w:rPr>
          <w:rFonts w:ascii="Georgia" w:hAnsi="Georgia"/>
          <w:color w:val="1F1F1F"/>
        </w:rPr>
        <w:t> (BC) is currently among the most promising natural polymers. However, the production costs and biological inactivity are still challenges. The current study exploited the enzymatically hydrolyzed </w:t>
      </w:r>
      <w:hyperlink r:id="rId6" w:tooltip="Learn more about prickly pear from ScienceDirect's AI-generated Topic Pages" w:history="1">
        <w:r>
          <w:rPr>
            <w:rStyle w:val="Hyperlink"/>
            <w:rFonts w:ascii="Georgia" w:eastAsiaTheme="majorEastAsia" w:hAnsi="Georgia"/>
            <w:color w:val="1F1F1F"/>
          </w:rPr>
          <w:t>prickly pear</w:t>
        </w:r>
      </w:hyperlink>
      <w:r>
        <w:rPr>
          <w:rFonts w:ascii="Georgia" w:hAnsi="Georgia"/>
          <w:color w:val="1F1F1F"/>
        </w:rPr>
        <w:t> peels (PPP) for BC production, which supported about 2.94 g/L as the sole production medium. The BC production was further optimized through a central composite design, where the maximum BC production was 6.01 g/L at 68 % PPPE at pH 4 after 11 days of incubation at 20 °C. The produced BC was characterized by FT-IR spectroscopy, XRD, and </w:t>
      </w:r>
      <w:hyperlink r:id="rId7" w:tooltip="Learn more about SEM analysis from ScienceDirect's AI-generated Topic Pages" w:history="1">
        <w:r>
          <w:rPr>
            <w:rStyle w:val="Hyperlink"/>
            <w:rFonts w:ascii="Georgia" w:eastAsiaTheme="majorEastAsia" w:hAnsi="Georgia"/>
            <w:color w:val="1F1F1F"/>
          </w:rPr>
          <w:t>SEM analysis</w:t>
        </w:r>
      </w:hyperlink>
      <w:r>
        <w:rPr>
          <w:rFonts w:ascii="Georgia" w:hAnsi="Georgia"/>
          <w:color w:val="1F1F1F"/>
        </w:rPr>
        <w:t>, and the results showed that PPPE is a promising carbon source for </w:t>
      </w:r>
      <w:hyperlink r:id="rId8" w:tooltip="Learn more about pure from ScienceDirect's AI-generated Topic Pages" w:history="1">
        <w:r>
          <w:rPr>
            <w:rStyle w:val="Hyperlink"/>
            <w:rFonts w:ascii="Georgia" w:eastAsiaTheme="majorEastAsia" w:hAnsi="Georgia"/>
            <w:color w:val="1F1F1F"/>
          </w:rPr>
          <w:t>pure</w:t>
        </w:r>
      </w:hyperlink>
      <w:r>
        <w:rPr>
          <w:rFonts w:ascii="Georgia" w:hAnsi="Georgia"/>
          <w:color w:val="1F1F1F"/>
        </w:rPr>
        <w:t> BC production. The BC membrane was separately loaded with several fruit byproduct extracts to enhance its biological activity for multiple applications. BC loaded with </w:t>
      </w:r>
      <w:hyperlink r:id="rId9" w:tooltip="Learn more about pomegranate from ScienceDirect's AI-generated Topic Pages" w:history="1">
        <w:r>
          <w:rPr>
            <w:rStyle w:val="Hyperlink"/>
            <w:rFonts w:ascii="Georgia" w:eastAsiaTheme="majorEastAsia" w:hAnsi="Georgia"/>
            <w:color w:val="1F1F1F"/>
          </w:rPr>
          <w:t>pomegranate</w:t>
        </w:r>
      </w:hyperlink>
      <w:r>
        <w:rPr>
          <w:rFonts w:ascii="Georgia" w:hAnsi="Georgia"/>
          <w:color w:val="1F1F1F"/>
        </w:rPr>
        <w:t> peel extract (BC/PPE) revealed significant broad-spectrum </w:t>
      </w:r>
      <w:hyperlink r:id="rId10" w:tooltip="Learn more about antimicrobial activity from ScienceDirect's AI-generated Topic Pages" w:history="1">
        <w:r>
          <w:rPr>
            <w:rStyle w:val="Hyperlink"/>
            <w:rFonts w:ascii="Georgia" w:eastAsiaTheme="majorEastAsia" w:hAnsi="Georgia"/>
            <w:color w:val="1F1F1F"/>
          </w:rPr>
          <w:t>antimicrobial activity</w:t>
        </w:r>
      </w:hyperlink>
      <w:r>
        <w:rPr>
          <w:rFonts w:ascii="Georgia" w:hAnsi="Georgia"/>
          <w:color w:val="1F1F1F"/>
        </w:rPr>
        <w:t>, followed by BC loaded with </w:t>
      </w:r>
      <w:hyperlink r:id="rId11" w:tooltip="Learn more about pomegranate from ScienceDirect's AI-generated Topic Pages" w:history="1">
        <w:r>
          <w:rPr>
            <w:rStyle w:val="Hyperlink"/>
            <w:rFonts w:ascii="Georgia" w:eastAsiaTheme="majorEastAsia" w:hAnsi="Georgia"/>
            <w:color w:val="1F1F1F"/>
          </w:rPr>
          <w:t>pomegranate</w:t>
        </w:r>
      </w:hyperlink>
      <w:r>
        <w:rPr>
          <w:rFonts w:ascii="Georgia" w:hAnsi="Georgia"/>
          <w:color w:val="1F1F1F"/>
        </w:rPr>
        <w:t> </w:t>
      </w:r>
      <w:hyperlink r:id="rId12" w:tooltip="Learn more about molasses from ScienceDirect's AI-generated Topic Pages" w:history="1">
        <w:r>
          <w:rPr>
            <w:rStyle w:val="Hyperlink"/>
            <w:rFonts w:ascii="Georgia" w:eastAsiaTheme="majorEastAsia" w:hAnsi="Georgia"/>
            <w:color w:val="1F1F1F"/>
          </w:rPr>
          <w:t>molasses</w:t>
        </w:r>
      </w:hyperlink>
      <w:r>
        <w:rPr>
          <w:rFonts w:ascii="Georgia" w:hAnsi="Georgia"/>
          <w:color w:val="1F1F1F"/>
        </w:rPr>
        <w:t> (BC/PM). The BC/PPE membrane enhanced the shelf-life storage of strawberry fruits by about 5 days, with a reduction in the fruits' weight loss of 15 % compared to the uncovered group. The current study revealed the successful application of PPE for sustainable BC production with its packaging potential for enhancing strawberry shelf-life when loaded with PPE or PM.</w:t>
      </w:r>
    </w:p>
    <w:p w14:paraId="4C8A12DA" w14:textId="7419F49F" w:rsidR="00013223" w:rsidRDefault="00013223"/>
    <w:p w14:paraId="18CDB617" w14:textId="77777777" w:rsidR="00F67F6A" w:rsidRDefault="00F67F6A"/>
    <w:p w14:paraId="7CE50072" w14:textId="17182616" w:rsidR="00F67F6A" w:rsidRDefault="00F67F6A">
      <w:r>
        <w:rPr>
          <w:noProof/>
        </w:rPr>
        <w:lastRenderedPageBreak/>
        <w:drawing>
          <wp:inline distT="0" distB="0" distL="0" distR="0" wp14:anchorId="1479E047" wp14:editId="5DEF760C">
            <wp:extent cx="5893814" cy="3253563"/>
            <wp:effectExtent l="0" t="0" r="0" b="4445"/>
            <wp:docPr id="58074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40583" name=""/>
                    <pic:cNvPicPr/>
                  </pic:nvPicPr>
                  <pic:blipFill>
                    <a:blip r:embed="rId13"/>
                    <a:stretch>
                      <a:fillRect/>
                    </a:stretch>
                  </pic:blipFill>
                  <pic:spPr>
                    <a:xfrm>
                      <a:off x="0" y="0"/>
                      <a:ext cx="5914466" cy="3264964"/>
                    </a:xfrm>
                    <a:prstGeom prst="rect">
                      <a:avLst/>
                    </a:prstGeom>
                  </pic:spPr>
                </pic:pic>
              </a:graphicData>
            </a:graphic>
          </wp:inline>
        </w:drawing>
      </w:r>
    </w:p>
    <w:p w14:paraId="32E71649" w14:textId="77777777" w:rsidR="00F67F6A" w:rsidRDefault="00F67F6A"/>
    <w:p w14:paraId="1579F861" w14:textId="77777777" w:rsidR="00F67F6A" w:rsidRDefault="00F67F6A" w:rsidP="00F67F6A">
      <w:pPr>
        <w:pStyle w:val="Heading2"/>
        <w:spacing w:before="0" w:after="240"/>
        <w:rPr>
          <w:rFonts w:ascii="Georgia" w:hAnsi="Georgia" w:cs="Arial"/>
          <w:color w:val="1F1F1F"/>
        </w:rPr>
      </w:pPr>
      <w:r>
        <w:rPr>
          <w:rFonts w:ascii="Georgia" w:hAnsi="Georgia" w:cs="Arial"/>
          <w:b/>
          <w:bCs/>
          <w:color w:val="1F1F1F"/>
        </w:rPr>
        <w:t>Introduction</w:t>
      </w:r>
    </w:p>
    <w:p w14:paraId="033A6A39" w14:textId="77777777" w:rsidR="00F67F6A" w:rsidRDefault="00F67F6A" w:rsidP="00F67F6A">
      <w:pPr>
        <w:pStyle w:val="NormalWeb"/>
        <w:spacing w:before="0" w:beforeAutospacing="0" w:after="0" w:afterAutospacing="0"/>
        <w:rPr>
          <w:rFonts w:ascii="Georgia" w:hAnsi="Georgia" w:cs="Arial"/>
          <w:color w:val="1F1F1F"/>
          <w:sz w:val="30"/>
          <w:szCs w:val="30"/>
        </w:rPr>
      </w:pPr>
      <w:r>
        <w:rPr>
          <w:rFonts w:ascii="Georgia" w:hAnsi="Georgia" w:cs="Arial"/>
          <w:color w:val="1F1F1F"/>
          <w:sz w:val="30"/>
          <w:szCs w:val="30"/>
        </w:rPr>
        <w:t>The growing human population forces the need for higher mass production to satisfy human beings' needs. Regarding the environmental aspects, this mass production implies more environmental challenges and hence directs the need for green and sustainable production approaches. The worldwide availability of cellulosic waste represents a high potential for implementation in several green and sustainable production opportunities. Among others, BC is a promising bio-product with numerous outstanding characteristics. Divergent from plant cellulose, BC is amenable to large-scale production through several bacteria, especially Gram-negative bacterium of </w:t>
      </w:r>
      <w:r>
        <w:rPr>
          <w:rStyle w:val="Emphasis"/>
          <w:rFonts w:ascii="Georgia" w:eastAsiaTheme="majorEastAsia" w:hAnsi="Georgia" w:cs="Arial"/>
          <w:color w:val="1F1F1F"/>
          <w:sz w:val="30"/>
          <w:szCs w:val="30"/>
        </w:rPr>
        <w:t>Acetobacter xylinus</w:t>
      </w:r>
      <w:r>
        <w:rPr>
          <w:rFonts w:ascii="Georgia" w:hAnsi="Georgia" w:cs="Arial"/>
          <w:color w:val="1F1F1F"/>
          <w:sz w:val="30"/>
          <w:szCs w:val="30"/>
        </w:rPr>
        <w:t>. However, other Gram-positive genera of </w:t>
      </w:r>
      <w:r>
        <w:rPr>
          <w:rStyle w:val="Emphasis"/>
          <w:rFonts w:ascii="Georgia" w:eastAsiaTheme="majorEastAsia" w:hAnsi="Georgia" w:cs="Arial"/>
          <w:color w:val="1F1F1F"/>
          <w:sz w:val="30"/>
          <w:szCs w:val="30"/>
        </w:rPr>
        <w:t>Lactobacillus</w:t>
      </w:r>
      <w:r>
        <w:rPr>
          <w:rFonts w:ascii="Georgia" w:hAnsi="Georgia" w:cs="Arial"/>
          <w:color w:val="1F1F1F"/>
          <w:sz w:val="30"/>
          <w:szCs w:val="30"/>
        </w:rPr>
        <w:t xml:space="preserve"> were also reported (Saleh et al., 2022). Additionally, it is much easier to purify and extract BC in lignin-free form compared to plant-based cellulose (El-Gendi et al., 2022). The BC polymer's characteristics nominated their implementation in several applications including; paper making, wound dressing, food additives as thickening and gelling agents, industrial pollutants removal, and electronic conductors (Fatima et al., 2022; Saleh et al., 2021, Saleh et al., 2022; Sathish &amp; Vitta, 2020). </w:t>
      </w:r>
      <w:r>
        <w:rPr>
          <w:rFonts w:ascii="Georgia" w:hAnsi="Georgia" w:cs="Arial"/>
          <w:color w:val="1F1F1F"/>
          <w:sz w:val="30"/>
          <w:szCs w:val="30"/>
        </w:rPr>
        <w:lastRenderedPageBreak/>
        <w:t>However, the high cost involved in BC production remains the main obstacle to its wide commercial application (Saleh et al., 2021). About 30 % of the total BC production cost was attributed to the applied medium, hence several attempts were directed to the implementation of low-cost agricultural and industrial wastes in BC production (El-Gendi et al., 2022; Padmanabhan et al., 2022). These low-cost wastes are usually byproducts of the food processing industry, cellulosic agricultural wastes, or household kitchens and restaurant residues (Cheng et al., 2017; Muhsinin et al., 2017; Padmanabhan et al., 2022; Saleh et al., 2021). Among others, prickly pear (</w:t>
      </w:r>
      <w:r>
        <w:rPr>
          <w:rStyle w:val="Emphasis"/>
          <w:rFonts w:ascii="Georgia" w:eastAsiaTheme="majorEastAsia" w:hAnsi="Georgia" w:cs="Arial"/>
          <w:color w:val="1F1F1F"/>
          <w:sz w:val="30"/>
          <w:szCs w:val="30"/>
        </w:rPr>
        <w:t>Opuntia ficus-indica</w:t>
      </w:r>
      <w:r>
        <w:rPr>
          <w:rFonts w:ascii="Georgia" w:hAnsi="Georgia" w:cs="Arial"/>
          <w:color w:val="1F1F1F"/>
          <w:sz w:val="30"/>
          <w:szCs w:val="30"/>
        </w:rPr>
        <w:t> (L.) Mill) is widely distributed throughout the world, with approximately 1 million tons consumed as fresh fruit each year due to its sweet taste and high nutritional value (Bouazizi et al., 2020). The fruits are also implemented in some industries, including juice, beverage manufacturing, and oil extraction from fruit seeds. Nevertheless, the fruit peels (PPP) represent about 40 % of the whole fruit, which is usually discarded as a byproduct representing potential environmental challenges to the growing industry (Anwar &amp; Sallam, 2015; Karabagias et al., 2019). The PPP is composed of a mixture of complex polysaccharides, with cellulose and hemicellulose making up about 37 % of the dry matter. Furthermore, the PPP also contains a considerable amount of protein and minerals, representing about 8.2 and 12 % of dry matter, respectively (Anwar &amp; Sallam, 2015). The available nutritional constituents in the PPP pave the way for their application in pan bread quality improvement (Anwar &amp; Sallam, 2015), as biscuits formulation additive (Bouazizi et al., 2020), and for sustainable production of beaker yeast (Diboune et al., 2019).</w:t>
      </w:r>
    </w:p>
    <w:p w14:paraId="7309BD08" w14:textId="77777777" w:rsidR="00F67F6A" w:rsidRDefault="00F67F6A" w:rsidP="00F67F6A">
      <w:pPr>
        <w:pStyle w:val="NormalWeb"/>
        <w:spacing w:before="0" w:beforeAutospacing="0" w:after="0" w:afterAutospacing="0"/>
        <w:rPr>
          <w:rFonts w:ascii="Georgia" w:hAnsi="Georgia" w:cs="Arial"/>
          <w:color w:val="1F1F1F"/>
          <w:sz w:val="30"/>
          <w:szCs w:val="30"/>
        </w:rPr>
      </w:pPr>
      <w:r>
        <w:rPr>
          <w:rFonts w:ascii="Georgia" w:hAnsi="Georgia" w:cs="Arial"/>
          <w:color w:val="1F1F1F"/>
          <w:sz w:val="30"/>
          <w:szCs w:val="30"/>
        </w:rPr>
        <w:t xml:space="preserve">Furthermore, process optimization also has a significant impact on the final production cost. Two approaches were proposed for medium optimization, including one variable change at a time (OVAT) and numerical modeling optimization through statistical designs. Due to the great effort and time-consuming of the OVAT approach, statistical optimization is widely accepted as a more reliable tool for many biological process optimization (Do et al., 2022; Jacek et al., 2021; Saleh et al., 2022). Moreover, the statistical design could elucidate the interactions among studied variables and their impact on the final yield, which grantees attend to the real optimum process conditions (Yousef et al., 2021). The central composite design (CCD) is a response </w:t>
      </w:r>
      <w:r>
        <w:rPr>
          <w:rFonts w:ascii="Georgia" w:hAnsi="Georgia" w:cs="Arial"/>
          <w:color w:val="1F1F1F"/>
          <w:sz w:val="30"/>
          <w:szCs w:val="30"/>
        </w:rPr>
        <w:lastRenderedPageBreak/>
        <w:t>surface methodology (RSM) that relies upon a quadratic polynomial model to predict the optimum conditions for the desired process response. The quadratic polynomial model with two studied variables (X</w:t>
      </w:r>
      <w:r>
        <w:rPr>
          <w:rFonts w:ascii="Georgia" w:hAnsi="Georgia" w:cs="Arial"/>
          <w:color w:val="1F1F1F"/>
          <w:sz w:val="18"/>
          <w:szCs w:val="18"/>
          <w:vertAlign w:val="subscript"/>
        </w:rPr>
        <w:t>1</w:t>
      </w:r>
      <w:r>
        <w:rPr>
          <w:rFonts w:ascii="Georgia" w:hAnsi="Georgia" w:cs="Arial"/>
          <w:color w:val="1F1F1F"/>
          <w:sz w:val="30"/>
          <w:szCs w:val="30"/>
        </w:rPr>
        <w:t> and X</w:t>
      </w:r>
      <w:r>
        <w:rPr>
          <w:rFonts w:ascii="Georgia" w:hAnsi="Georgia" w:cs="Arial"/>
          <w:color w:val="1F1F1F"/>
          <w:sz w:val="18"/>
          <w:szCs w:val="18"/>
          <w:vertAlign w:val="subscript"/>
        </w:rPr>
        <w:t>2</w:t>
      </w:r>
      <w:r>
        <w:rPr>
          <w:rFonts w:ascii="Georgia" w:hAnsi="Georgia" w:cs="Arial"/>
          <w:color w:val="1F1F1F"/>
          <w:sz w:val="30"/>
          <w:szCs w:val="30"/>
        </w:rPr>
        <w:t>) could be represented as follows:</w:t>
      </w:r>
      <w:r>
        <w:rPr>
          <w:rStyle w:val="mjxassistivemathml"/>
          <w:rFonts w:ascii="Georgia" w:hAnsi="Georgia" w:cs="Arial"/>
          <w:color w:val="1F1F1F"/>
          <w:sz w:val="22"/>
          <w:szCs w:val="22"/>
          <w:bdr w:val="none" w:sz="0" w:space="0" w:color="auto" w:frame="1"/>
        </w:rPr>
        <w:t>Y=A+B1X1+B2X2+B1B2X1X2+B1X12+B2X22,</w:t>
      </w:r>
      <w:r>
        <w:rPr>
          <w:rFonts w:ascii="Georgia" w:hAnsi="Georgia" w:cs="Arial"/>
          <w:color w:val="1F1F1F"/>
          <w:sz w:val="30"/>
          <w:szCs w:val="30"/>
        </w:rPr>
        <w:t>where Y is the BC yield, B</w:t>
      </w:r>
      <w:r>
        <w:rPr>
          <w:rFonts w:ascii="Georgia" w:hAnsi="Georgia" w:cs="Arial"/>
          <w:color w:val="1F1F1F"/>
          <w:sz w:val="18"/>
          <w:szCs w:val="18"/>
          <w:vertAlign w:val="subscript"/>
        </w:rPr>
        <w:t>1</w:t>
      </w:r>
      <w:r>
        <w:rPr>
          <w:rFonts w:ascii="Georgia" w:hAnsi="Georgia" w:cs="Arial"/>
          <w:color w:val="1F1F1F"/>
          <w:sz w:val="30"/>
          <w:szCs w:val="30"/>
        </w:rPr>
        <w:t> and B</w:t>
      </w:r>
      <w:r>
        <w:rPr>
          <w:rFonts w:ascii="Georgia" w:hAnsi="Georgia" w:cs="Arial"/>
          <w:color w:val="1F1F1F"/>
          <w:sz w:val="18"/>
          <w:szCs w:val="18"/>
          <w:vertAlign w:val="subscript"/>
        </w:rPr>
        <w:t>2</w:t>
      </w:r>
      <w:r>
        <w:rPr>
          <w:rFonts w:ascii="Georgia" w:hAnsi="Georgia" w:cs="Arial"/>
          <w:color w:val="1F1F1F"/>
          <w:sz w:val="30"/>
          <w:szCs w:val="30"/>
        </w:rPr>
        <w:t> are the coefficients of X</w:t>
      </w:r>
      <w:r>
        <w:rPr>
          <w:rFonts w:ascii="Georgia" w:hAnsi="Georgia" w:cs="Arial"/>
          <w:color w:val="1F1F1F"/>
          <w:sz w:val="18"/>
          <w:szCs w:val="18"/>
          <w:vertAlign w:val="subscript"/>
        </w:rPr>
        <w:t>1</w:t>
      </w:r>
      <w:r>
        <w:rPr>
          <w:rFonts w:ascii="Georgia" w:hAnsi="Georgia" w:cs="Arial"/>
          <w:color w:val="1F1F1F"/>
          <w:sz w:val="30"/>
          <w:szCs w:val="30"/>
        </w:rPr>
        <w:t> and X</w:t>
      </w:r>
      <w:r>
        <w:rPr>
          <w:rFonts w:ascii="Georgia" w:hAnsi="Georgia" w:cs="Arial"/>
          <w:color w:val="1F1F1F"/>
          <w:sz w:val="18"/>
          <w:szCs w:val="18"/>
          <w:vertAlign w:val="subscript"/>
        </w:rPr>
        <w:t>2</w:t>
      </w:r>
      <w:r>
        <w:rPr>
          <w:rFonts w:ascii="Georgia" w:hAnsi="Georgia" w:cs="Arial"/>
          <w:color w:val="1F1F1F"/>
          <w:sz w:val="30"/>
          <w:szCs w:val="30"/>
        </w:rPr>
        <w:t>, B</w:t>
      </w:r>
      <w:r>
        <w:rPr>
          <w:rFonts w:ascii="Georgia" w:hAnsi="Georgia" w:cs="Arial"/>
          <w:color w:val="1F1F1F"/>
          <w:sz w:val="18"/>
          <w:szCs w:val="18"/>
          <w:vertAlign w:val="subscript"/>
        </w:rPr>
        <w:t>1</w:t>
      </w:r>
      <w:r>
        <w:rPr>
          <w:rFonts w:ascii="Georgia" w:hAnsi="Georgia" w:cs="Arial"/>
          <w:color w:val="1F1F1F"/>
          <w:sz w:val="30"/>
          <w:szCs w:val="30"/>
        </w:rPr>
        <w:t>B</w:t>
      </w:r>
      <w:r>
        <w:rPr>
          <w:rFonts w:ascii="Georgia" w:hAnsi="Georgia" w:cs="Arial"/>
          <w:color w:val="1F1F1F"/>
          <w:sz w:val="18"/>
          <w:szCs w:val="18"/>
          <w:vertAlign w:val="subscript"/>
        </w:rPr>
        <w:t>2</w:t>
      </w:r>
      <w:r>
        <w:rPr>
          <w:rFonts w:ascii="Georgia" w:hAnsi="Georgia" w:cs="Arial"/>
          <w:color w:val="1F1F1F"/>
          <w:sz w:val="30"/>
          <w:szCs w:val="30"/>
        </w:rPr>
        <w:t> is their interaction effect, where B</w:t>
      </w:r>
      <w:r>
        <w:rPr>
          <w:rFonts w:ascii="Georgia" w:hAnsi="Georgia" w:cs="Arial"/>
          <w:color w:val="1F1F1F"/>
          <w:sz w:val="18"/>
          <w:szCs w:val="18"/>
          <w:vertAlign w:val="subscript"/>
        </w:rPr>
        <w:t>1</w:t>
      </w:r>
      <w:r>
        <w:rPr>
          <w:rFonts w:ascii="Georgia" w:hAnsi="Georgia" w:cs="Arial"/>
          <w:color w:val="1F1F1F"/>
          <w:sz w:val="18"/>
          <w:szCs w:val="18"/>
          <w:vertAlign w:val="superscript"/>
        </w:rPr>
        <w:t>2</w:t>
      </w:r>
      <w:r>
        <w:rPr>
          <w:rFonts w:ascii="Georgia" w:hAnsi="Georgia" w:cs="Arial"/>
          <w:color w:val="1F1F1F"/>
          <w:sz w:val="30"/>
          <w:szCs w:val="30"/>
        </w:rPr>
        <w:t> and B</w:t>
      </w:r>
      <w:r>
        <w:rPr>
          <w:rFonts w:ascii="Georgia" w:hAnsi="Georgia" w:cs="Arial"/>
          <w:color w:val="1F1F1F"/>
          <w:sz w:val="18"/>
          <w:szCs w:val="18"/>
          <w:vertAlign w:val="subscript"/>
        </w:rPr>
        <w:t>2</w:t>
      </w:r>
      <w:r>
        <w:rPr>
          <w:rFonts w:ascii="Georgia" w:hAnsi="Georgia" w:cs="Arial"/>
          <w:color w:val="1F1F1F"/>
          <w:sz w:val="18"/>
          <w:szCs w:val="18"/>
          <w:vertAlign w:val="superscript"/>
        </w:rPr>
        <w:t>2</w:t>
      </w:r>
      <w:r>
        <w:rPr>
          <w:rFonts w:ascii="Georgia" w:hAnsi="Georgia" w:cs="Arial"/>
          <w:color w:val="1F1F1F"/>
          <w:sz w:val="30"/>
          <w:szCs w:val="30"/>
        </w:rPr>
        <w:t> are their quadratic effects. The design results could be fitted to the previous model where the optimum variable levels for maximum BC production could be expected (Son et al., 2022).</w:t>
      </w:r>
    </w:p>
    <w:p w14:paraId="57A5E22E" w14:textId="77777777" w:rsidR="00F67F6A" w:rsidRDefault="00F67F6A" w:rsidP="00F67F6A">
      <w:pPr>
        <w:pStyle w:val="NormalWeb"/>
        <w:spacing w:before="0" w:beforeAutospacing="0" w:after="240" w:afterAutospacing="0"/>
        <w:rPr>
          <w:rFonts w:ascii="Georgia" w:hAnsi="Georgia" w:cs="Arial"/>
          <w:color w:val="1F1F1F"/>
          <w:sz w:val="30"/>
          <w:szCs w:val="30"/>
        </w:rPr>
      </w:pPr>
      <w:r>
        <w:rPr>
          <w:rFonts w:ascii="Georgia" w:hAnsi="Georgia" w:cs="Arial"/>
          <w:color w:val="1F1F1F"/>
          <w:sz w:val="30"/>
          <w:szCs w:val="30"/>
        </w:rPr>
        <w:t>The good mechanical properties, biodegradability, and non-toxicity of BC polymers forced their implementation as edible food packaging materials as an ecofriendly alternative to non-degradable plastic. However, the BC's biological inactivity limited this application, hence several studies were dedicated to evaluating the applicability of BC in food packaging by augmenting the BC polymer with other biologically active additives to diminish food decay and increase their shelf-life (He et al., 2021; Sharma et al., 2021). Generally, the most reported studies were dedicated to BC improvement with nanoparticles or other expensive chemicals (Blanco Parte et al., 2020; Mao et al., 2021), which could raise concerns about safety and final cost. Herein, we hypothesized the applicability of PPP for sustainable BC production and the effectiveness of BC loaded with plant-byproduct extracts to replace synthetic material for a safer food packaging. Therefore, the current study was dedicated to the cost-effective and sustainable production of BC through enzymatically hydrolyzed PPP, which is first reported to the best of our knowledge. Furthermore, the resultant BC was improved with several fruit byproduct extracts and evaluated for antimicrobial, antioxidant, and strawberry packaging.</w:t>
      </w:r>
    </w:p>
    <w:p w14:paraId="11E2DC73" w14:textId="77777777" w:rsidR="00F67F6A" w:rsidRDefault="00F67F6A" w:rsidP="00F67F6A">
      <w:pPr>
        <w:pStyle w:val="Heading2"/>
        <w:spacing w:before="480" w:after="480"/>
        <w:rPr>
          <w:rFonts w:ascii="Georgia" w:hAnsi="Georgia" w:cs="Arial"/>
          <w:color w:val="1F1F1F"/>
          <w:sz w:val="36"/>
          <w:szCs w:val="36"/>
        </w:rPr>
      </w:pPr>
      <w:r>
        <w:rPr>
          <w:rFonts w:ascii="Georgia" w:hAnsi="Georgia" w:cs="Arial"/>
          <w:b/>
          <w:bCs/>
          <w:color w:val="1F1F1F"/>
        </w:rPr>
        <w:t>Section snippets</w:t>
      </w:r>
    </w:p>
    <w:p w14:paraId="472FE42B" w14:textId="77777777" w:rsidR="00F67F6A" w:rsidRDefault="00F67F6A" w:rsidP="00F67F6A">
      <w:pPr>
        <w:pStyle w:val="Heading2"/>
        <w:spacing w:before="240" w:after="240"/>
        <w:rPr>
          <w:rFonts w:ascii="Georgia" w:hAnsi="Georgia" w:cs="Arial"/>
          <w:b/>
          <w:bCs/>
          <w:color w:val="1F1F1F"/>
        </w:rPr>
      </w:pPr>
      <w:r>
        <w:rPr>
          <w:rFonts w:ascii="Georgia" w:hAnsi="Georgia" w:cs="Arial"/>
          <w:b/>
          <w:bCs/>
          <w:color w:val="1F1F1F"/>
        </w:rPr>
        <w:t>Saccharification of the PPP</w:t>
      </w:r>
    </w:p>
    <w:p w14:paraId="13512EE6" w14:textId="77777777" w:rsidR="00F67F6A" w:rsidRDefault="00F67F6A" w:rsidP="00F67F6A">
      <w:pPr>
        <w:pStyle w:val="NormalWeb"/>
        <w:spacing w:before="0" w:beforeAutospacing="0" w:after="0" w:afterAutospacing="0"/>
        <w:rPr>
          <w:rFonts w:ascii="Georgia" w:hAnsi="Georgia" w:cs="Arial"/>
          <w:color w:val="1F1F1F"/>
          <w:sz w:val="30"/>
          <w:szCs w:val="30"/>
        </w:rPr>
      </w:pPr>
      <w:r>
        <w:rPr>
          <w:rFonts w:ascii="Georgia" w:hAnsi="Georgia" w:cs="Arial"/>
          <w:color w:val="1F1F1F"/>
          <w:sz w:val="30"/>
          <w:szCs w:val="30"/>
        </w:rPr>
        <w:t xml:space="preserve">For peel saccharification, the PPP (20 g) was first minced at a high-speed blender for 10 min in 100 mL of 50 mM acetate buffer (pH 4.7). The resulting homogenate was then hydrolyzed through 1 mL of </w:t>
      </w:r>
      <w:r>
        <w:rPr>
          <w:rFonts w:ascii="Georgia" w:hAnsi="Georgia" w:cs="Arial"/>
          <w:color w:val="1F1F1F"/>
          <w:sz w:val="30"/>
          <w:szCs w:val="30"/>
        </w:rPr>
        <w:lastRenderedPageBreak/>
        <w:t>cellulases of </w:t>
      </w:r>
      <w:r>
        <w:rPr>
          <w:rStyle w:val="Emphasis"/>
          <w:rFonts w:ascii="Georgia" w:eastAsiaTheme="majorEastAsia" w:hAnsi="Georgia" w:cs="Arial"/>
          <w:color w:val="1F1F1F"/>
          <w:sz w:val="30"/>
          <w:szCs w:val="30"/>
        </w:rPr>
        <w:t>Trichoderma reesei</w:t>
      </w:r>
      <w:r>
        <w:rPr>
          <w:rFonts w:ascii="Georgia" w:hAnsi="Georgia" w:cs="Arial"/>
          <w:color w:val="1F1F1F"/>
          <w:sz w:val="30"/>
          <w:szCs w:val="30"/>
        </w:rPr>
        <w:t> ATCC 26921 (Sigma; 89.4 FPU/mL) at 50 °C under mild shaking (75 rpm) for 2 days. The liberated glucose during the hydrolysis course was evaluated using a glucose determination kit (Oxidase), whereas reducing sugar and total carbohydrates were evaluated through</w:t>
      </w:r>
    </w:p>
    <w:p w14:paraId="2C80E8E6" w14:textId="77777777" w:rsidR="00F67F6A" w:rsidRDefault="00F67F6A" w:rsidP="00F67F6A">
      <w:pPr>
        <w:pStyle w:val="Heading2"/>
        <w:spacing w:before="240" w:after="240"/>
        <w:rPr>
          <w:rFonts w:ascii="Georgia" w:hAnsi="Georgia" w:cs="Arial"/>
          <w:color w:val="1F1F1F"/>
          <w:sz w:val="36"/>
          <w:szCs w:val="36"/>
        </w:rPr>
      </w:pPr>
      <w:r>
        <w:rPr>
          <w:rFonts w:ascii="Georgia" w:hAnsi="Georgia" w:cs="Arial"/>
          <w:b/>
          <w:bCs/>
          <w:color w:val="1F1F1F"/>
        </w:rPr>
        <w:t>Saccharification of the PPP</w:t>
      </w:r>
    </w:p>
    <w:p w14:paraId="687393FF" w14:textId="77777777" w:rsidR="00F67F6A" w:rsidRDefault="00F67F6A" w:rsidP="00F67F6A">
      <w:pPr>
        <w:pStyle w:val="NormalWeb"/>
        <w:spacing w:before="0" w:beforeAutospacing="0" w:after="0" w:afterAutospacing="0"/>
        <w:rPr>
          <w:rFonts w:ascii="Georgia" w:hAnsi="Georgia" w:cs="Arial"/>
          <w:color w:val="1F1F1F"/>
          <w:sz w:val="30"/>
          <w:szCs w:val="30"/>
        </w:rPr>
      </w:pPr>
      <w:r>
        <w:rPr>
          <w:rFonts w:ascii="Georgia" w:hAnsi="Georgia" w:cs="Arial"/>
          <w:color w:val="1F1F1F"/>
          <w:sz w:val="30"/>
          <w:szCs w:val="30"/>
        </w:rPr>
        <w:t>Regarding the highly economical and commercial potentials of BC, many studies were dedicated to the reduction of BC production costs (Padmanabhan et al., 2022; Saleh et al., 2021). In this regard, PPP was evaluated as a cost-effective medium for BC production using the </w:t>
      </w:r>
      <w:r>
        <w:rPr>
          <w:rStyle w:val="Emphasis"/>
          <w:rFonts w:ascii="Georgia" w:eastAsiaTheme="majorEastAsia" w:hAnsi="Georgia" w:cs="Arial"/>
          <w:color w:val="1F1F1F"/>
          <w:sz w:val="30"/>
          <w:szCs w:val="30"/>
        </w:rPr>
        <w:t>L. plantarum</w:t>
      </w:r>
      <w:r>
        <w:rPr>
          <w:rFonts w:ascii="Georgia" w:hAnsi="Georgia" w:cs="Arial"/>
          <w:color w:val="1F1F1F"/>
          <w:sz w:val="30"/>
          <w:szCs w:val="30"/>
        </w:rPr>
        <w:t> AS.6 isolate. The raw PPP revealed a significant amount of complex carbohydrates (about 14.15 g/L) with a small amount of simple sugars as indicated by the reducing sugar and glucose levels (2.19 and 1.659 g/L,</w:t>
      </w:r>
    </w:p>
    <w:p w14:paraId="350192AD" w14:textId="77777777" w:rsidR="00F67F6A" w:rsidRDefault="00F67F6A" w:rsidP="00F67F6A">
      <w:pPr>
        <w:pStyle w:val="Heading2"/>
        <w:spacing w:before="240" w:after="240"/>
        <w:rPr>
          <w:rFonts w:ascii="Georgia" w:hAnsi="Georgia" w:cs="Arial"/>
          <w:color w:val="1F1F1F"/>
          <w:sz w:val="36"/>
          <w:szCs w:val="36"/>
        </w:rPr>
      </w:pPr>
      <w:r>
        <w:rPr>
          <w:rFonts w:ascii="Georgia" w:hAnsi="Georgia" w:cs="Arial"/>
          <w:b/>
          <w:bCs/>
          <w:color w:val="1F1F1F"/>
        </w:rPr>
        <w:t>Conclusion</w:t>
      </w:r>
    </w:p>
    <w:p w14:paraId="1864C60D" w14:textId="77777777" w:rsidR="00F67F6A" w:rsidRDefault="00F67F6A" w:rsidP="00F67F6A">
      <w:pPr>
        <w:pStyle w:val="NormalWeb"/>
        <w:spacing w:before="0" w:beforeAutospacing="0" w:after="0" w:afterAutospacing="0"/>
        <w:rPr>
          <w:rFonts w:ascii="Georgia" w:hAnsi="Georgia" w:cs="Arial"/>
          <w:color w:val="1F1F1F"/>
          <w:sz w:val="30"/>
          <w:szCs w:val="30"/>
        </w:rPr>
      </w:pPr>
      <w:r>
        <w:rPr>
          <w:rFonts w:ascii="Georgia" w:hAnsi="Georgia" w:cs="Arial"/>
          <w:color w:val="1F1F1F"/>
          <w:sz w:val="30"/>
          <w:szCs w:val="30"/>
        </w:rPr>
        <w:t>In the current study, prickly pear peels (PPP) were applied as a cost-effective medium for economic bacterial cellulose (BC) production. The results proved the applicability of enzymatically hydrolyzed PPP as a sole medium for supporting BC production (up to 2.9 g/L) from </w:t>
      </w:r>
      <w:r>
        <w:rPr>
          <w:rStyle w:val="Emphasis"/>
          <w:rFonts w:ascii="Georgia" w:eastAsiaTheme="majorEastAsia" w:hAnsi="Georgia" w:cs="Arial"/>
          <w:color w:val="1F1F1F"/>
          <w:sz w:val="30"/>
          <w:szCs w:val="30"/>
        </w:rPr>
        <w:t>L. plantarum</w:t>
      </w:r>
      <w:r>
        <w:rPr>
          <w:rFonts w:ascii="Georgia" w:hAnsi="Georgia" w:cs="Arial"/>
          <w:color w:val="1F1F1F"/>
          <w:sz w:val="30"/>
          <w:szCs w:val="30"/>
        </w:rPr>
        <w:t>, which is attributed to its high carbohydrate content. The BC production conditions were further optimized through composite central design, which proved a highly efficient approach, achieving a 3.2-fold increase</w:t>
      </w:r>
    </w:p>
    <w:p w14:paraId="6D0E93F9" w14:textId="77777777" w:rsidR="00F67F6A" w:rsidRDefault="00F67F6A" w:rsidP="00F67F6A">
      <w:pPr>
        <w:pStyle w:val="Heading2"/>
        <w:spacing w:before="240" w:after="240"/>
        <w:rPr>
          <w:rFonts w:ascii="Georgia" w:hAnsi="Georgia" w:cs="Arial"/>
          <w:color w:val="1F1F1F"/>
          <w:sz w:val="36"/>
          <w:szCs w:val="36"/>
        </w:rPr>
      </w:pPr>
      <w:r>
        <w:rPr>
          <w:rFonts w:ascii="Georgia" w:hAnsi="Georgia" w:cs="Arial"/>
          <w:b/>
          <w:bCs/>
          <w:color w:val="1F1F1F"/>
        </w:rPr>
        <w:t>Funding</w:t>
      </w:r>
    </w:p>
    <w:p w14:paraId="634F9A96" w14:textId="77777777" w:rsidR="00F67F6A" w:rsidRDefault="00F67F6A" w:rsidP="00F67F6A">
      <w:pPr>
        <w:pStyle w:val="NormalWeb"/>
        <w:spacing w:before="0" w:beforeAutospacing="0" w:after="240" w:afterAutospacing="0"/>
        <w:rPr>
          <w:rFonts w:ascii="Georgia" w:hAnsi="Georgia" w:cs="Arial"/>
          <w:color w:val="1F1F1F"/>
          <w:sz w:val="30"/>
          <w:szCs w:val="30"/>
        </w:rPr>
      </w:pPr>
      <w:r>
        <w:rPr>
          <w:rFonts w:ascii="Georgia" w:hAnsi="Georgia" w:cs="Arial"/>
          <w:color w:val="1F1F1F"/>
          <w:sz w:val="30"/>
          <w:szCs w:val="30"/>
        </w:rPr>
        <w:t>This research did not receive any specific grant from funding agencies in the public, commercial, or not-for-profit sectors.</w:t>
      </w:r>
    </w:p>
    <w:p w14:paraId="7FEA5251" w14:textId="77777777" w:rsidR="00F67F6A" w:rsidRDefault="00F67F6A" w:rsidP="00F67F6A">
      <w:pPr>
        <w:pStyle w:val="Heading2"/>
        <w:spacing w:before="240" w:after="240"/>
        <w:rPr>
          <w:rFonts w:ascii="Georgia" w:hAnsi="Georgia" w:cs="Arial"/>
          <w:color w:val="1F1F1F"/>
          <w:sz w:val="36"/>
          <w:szCs w:val="36"/>
        </w:rPr>
      </w:pPr>
      <w:r>
        <w:rPr>
          <w:rFonts w:ascii="Georgia" w:hAnsi="Georgia" w:cs="Arial"/>
          <w:b/>
          <w:bCs/>
          <w:color w:val="1F1F1F"/>
        </w:rPr>
        <w:t>CRediT authorship contribution statement</w:t>
      </w:r>
    </w:p>
    <w:p w14:paraId="5B64E7DB" w14:textId="77777777" w:rsidR="00F67F6A" w:rsidRDefault="00F67F6A" w:rsidP="00F67F6A">
      <w:pPr>
        <w:pStyle w:val="NormalWeb"/>
        <w:spacing w:before="0" w:beforeAutospacing="0" w:after="0" w:afterAutospacing="0"/>
        <w:rPr>
          <w:rFonts w:ascii="Georgia" w:hAnsi="Georgia" w:cs="Arial"/>
          <w:color w:val="1F1F1F"/>
          <w:sz w:val="30"/>
          <w:szCs w:val="30"/>
        </w:rPr>
      </w:pPr>
      <w:r>
        <w:rPr>
          <w:rStyle w:val="Strong"/>
          <w:rFonts w:ascii="Georgia" w:hAnsi="Georgia" w:cs="Arial"/>
          <w:color w:val="1F1F1F"/>
          <w:sz w:val="30"/>
          <w:szCs w:val="30"/>
        </w:rPr>
        <w:t>Hamada El-Gendi:</w:t>
      </w:r>
      <w:r>
        <w:rPr>
          <w:rFonts w:ascii="Georgia" w:hAnsi="Georgia" w:cs="Arial"/>
          <w:color w:val="1F1F1F"/>
          <w:sz w:val="30"/>
          <w:szCs w:val="30"/>
        </w:rPr>
        <w:t> Conceptualization, Methodology, Investigation, Formal analysis, Writing – review &amp; editing. </w:t>
      </w:r>
      <w:r>
        <w:rPr>
          <w:rStyle w:val="Strong"/>
          <w:rFonts w:ascii="Georgia" w:hAnsi="Georgia" w:cs="Arial"/>
          <w:color w:val="1F1F1F"/>
          <w:sz w:val="30"/>
          <w:szCs w:val="30"/>
        </w:rPr>
        <w:t>Ahmed Salama:</w:t>
      </w:r>
      <w:r>
        <w:rPr>
          <w:rFonts w:ascii="Georgia" w:hAnsi="Georgia" w:cs="Arial"/>
          <w:color w:val="1F1F1F"/>
          <w:sz w:val="30"/>
          <w:szCs w:val="30"/>
        </w:rPr>
        <w:t> Conceptualization, Methodology, Investigation, Formal analysis, Writing – review &amp; editing. </w:t>
      </w:r>
      <w:r>
        <w:rPr>
          <w:rStyle w:val="Strong"/>
          <w:rFonts w:ascii="Georgia" w:hAnsi="Georgia" w:cs="Arial"/>
          <w:color w:val="1F1F1F"/>
          <w:sz w:val="30"/>
          <w:szCs w:val="30"/>
        </w:rPr>
        <w:t>Esmail M. El-Fakharany:</w:t>
      </w:r>
      <w:r>
        <w:rPr>
          <w:rFonts w:ascii="Georgia" w:hAnsi="Georgia" w:cs="Arial"/>
          <w:color w:val="1F1F1F"/>
          <w:sz w:val="30"/>
          <w:szCs w:val="30"/>
        </w:rPr>
        <w:t xml:space="preserve"> Conceptualization, Methodology, Investigation, Formal </w:t>
      </w:r>
      <w:r>
        <w:rPr>
          <w:rFonts w:ascii="Georgia" w:hAnsi="Georgia" w:cs="Arial"/>
          <w:color w:val="1F1F1F"/>
          <w:sz w:val="30"/>
          <w:szCs w:val="30"/>
        </w:rPr>
        <w:lastRenderedPageBreak/>
        <w:t>analysis, Writing – review &amp; editing. </w:t>
      </w:r>
      <w:r>
        <w:rPr>
          <w:rStyle w:val="Strong"/>
          <w:rFonts w:ascii="Georgia" w:hAnsi="Georgia" w:cs="Arial"/>
          <w:color w:val="1F1F1F"/>
          <w:sz w:val="30"/>
          <w:szCs w:val="30"/>
        </w:rPr>
        <w:t>Ahmed K. Saleh:</w:t>
      </w:r>
      <w:r>
        <w:rPr>
          <w:rFonts w:ascii="Georgia" w:hAnsi="Georgia" w:cs="Arial"/>
          <w:color w:val="1F1F1F"/>
          <w:sz w:val="30"/>
          <w:szCs w:val="30"/>
        </w:rPr>
        <w:t> Conceptualization, Methodology, Investigation, Formal analysis, Writing – review &amp; editing.</w:t>
      </w:r>
    </w:p>
    <w:p w14:paraId="491FB545" w14:textId="77777777" w:rsidR="00F67F6A" w:rsidRDefault="00F67F6A" w:rsidP="00F67F6A">
      <w:pPr>
        <w:pStyle w:val="Heading2"/>
        <w:spacing w:before="480" w:after="120"/>
        <w:rPr>
          <w:rFonts w:ascii="Georgia" w:hAnsi="Georgia" w:cs="Arial"/>
          <w:color w:val="1F1F1F"/>
          <w:sz w:val="36"/>
          <w:szCs w:val="36"/>
        </w:rPr>
      </w:pPr>
      <w:r>
        <w:rPr>
          <w:rFonts w:ascii="Georgia" w:hAnsi="Georgia" w:cs="Arial"/>
          <w:b/>
          <w:bCs/>
          <w:color w:val="1F1F1F"/>
        </w:rPr>
        <w:t>Declaration of competing interest</w:t>
      </w:r>
    </w:p>
    <w:p w14:paraId="6079E371" w14:textId="77777777" w:rsidR="00F67F6A" w:rsidRDefault="00F67F6A" w:rsidP="00F67F6A">
      <w:pPr>
        <w:pStyle w:val="NormalWeb"/>
        <w:spacing w:before="0" w:beforeAutospacing="0" w:after="240" w:afterAutospacing="0"/>
        <w:rPr>
          <w:rFonts w:ascii="Georgia" w:hAnsi="Georgia" w:cs="Arial"/>
          <w:color w:val="1F1F1F"/>
          <w:sz w:val="30"/>
          <w:szCs w:val="30"/>
        </w:rPr>
      </w:pPr>
      <w:r>
        <w:rPr>
          <w:rFonts w:ascii="Georgia" w:hAnsi="Georgia" w:cs="Arial"/>
          <w:color w:val="1F1F1F"/>
          <w:sz w:val="30"/>
          <w:szCs w:val="30"/>
        </w:rPr>
        <w:t>The authors declare no competing interests.</w:t>
      </w:r>
    </w:p>
    <w:p w14:paraId="3F175BEA" w14:textId="77777777" w:rsidR="00F67F6A" w:rsidRDefault="00F67F6A" w:rsidP="00F67F6A">
      <w:pPr>
        <w:pStyle w:val="Heading2"/>
        <w:spacing w:before="0"/>
        <w:rPr>
          <w:rFonts w:ascii="Georgia" w:hAnsi="Georgia" w:cs="Arial"/>
          <w:color w:val="1F1F1F"/>
          <w:sz w:val="36"/>
          <w:szCs w:val="36"/>
        </w:rPr>
      </w:pPr>
      <w:r>
        <w:rPr>
          <w:rFonts w:ascii="Georgia" w:hAnsi="Georgia" w:cs="Arial"/>
          <w:b/>
          <w:bCs/>
          <w:color w:val="1F1F1F"/>
        </w:rPr>
        <w:t>References (84)</w:t>
      </w:r>
    </w:p>
    <w:p w14:paraId="7E2DEF21" w14:textId="77777777" w:rsidR="00F67F6A" w:rsidRDefault="00F67F6A" w:rsidP="00F67F6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M. Abdelraof</w:t>
      </w:r>
      <w:r>
        <w:rPr>
          <w:rStyle w:val="Emphasis"/>
          <w:rFonts w:ascii="Arial" w:eastAsiaTheme="majorEastAsia" w:hAnsi="Arial" w:cs="Arial"/>
          <w:color w:val="1F1F1F"/>
          <w:sz w:val="30"/>
          <w:szCs w:val="30"/>
        </w:rPr>
        <w:t> et al.</w:t>
      </w:r>
    </w:p>
    <w:p w14:paraId="433BBDFF" w14:textId="77777777" w:rsidR="00F67F6A" w:rsidRDefault="00F67F6A" w:rsidP="00F67F6A">
      <w:pPr>
        <w:pStyle w:val="Heading3"/>
        <w:spacing w:before="0"/>
        <w:ind w:left="720"/>
        <w:rPr>
          <w:rFonts w:ascii="Georgia" w:hAnsi="Georgia" w:cs="Arial"/>
          <w:color w:val="1F1F1F"/>
          <w:sz w:val="27"/>
          <w:szCs w:val="27"/>
        </w:rPr>
      </w:pPr>
      <w:hyperlink r:id="rId14" w:tgtFrame="_self" w:history="1">
        <w:r>
          <w:rPr>
            <w:rStyle w:val="anchor-text"/>
            <w:rFonts w:ascii="Georgia" w:hAnsi="Georgia" w:cs="Arial"/>
            <w:b/>
            <w:bCs/>
            <w:color w:val="0272B1"/>
          </w:rPr>
          <w:t>Ecofriendly green conversion of potato peel wastes to high productivity bacterial cellulose</w:t>
        </w:r>
      </w:hyperlink>
    </w:p>
    <w:p w14:paraId="65F4C6F6" w14:textId="77777777" w:rsidR="00F67F6A" w:rsidRDefault="00F67F6A" w:rsidP="00F67F6A">
      <w:pPr>
        <w:pStyle w:val="Heading3"/>
        <w:spacing w:before="0"/>
        <w:ind w:left="720"/>
        <w:rPr>
          <w:rFonts w:ascii="Arial" w:hAnsi="Arial" w:cs="Arial"/>
          <w:b/>
          <w:bCs/>
          <w:color w:val="707070"/>
        </w:rPr>
      </w:pPr>
      <w:r>
        <w:rPr>
          <w:rFonts w:ascii="Arial" w:hAnsi="Arial" w:cs="Arial"/>
          <w:b/>
          <w:bCs/>
          <w:color w:val="707070"/>
        </w:rPr>
        <w:t>Carbohydrate Polymers</w:t>
      </w:r>
    </w:p>
    <w:p w14:paraId="7A81B7B6" w14:textId="77777777" w:rsidR="00F67F6A" w:rsidRDefault="00F67F6A" w:rsidP="00F67F6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(2019)</w:t>
      </w:r>
    </w:p>
    <w:p w14:paraId="5D71B3FB" w14:textId="77777777" w:rsidR="00F67F6A" w:rsidRDefault="00F67F6A" w:rsidP="00F67F6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E.M.C. Alexandre</w:t>
      </w:r>
      <w:r>
        <w:rPr>
          <w:rStyle w:val="Emphasis"/>
          <w:rFonts w:ascii="Arial" w:eastAsiaTheme="majorEastAsia" w:hAnsi="Arial" w:cs="Arial"/>
          <w:color w:val="1F1F1F"/>
          <w:sz w:val="30"/>
          <w:szCs w:val="30"/>
        </w:rPr>
        <w:t> et al.</w:t>
      </w:r>
    </w:p>
    <w:p w14:paraId="6E128F8E" w14:textId="77777777" w:rsidR="00F67F6A" w:rsidRDefault="00F67F6A" w:rsidP="00F67F6A">
      <w:pPr>
        <w:pStyle w:val="Heading3"/>
        <w:spacing w:before="0"/>
        <w:ind w:left="720"/>
        <w:rPr>
          <w:rFonts w:ascii="Georgia" w:hAnsi="Georgia" w:cs="Arial"/>
          <w:color w:val="1F1F1F"/>
          <w:sz w:val="27"/>
          <w:szCs w:val="27"/>
        </w:rPr>
      </w:pPr>
      <w:hyperlink r:id="rId15" w:tgtFrame="_self" w:history="1">
        <w:r>
          <w:rPr>
            <w:rStyle w:val="anchor-text"/>
            <w:rFonts w:ascii="Georgia" w:hAnsi="Georgia" w:cs="Arial"/>
            <w:b/>
            <w:bCs/>
            <w:color w:val="0272B1"/>
          </w:rPr>
          <w:t>Antimicrobial activity of pomegranate peel extracts performed by high pressure and enzymatic assisted extraction</w:t>
        </w:r>
      </w:hyperlink>
    </w:p>
    <w:p w14:paraId="591A1F97" w14:textId="77777777" w:rsidR="00F67F6A" w:rsidRDefault="00F67F6A" w:rsidP="00F67F6A">
      <w:pPr>
        <w:pStyle w:val="Heading3"/>
        <w:spacing w:before="0"/>
        <w:ind w:left="720"/>
        <w:rPr>
          <w:rFonts w:ascii="Arial" w:hAnsi="Arial" w:cs="Arial"/>
          <w:b/>
          <w:bCs/>
          <w:color w:val="707070"/>
        </w:rPr>
      </w:pPr>
      <w:r>
        <w:rPr>
          <w:rFonts w:ascii="Arial" w:hAnsi="Arial" w:cs="Arial"/>
          <w:b/>
          <w:bCs/>
          <w:color w:val="707070"/>
        </w:rPr>
        <w:t>Food Research International</w:t>
      </w:r>
    </w:p>
    <w:p w14:paraId="5A3AB800" w14:textId="77777777" w:rsidR="00F67F6A" w:rsidRDefault="00F67F6A" w:rsidP="00F67F6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(2019)</w:t>
      </w:r>
    </w:p>
    <w:p w14:paraId="19B1B12B" w14:textId="77777777" w:rsidR="00F67F6A" w:rsidRDefault="00F67F6A" w:rsidP="00F67F6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K.K. Bhardwaj</w:t>
      </w:r>
      <w:r>
        <w:rPr>
          <w:rStyle w:val="Emphasis"/>
          <w:rFonts w:ascii="Arial" w:eastAsiaTheme="majorEastAsia" w:hAnsi="Arial" w:cs="Arial"/>
          <w:color w:val="1F1F1F"/>
          <w:sz w:val="30"/>
          <w:szCs w:val="30"/>
        </w:rPr>
        <w:t> et al.</w:t>
      </w:r>
    </w:p>
    <w:p w14:paraId="50E677F1" w14:textId="77777777" w:rsidR="00F67F6A" w:rsidRDefault="00F67F6A" w:rsidP="00F67F6A">
      <w:pPr>
        <w:pStyle w:val="Heading3"/>
        <w:spacing w:before="0"/>
        <w:ind w:left="720"/>
        <w:rPr>
          <w:rFonts w:ascii="Georgia" w:hAnsi="Georgia" w:cs="Arial"/>
          <w:color w:val="1F1F1F"/>
          <w:sz w:val="27"/>
          <w:szCs w:val="27"/>
        </w:rPr>
      </w:pPr>
      <w:hyperlink r:id="rId16" w:tgtFrame="_self" w:history="1">
        <w:r>
          <w:rPr>
            <w:rStyle w:val="anchor-text"/>
            <w:rFonts w:ascii="Georgia" w:hAnsi="Georgia" w:cs="Arial"/>
            <w:b/>
            <w:bCs/>
            <w:color w:val="0272B1"/>
          </w:rPr>
          <w:t>Optimization of culture conditions by response surface methodology for production of extracellular esterase from Serratia sp. EST-4</w:t>
        </w:r>
      </w:hyperlink>
    </w:p>
    <w:p w14:paraId="349430AB" w14:textId="77777777" w:rsidR="00F67F6A" w:rsidRDefault="00F67F6A" w:rsidP="00F67F6A">
      <w:pPr>
        <w:pStyle w:val="Heading3"/>
        <w:spacing w:before="0"/>
        <w:ind w:left="720"/>
        <w:rPr>
          <w:rFonts w:ascii="Arial" w:hAnsi="Arial" w:cs="Arial"/>
          <w:b/>
          <w:bCs/>
          <w:color w:val="707070"/>
        </w:rPr>
      </w:pPr>
      <w:r>
        <w:rPr>
          <w:rFonts w:ascii="Arial" w:hAnsi="Arial" w:cs="Arial"/>
          <w:b/>
          <w:bCs/>
          <w:color w:val="707070"/>
        </w:rPr>
        <w:t>Journal of King Saud University - Science</w:t>
      </w:r>
    </w:p>
    <w:p w14:paraId="341BDAFA" w14:textId="77777777" w:rsidR="00F67F6A" w:rsidRDefault="00F67F6A" w:rsidP="00F67F6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(2021)</w:t>
      </w:r>
    </w:p>
    <w:p w14:paraId="2BAC6DE8" w14:textId="77777777" w:rsidR="00F67F6A" w:rsidRDefault="00F67F6A" w:rsidP="00F67F6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S. Bouazizi</w:t>
      </w:r>
      <w:r>
        <w:rPr>
          <w:rStyle w:val="Emphasis"/>
          <w:rFonts w:ascii="Arial" w:eastAsiaTheme="majorEastAsia" w:hAnsi="Arial" w:cs="Arial"/>
          <w:color w:val="1F1F1F"/>
          <w:sz w:val="30"/>
          <w:szCs w:val="30"/>
        </w:rPr>
        <w:t> et al.</w:t>
      </w:r>
    </w:p>
    <w:p w14:paraId="110122E5" w14:textId="77777777" w:rsidR="00F67F6A" w:rsidRDefault="00F67F6A" w:rsidP="00F67F6A">
      <w:pPr>
        <w:pStyle w:val="Heading3"/>
        <w:spacing w:before="0"/>
        <w:ind w:left="720"/>
        <w:rPr>
          <w:rFonts w:ascii="Georgia" w:hAnsi="Georgia" w:cs="Arial"/>
          <w:color w:val="1F1F1F"/>
          <w:sz w:val="27"/>
          <w:szCs w:val="27"/>
        </w:rPr>
      </w:pPr>
      <w:hyperlink r:id="rId17" w:tgtFrame="_self" w:history="1">
        <w:r>
          <w:rPr>
            <w:rStyle w:val="anchor-text"/>
            <w:rFonts w:ascii="Georgia" w:hAnsi="Georgia" w:cs="Arial"/>
            <w:b/>
            <w:bCs/>
            <w:color w:val="0272B1"/>
          </w:rPr>
          <w:t>Effects of prickly pear (Opuntia ficus-indica L.) peel flour as an innovative ingredient in biscuits formulation</w:t>
        </w:r>
      </w:hyperlink>
    </w:p>
    <w:p w14:paraId="73A454D9" w14:textId="77777777" w:rsidR="00F67F6A" w:rsidRDefault="00F67F6A" w:rsidP="00F67F6A">
      <w:pPr>
        <w:pStyle w:val="Heading3"/>
        <w:spacing w:before="0"/>
        <w:ind w:left="720"/>
        <w:rPr>
          <w:rFonts w:ascii="Arial" w:hAnsi="Arial" w:cs="Arial"/>
          <w:b/>
          <w:bCs/>
          <w:color w:val="707070"/>
        </w:rPr>
      </w:pPr>
      <w:r>
        <w:rPr>
          <w:rFonts w:ascii="Arial" w:hAnsi="Arial" w:cs="Arial"/>
          <w:b/>
          <w:bCs/>
          <w:color w:val="707070"/>
        </w:rPr>
        <w:t>LWT</w:t>
      </w:r>
    </w:p>
    <w:p w14:paraId="025808BD" w14:textId="77777777" w:rsidR="00F67F6A" w:rsidRDefault="00F67F6A" w:rsidP="00F67F6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(2020)</w:t>
      </w:r>
    </w:p>
    <w:p w14:paraId="0653F08A" w14:textId="77777777" w:rsidR="00F67F6A" w:rsidRDefault="00F67F6A" w:rsidP="00F67F6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J. Cai</w:t>
      </w:r>
      <w:r>
        <w:rPr>
          <w:rStyle w:val="Emphasis"/>
          <w:rFonts w:ascii="Arial" w:eastAsiaTheme="majorEastAsia" w:hAnsi="Arial" w:cs="Arial"/>
          <w:color w:val="1F1F1F"/>
          <w:sz w:val="30"/>
          <w:szCs w:val="30"/>
        </w:rPr>
        <w:t> et al.</w:t>
      </w:r>
    </w:p>
    <w:p w14:paraId="5D3F8240" w14:textId="77777777" w:rsidR="00F67F6A" w:rsidRDefault="00F67F6A" w:rsidP="00F67F6A">
      <w:pPr>
        <w:pStyle w:val="Heading3"/>
        <w:spacing w:before="0"/>
        <w:ind w:left="720"/>
        <w:rPr>
          <w:rFonts w:ascii="Georgia" w:hAnsi="Georgia" w:cs="Arial"/>
          <w:color w:val="1F1F1F"/>
          <w:sz w:val="27"/>
          <w:szCs w:val="27"/>
        </w:rPr>
      </w:pPr>
      <w:hyperlink r:id="rId18" w:tgtFrame="_self" w:history="1">
        <w:r>
          <w:rPr>
            <w:rStyle w:val="anchor-text"/>
            <w:rFonts w:ascii="Georgia" w:hAnsi="Georgia" w:cs="Arial"/>
            <w:b/>
            <w:bCs/>
            <w:color w:val="0272B1"/>
          </w:rPr>
          <w:t>Volatile composition changes of fruits in a biopolymer-coated polyethylene active packaging: Effects of modified atmosphere and packaging-shaped bacterial community</w:t>
        </w:r>
      </w:hyperlink>
    </w:p>
    <w:p w14:paraId="6874B0D9" w14:textId="77777777" w:rsidR="00F67F6A" w:rsidRDefault="00F67F6A" w:rsidP="00F67F6A">
      <w:pPr>
        <w:pStyle w:val="Heading3"/>
        <w:spacing w:before="0"/>
        <w:ind w:left="720"/>
        <w:rPr>
          <w:rFonts w:ascii="Arial" w:hAnsi="Arial" w:cs="Arial"/>
          <w:b/>
          <w:bCs/>
          <w:color w:val="707070"/>
        </w:rPr>
      </w:pPr>
      <w:r>
        <w:rPr>
          <w:rFonts w:ascii="Arial" w:hAnsi="Arial" w:cs="Arial"/>
          <w:b/>
          <w:bCs/>
          <w:color w:val="707070"/>
        </w:rPr>
        <w:t>Food Research International</w:t>
      </w:r>
    </w:p>
    <w:p w14:paraId="5FB15D0E" w14:textId="77777777" w:rsidR="00F67F6A" w:rsidRDefault="00F67F6A" w:rsidP="00F67F6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(2022)</w:t>
      </w:r>
    </w:p>
    <w:p w14:paraId="324BD554" w14:textId="77777777" w:rsidR="00F67F6A" w:rsidRDefault="00F67F6A" w:rsidP="00F67F6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Z. Cheng</w:t>
      </w:r>
      <w:r>
        <w:rPr>
          <w:rStyle w:val="Emphasis"/>
          <w:rFonts w:ascii="Arial" w:eastAsiaTheme="majorEastAsia" w:hAnsi="Arial" w:cs="Arial"/>
          <w:color w:val="1F1F1F"/>
          <w:sz w:val="30"/>
          <w:szCs w:val="30"/>
        </w:rPr>
        <w:t> et al.</w:t>
      </w:r>
    </w:p>
    <w:p w14:paraId="2243B8EE" w14:textId="77777777" w:rsidR="00F67F6A" w:rsidRDefault="00F67F6A" w:rsidP="00F67F6A">
      <w:pPr>
        <w:pStyle w:val="Heading3"/>
        <w:spacing w:before="0"/>
        <w:ind w:left="720"/>
        <w:rPr>
          <w:rFonts w:ascii="Georgia" w:hAnsi="Georgia" w:cs="Arial"/>
          <w:color w:val="1F1F1F"/>
          <w:sz w:val="27"/>
          <w:szCs w:val="27"/>
        </w:rPr>
      </w:pPr>
      <w:hyperlink r:id="rId19" w:tgtFrame="_self" w:history="1">
        <w:r>
          <w:rPr>
            <w:rStyle w:val="anchor-text"/>
            <w:rFonts w:ascii="Georgia" w:hAnsi="Georgia" w:cs="Arial"/>
            <w:b/>
            <w:bCs/>
            <w:color w:val="0272B1"/>
          </w:rPr>
          <w:t>Green synthesis of bacterial cellulose via acetic acid pre-hydrolysis liquor of agricultural corn stalk used as carbon source</w:t>
        </w:r>
      </w:hyperlink>
    </w:p>
    <w:p w14:paraId="1B1A4BE5" w14:textId="77777777" w:rsidR="00F67F6A" w:rsidRDefault="00F67F6A" w:rsidP="00F67F6A">
      <w:pPr>
        <w:pStyle w:val="Heading3"/>
        <w:spacing w:before="0"/>
        <w:ind w:left="720"/>
        <w:rPr>
          <w:rFonts w:ascii="Arial" w:hAnsi="Arial" w:cs="Arial"/>
          <w:b/>
          <w:bCs/>
          <w:color w:val="707070"/>
        </w:rPr>
      </w:pPr>
      <w:r>
        <w:rPr>
          <w:rFonts w:ascii="Arial" w:hAnsi="Arial" w:cs="Arial"/>
          <w:b/>
          <w:bCs/>
          <w:color w:val="707070"/>
        </w:rPr>
        <w:t>Bioresource Technology</w:t>
      </w:r>
    </w:p>
    <w:p w14:paraId="5ADE43F7" w14:textId="77777777" w:rsidR="00F67F6A" w:rsidRDefault="00F67F6A" w:rsidP="00F67F6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(2017)</w:t>
      </w:r>
    </w:p>
    <w:p w14:paraId="1BE24847" w14:textId="77777777" w:rsidR="00F67F6A" w:rsidRDefault="00F67F6A" w:rsidP="00F67F6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I. Cielecka</w:t>
      </w:r>
      <w:r>
        <w:rPr>
          <w:rStyle w:val="Emphasis"/>
          <w:rFonts w:ascii="Arial" w:eastAsiaTheme="majorEastAsia" w:hAnsi="Arial" w:cs="Arial"/>
          <w:color w:val="1F1F1F"/>
          <w:sz w:val="30"/>
          <w:szCs w:val="30"/>
        </w:rPr>
        <w:t> et al.</w:t>
      </w:r>
    </w:p>
    <w:p w14:paraId="52FB94B3" w14:textId="77777777" w:rsidR="00F67F6A" w:rsidRDefault="00F67F6A" w:rsidP="00F67F6A">
      <w:pPr>
        <w:pStyle w:val="Heading3"/>
        <w:spacing w:before="0"/>
        <w:ind w:left="720"/>
        <w:rPr>
          <w:rFonts w:ascii="Georgia" w:hAnsi="Georgia" w:cs="Arial"/>
          <w:color w:val="1F1F1F"/>
          <w:sz w:val="27"/>
          <w:szCs w:val="27"/>
        </w:rPr>
      </w:pPr>
      <w:hyperlink r:id="rId20" w:tgtFrame="_self" w:history="1">
        <w:r>
          <w:rPr>
            <w:rStyle w:val="anchor-text"/>
            <w:rFonts w:ascii="Georgia" w:hAnsi="Georgia" w:cs="Arial"/>
            <w:b/>
            <w:bCs/>
            <w:color w:val="0272B1"/>
          </w:rPr>
          <w:t>Response surface methodology-based improvement of the yield and differentiation of properties of bacterial cellulose by metabolic enhancers</w:t>
        </w:r>
      </w:hyperlink>
    </w:p>
    <w:p w14:paraId="188466C1" w14:textId="77777777" w:rsidR="00F67F6A" w:rsidRDefault="00F67F6A" w:rsidP="00F67F6A">
      <w:pPr>
        <w:pStyle w:val="Heading3"/>
        <w:spacing w:before="0"/>
        <w:ind w:left="720"/>
        <w:rPr>
          <w:rFonts w:ascii="Arial" w:hAnsi="Arial" w:cs="Arial"/>
          <w:b/>
          <w:bCs/>
          <w:color w:val="707070"/>
        </w:rPr>
      </w:pPr>
      <w:r>
        <w:rPr>
          <w:rFonts w:ascii="Arial" w:hAnsi="Arial" w:cs="Arial"/>
          <w:b/>
          <w:bCs/>
          <w:color w:val="707070"/>
        </w:rPr>
        <w:t>International Journal of Biological Macromolecules</w:t>
      </w:r>
    </w:p>
    <w:p w14:paraId="2A66B7C8" w14:textId="77777777" w:rsidR="00F67F6A" w:rsidRDefault="00F67F6A" w:rsidP="00F67F6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(2021)</w:t>
      </w:r>
    </w:p>
    <w:p w14:paraId="41A539F0" w14:textId="77777777" w:rsidR="00F67F6A" w:rsidRDefault="00F67F6A" w:rsidP="00F67F6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N.G. da Rosa-Garzon</w:t>
      </w:r>
      <w:r>
        <w:rPr>
          <w:rStyle w:val="Emphasis"/>
          <w:rFonts w:ascii="Arial" w:eastAsiaTheme="majorEastAsia" w:hAnsi="Arial" w:cs="Arial"/>
          <w:color w:val="1F1F1F"/>
          <w:sz w:val="30"/>
          <w:szCs w:val="30"/>
        </w:rPr>
        <w:t> et al.</w:t>
      </w:r>
    </w:p>
    <w:p w14:paraId="7AAC948F" w14:textId="77777777" w:rsidR="00F67F6A" w:rsidRDefault="00F67F6A" w:rsidP="00F67F6A">
      <w:pPr>
        <w:pStyle w:val="Heading3"/>
        <w:spacing w:before="0"/>
        <w:ind w:left="720"/>
        <w:rPr>
          <w:rFonts w:ascii="Georgia" w:hAnsi="Georgia" w:cs="Arial"/>
          <w:color w:val="1F1F1F"/>
          <w:sz w:val="27"/>
          <w:szCs w:val="27"/>
        </w:rPr>
      </w:pPr>
      <w:hyperlink r:id="rId21" w:tgtFrame="_self" w:history="1">
        <w:r>
          <w:rPr>
            <w:rStyle w:val="anchor-text"/>
            <w:rFonts w:ascii="Georgia" w:hAnsi="Georgia" w:cs="Arial"/>
            <w:b/>
            <w:bCs/>
            <w:color w:val="0272B1"/>
          </w:rPr>
          <w:t>Valorization of agricultural residues using Myceliophthora thermophila as a platform for production of lignocellulolytic enzymes for cellulose saccharification</w:t>
        </w:r>
      </w:hyperlink>
    </w:p>
    <w:p w14:paraId="49CC3320" w14:textId="77777777" w:rsidR="00F67F6A" w:rsidRDefault="00F67F6A" w:rsidP="00F67F6A">
      <w:pPr>
        <w:pStyle w:val="Heading3"/>
        <w:spacing w:before="0"/>
        <w:ind w:left="720"/>
        <w:rPr>
          <w:rFonts w:ascii="Arial" w:hAnsi="Arial" w:cs="Arial"/>
          <w:b/>
          <w:bCs/>
          <w:color w:val="707070"/>
        </w:rPr>
      </w:pPr>
      <w:r>
        <w:rPr>
          <w:rFonts w:ascii="Arial" w:hAnsi="Arial" w:cs="Arial"/>
          <w:b/>
          <w:bCs/>
          <w:color w:val="707070"/>
        </w:rPr>
        <w:t>Biomass and Bioenergy</w:t>
      </w:r>
    </w:p>
    <w:p w14:paraId="39D23229" w14:textId="77777777" w:rsidR="00F67F6A" w:rsidRDefault="00F67F6A" w:rsidP="00F67F6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(2022)</w:t>
      </w:r>
    </w:p>
    <w:p w14:paraId="4FDB1913" w14:textId="77777777" w:rsidR="00F67F6A" w:rsidRDefault="00F67F6A" w:rsidP="00F67F6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C.V.T. Do</w:t>
      </w:r>
      <w:r>
        <w:rPr>
          <w:rStyle w:val="Emphasis"/>
          <w:rFonts w:ascii="Arial" w:eastAsiaTheme="majorEastAsia" w:hAnsi="Arial" w:cs="Arial"/>
          <w:color w:val="1F1F1F"/>
          <w:sz w:val="30"/>
          <w:szCs w:val="30"/>
        </w:rPr>
        <w:t> et al.</w:t>
      </w:r>
    </w:p>
    <w:p w14:paraId="235DC100" w14:textId="77777777" w:rsidR="00F67F6A" w:rsidRDefault="00F67F6A" w:rsidP="00F67F6A">
      <w:pPr>
        <w:pStyle w:val="Heading3"/>
        <w:spacing w:before="0"/>
        <w:ind w:left="720"/>
        <w:rPr>
          <w:rFonts w:ascii="Georgia" w:hAnsi="Georgia" w:cs="Arial"/>
          <w:color w:val="1F1F1F"/>
          <w:sz w:val="27"/>
          <w:szCs w:val="27"/>
        </w:rPr>
      </w:pPr>
      <w:hyperlink r:id="rId22" w:tgtFrame="_self" w:history="1">
        <w:r>
          <w:rPr>
            <w:rStyle w:val="anchor-text"/>
            <w:rFonts w:ascii="Georgia" w:hAnsi="Georgia" w:cs="Arial"/>
            <w:b/>
            <w:bCs/>
            <w:color w:val="0272B1"/>
          </w:rPr>
          <w:t>Central composite design for simultaneously optimizing biomass and lutein production by a mixotrophic Chlorella sorokiniana TH01</w:t>
        </w:r>
      </w:hyperlink>
    </w:p>
    <w:p w14:paraId="5EC1E155" w14:textId="77777777" w:rsidR="00F67F6A" w:rsidRDefault="00F67F6A" w:rsidP="00F67F6A">
      <w:pPr>
        <w:pStyle w:val="Heading3"/>
        <w:spacing w:before="0"/>
        <w:ind w:left="720"/>
        <w:rPr>
          <w:rFonts w:ascii="Arial" w:hAnsi="Arial" w:cs="Arial"/>
          <w:b/>
          <w:bCs/>
          <w:color w:val="707070"/>
        </w:rPr>
      </w:pPr>
      <w:r>
        <w:rPr>
          <w:rFonts w:ascii="Arial" w:hAnsi="Arial" w:cs="Arial"/>
          <w:b/>
          <w:bCs/>
          <w:color w:val="707070"/>
        </w:rPr>
        <w:t>Biochemical Engineering Journal</w:t>
      </w:r>
    </w:p>
    <w:p w14:paraId="4EEE6CE5" w14:textId="77777777" w:rsidR="00F67F6A" w:rsidRDefault="00F67F6A" w:rsidP="00F67F6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(2022)</w:t>
      </w:r>
    </w:p>
    <w:p w14:paraId="2BD46010" w14:textId="77777777" w:rsidR="00F67F6A" w:rsidRDefault="00F67F6A" w:rsidP="00F67F6A">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J. Duan</w:t>
      </w:r>
      <w:r>
        <w:rPr>
          <w:rStyle w:val="Emphasis"/>
          <w:rFonts w:ascii="Arial" w:eastAsiaTheme="majorEastAsia" w:hAnsi="Arial" w:cs="Arial"/>
          <w:color w:val="1F1F1F"/>
          <w:sz w:val="30"/>
          <w:szCs w:val="30"/>
        </w:rPr>
        <w:t> et al.</w:t>
      </w:r>
    </w:p>
    <w:p w14:paraId="0D761B9C" w14:textId="77777777" w:rsidR="00F67F6A" w:rsidRDefault="00F67F6A" w:rsidP="00F67F6A">
      <w:pPr>
        <w:pStyle w:val="Heading3"/>
        <w:spacing w:before="0"/>
        <w:ind w:left="720"/>
        <w:rPr>
          <w:rFonts w:ascii="Georgia" w:hAnsi="Georgia" w:cs="Arial"/>
          <w:color w:val="1F1F1F"/>
          <w:sz w:val="27"/>
          <w:szCs w:val="27"/>
        </w:rPr>
      </w:pPr>
      <w:hyperlink r:id="rId23" w:tgtFrame="_self" w:history="1">
        <w:r>
          <w:rPr>
            <w:rStyle w:val="anchor-text"/>
            <w:rFonts w:ascii="Georgia" w:hAnsi="Georgia" w:cs="Arial"/>
            <w:b/>
            <w:bCs/>
            <w:color w:val="0272B1"/>
          </w:rPr>
          <w:t>Effect of edible coatings on the quality of fresh blueberries (Duke and Elliott) under commercial storage conditions</w:t>
        </w:r>
      </w:hyperlink>
    </w:p>
    <w:p w14:paraId="070DE254" w14:textId="77777777" w:rsidR="00F67F6A" w:rsidRDefault="00F67F6A" w:rsidP="00F67F6A">
      <w:pPr>
        <w:pStyle w:val="Heading3"/>
        <w:spacing w:before="0"/>
        <w:ind w:left="720"/>
        <w:rPr>
          <w:rFonts w:ascii="Arial" w:hAnsi="Arial" w:cs="Arial"/>
          <w:b/>
          <w:bCs/>
          <w:color w:val="707070"/>
        </w:rPr>
      </w:pPr>
      <w:r>
        <w:rPr>
          <w:rFonts w:ascii="Arial" w:hAnsi="Arial" w:cs="Arial"/>
          <w:b/>
          <w:bCs/>
          <w:color w:val="707070"/>
        </w:rPr>
        <w:t>Postharvest Biology and Technology</w:t>
      </w:r>
    </w:p>
    <w:p w14:paraId="3AB05BE6" w14:textId="77777777" w:rsidR="00F67F6A" w:rsidRDefault="00F67F6A" w:rsidP="00F67F6A">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(2011)</w:t>
      </w:r>
    </w:p>
    <w:p w14:paraId="7438E7D2" w14:textId="77777777" w:rsidR="00F67F6A" w:rsidRDefault="00F67F6A"/>
    <w:sectPr w:rsidR="00F67F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057AC"/>
    <w:multiLevelType w:val="multilevel"/>
    <w:tmpl w:val="64CE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985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223"/>
    <w:rsid w:val="00013223"/>
    <w:rsid w:val="00F67F6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B6DE2"/>
  <w15:chartTrackingRefBased/>
  <w15:docId w15:val="{DCFE34A0-0B29-41F2-8F0E-742EDFB1B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67F6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F67F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67F6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F6A"/>
    <w:rPr>
      <w:rFonts w:ascii="Times New Roman" w:eastAsia="Times New Roman" w:hAnsi="Times New Roman" w:cs="Times New Roman"/>
      <w:b/>
      <w:bCs/>
      <w:kern w:val="36"/>
      <w:sz w:val="48"/>
      <w:szCs w:val="48"/>
      <w14:ligatures w14:val="none"/>
    </w:rPr>
  </w:style>
  <w:style w:type="character" w:customStyle="1" w:styleId="title-text">
    <w:name w:val="title-text"/>
    <w:basedOn w:val="DefaultParagraphFont"/>
    <w:rsid w:val="00F67F6A"/>
  </w:style>
  <w:style w:type="character" w:styleId="Emphasis">
    <w:name w:val="Emphasis"/>
    <w:basedOn w:val="DefaultParagraphFont"/>
    <w:uiPriority w:val="20"/>
    <w:qFormat/>
    <w:rsid w:val="00F67F6A"/>
    <w:rPr>
      <w:i/>
      <w:iCs/>
    </w:rPr>
  </w:style>
  <w:style w:type="character" w:customStyle="1" w:styleId="Heading2Char">
    <w:name w:val="Heading 2 Char"/>
    <w:basedOn w:val="DefaultParagraphFont"/>
    <w:link w:val="Heading2"/>
    <w:uiPriority w:val="9"/>
    <w:semiHidden/>
    <w:rsid w:val="00F67F6A"/>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F67F6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F67F6A"/>
    <w:rPr>
      <w:color w:val="0000FF"/>
      <w:u w:val="single"/>
    </w:rPr>
  </w:style>
  <w:style w:type="character" w:customStyle="1" w:styleId="Heading3Char">
    <w:name w:val="Heading 3 Char"/>
    <w:basedOn w:val="DefaultParagraphFont"/>
    <w:link w:val="Heading3"/>
    <w:uiPriority w:val="9"/>
    <w:semiHidden/>
    <w:rsid w:val="00F67F6A"/>
    <w:rPr>
      <w:rFonts w:asciiTheme="majorHAnsi" w:eastAsiaTheme="majorEastAsia" w:hAnsiTheme="majorHAnsi" w:cstheme="majorBidi"/>
      <w:color w:val="1F3763" w:themeColor="accent1" w:themeShade="7F"/>
      <w:sz w:val="24"/>
      <w:szCs w:val="24"/>
    </w:rPr>
  </w:style>
  <w:style w:type="character" w:customStyle="1" w:styleId="mjxassistivemathml">
    <w:name w:val="mjx_assistive_mathml"/>
    <w:basedOn w:val="DefaultParagraphFont"/>
    <w:rsid w:val="00F67F6A"/>
  </w:style>
  <w:style w:type="character" w:styleId="Strong">
    <w:name w:val="Strong"/>
    <w:basedOn w:val="DefaultParagraphFont"/>
    <w:uiPriority w:val="22"/>
    <w:qFormat/>
    <w:rsid w:val="00F67F6A"/>
    <w:rPr>
      <w:b/>
      <w:bCs/>
    </w:rPr>
  </w:style>
  <w:style w:type="paragraph" w:customStyle="1" w:styleId="bib-reference">
    <w:name w:val="bib-reference"/>
    <w:basedOn w:val="Normal"/>
    <w:rsid w:val="00F67F6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uthor">
    <w:name w:val="author"/>
    <w:basedOn w:val="DefaultParagraphFont"/>
    <w:rsid w:val="00F67F6A"/>
  </w:style>
  <w:style w:type="character" w:customStyle="1" w:styleId="anchor-text">
    <w:name w:val="anchor-text"/>
    <w:basedOn w:val="DefaultParagraphFont"/>
    <w:rsid w:val="00F67F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936115">
      <w:bodyDiv w:val="1"/>
      <w:marLeft w:val="0"/>
      <w:marRight w:val="0"/>
      <w:marTop w:val="0"/>
      <w:marBottom w:val="0"/>
      <w:divBdr>
        <w:top w:val="none" w:sz="0" w:space="0" w:color="auto"/>
        <w:left w:val="none" w:sz="0" w:space="0" w:color="auto"/>
        <w:bottom w:val="none" w:sz="0" w:space="0" w:color="auto"/>
        <w:right w:val="none" w:sz="0" w:space="0" w:color="auto"/>
      </w:divBdr>
    </w:div>
    <w:div w:id="1624071655">
      <w:bodyDiv w:val="1"/>
      <w:marLeft w:val="0"/>
      <w:marRight w:val="0"/>
      <w:marTop w:val="0"/>
      <w:marBottom w:val="0"/>
      <w:divBdr>
        <w:top w:val="none" w:sz="0" w:space="0" w:color="auto"/>
        <w:left w:val="none" w:sz="0" w:space="0" w:color="auto"/>
        <w:bottom w:val="none" w:sz="0" w:space="0" w:color="auto"/>
        <w:right w:val="none" w:sz="0" w:space="0" w:color="auto"/>
      </w:divBdr>
      <w:divsChild>
        <w:div w:id="28146452">
          <w:marLeft w:val="0"/>
          <w:marRight w:val="0"/>
          <w:marTop w:val="0"/>
          <w:marBottom w:val="0"/>
          <w:divBdr>
            <w:top w:val="none" w:sz="0" w:space="0" w:color="auto"/>
            <w:left w:val="none" w:sz="0" w:space="0" w:color="auto"/>
            <w:bottom w:val="none" w:sz="0" w:space="0" w:color="auto"/>
            <w:right w:val="none" w:sz="0" w:space="0" w:color="auto"/>
          </w:divBdr>
        </w:div>
      </w:divsChild>
    </w:div>
    <w:div w:id="1729693184">
      <w:bodyDiv w:val="1"/>
      <w:marLeft w:val="0"/>
      <w:marRight w:val="0"/>
      <w:marTop w:val="0"/>
      <w:marBottom w:val="0"/>
      <w:divBdr>
        <w:top w:val="none" w:sz="0" w:space="0" w:color="auto"/>
        <w:left w:val="none" w:sz="0" w:space="0" w:color="auto"/>
        <w:bottom w:val="none" w:sz="0" w:space="0" w:color="auto"/>
        <w:right w:val="none" w:sz="0" w:space="0" w:color="auto"/>
      </w:divBdr>
      <w:divsChild>
        <w:div w:id="207763832">
          <w:marLeft w:val="0"/>
          <w:marRight w:val="0"/>
          <w:marTop w:val="0"/>
          <w:marBottom w:val="0"/>
          <w:divBdr>
            <w:top w:val="none" w:sz="0" w:space="0" w:color="auto"/>
            <w:left w:val="none" w:sz="0" w:space="0" w:color="auto"/>
            <w:bottom w:val="none" w:sz="0" w:space="0" w:color="auto"/>
            <w:right w:val="none" w:sz="0" w:space="0" w:color="auto"/>
          </w:divBdr>
          <w:divsChild>
            <w:div w:id="1482036940">
              <w:marLeft w:val="0"/>
              <w:marRight w:val="0"/>
              <w:marTop w:val="480"/>
              <w:marBottom w:val="480"/>
              <w:divBdr>
                <w:top w:val="none" w:sz="0" w:space="0" w:color="auto"/>
                <w:left w:val="none" w:sz="0" w:space="0" w:color="auto"/>
                <w:bottom w:val="none" w:sz="0" w:space="0" w:color="auto"/>
                <w:right w:val="none" w:sz="0" w:space="0" w:color="auto"/>
              </w:divBdr>
            </w:div>
          </w:divsChild>
        </w:div>
        <w:div w:id="601571263">
          <w:marLeft w:val="0"/>
          <w:marRight w:val="0"/>
          <w:marTop w:val="0"/>
          <w:marBottom w:val="0"/>
          <w:divBdr>
            <w:top w:val="none" w:sz="0" w:space="0" w:color="auto"/>
            <w:left w:val="none" w:sz="0" w:space="0" w:color="auto"/>
            <w:bottom w:val="none" w:sz="0" w:space="0" w:color="auto"/>
            <w:right w:val="none" w:sz="0" w:space="0" w:color="auto"/>
          </w:divBdr>
          <w:divsChild>
            <w:div w:id="1274509758">
              <w:marLeft w:val="0"/>
              <w:marRight w:val="0"/>
              <w:marTop w:val="0"/>
              <w:marBottom w:val="0"/>
              <w:divBdr>
                <w:top w:val="none" w:sz="0" w:space="0" w:color="auto"/>
                <w:left w:val="none" w:sz="0" w:space="0" w:color="auto"/>
                <w:bottom w:val="none" w:sz="0" w:space="0" w:color="auto"/>
                <w:right w:val="none" w:sz="0" w:space="0" w:color="auto"/>
              </w:divBdr>
            </w:div>
          </w:divsChild>
        </w:div>
        <w:div w:id="516773720">
          <w:marLeft w:val="0"/>
          <w:marRight w:val="0"/>
          <w:marTop w:val="0"/>
          <w:marBottom w:val="0"/>
          <w:divBdr>
            <w:top w:val="none" w:sz="0" w:space="0" w:color="auto"/>
            <w:left w:val="none" w:sz="0" w:space="0" w:color="auto"/>
            <w:bottom w:val="none" w:sz="0" w:space="0" w:color="auto"/>
            <w:right w:val="none" w:sz="0" w:space="0" w:color="auto"/>
          </w:divBdr>
          <w:divsChild>
            <w:div w:id="692918158">
              <w:marLeft w:val="0"/>
              <w:marRight w:val="0"/>
              <w:marTop w:val="0"/>
              <w:marBottom w:val="0"/>
              <w:divBdr>
                <w:top w:val="none" w:sz="0" w:space="0" w:color="auto"/>
                <w:left w:val="none" w:sz="0" w:space="0" w:color="auto"/>
                <w:bottom w:val="none" w:sz="0" w:space="0" w:color="auto"/>
                <w:right w:val="none" w:sz="0" w:space="0" w:color="auto"/>
              </w:divBdr>
              <w:divsChild>
                <w:div w:id="660307591">
                  <w:marLeft w:val="0"/>
                  <w:marRight w:val="0"/>
                  <w:marTop w:val="0"/>
                  <w:marBottom w:val="0"/>
                  <w:divBdr>
                    <w:top w:val="none" w:sz="0" w:space="0" w:color="auto"/>
                    <w:left w:val="none" w:sz="0" w:space="0" w:color="auto"/>
                    <w:bottom w:val="none" w:sz="0" w:space="0" w:color="auto"/>
                    <w:right w:val="none" w:sz="0" w:space="0" w:color="auto"/>
                  </w:divBdr>
                </w:div>
                <w:div w:id="931476527">
                  <w:marLeft w:val="0"/>
                  <w:marRight w:val="0"/>
                  <w:marTop w:val="0"/>
                  <w:marBottom w:val="0"/>
                  <w:divBdr>
                    <w:top w:val="none" w:sz="0" w:space="0" w:color="auto"/>
                    <w:left w:val="none" w:sz="0" w:space="0" w:color="auto"/>
                    <w:bottom w:val="none" w:sz="0" w:space="0" w:color="auto"/>
                    <w:right w:val="none" w:sz="0" w:space="0" w:color="auto"/>
                  </w:divBdr>
                </w:div>
                <w:div w:id="410548034">
                  <w:marLeft w:val="0"/>
                  <w:marRight w:val="0"/>
                  <w:marTop w:val="0"/>
                  <w:marBottom w:val="0"/>
                  <w:divBdr>
                    <w:top w:val="none" w:sz="0" w:space="0" w:color="auto"/>
                    <w:left w:val="none" w:sz="0" w:space="0" w:color="auto"/>
                    <w:bottom w:val="none" w:sz="0" w:space="0" w:color="auto"/>
                    <w:right w:val="none" w:sz="0" w:space="0" w:color="auto"/>
                  </w:divBdr>
                </w:div>
                <w:div w:id="1331178808">
                  <w:marLeft w:val="0"/>
                  <w:marRight w:val="0"/>
                  <w:marTop w:val="0"/>
                  <w:marBottom w:val="0"/>
                  <w:divBdr>
                    <w:top w:val="none" w:sz="0" w:space="0" w:color="auto"/>
                    <w:left w:val="none" w:sz="0" w:space="0" w:color="auto"/>
                    <w:bottom w:val="none" w:sz="0" w:space="0" w:color="auto"/>
                    <w:right w:val="none" w:sz="0" w:space="0" w:color="auto"/>
                  </w:divBdr>
                </w:div>
                <w:div w:id="1552417864">
                  <w:marLeft w:val="0"/>
                  <w:marRight w:val="0"/>
                  <w:marTop w:val="0"/>
                  <w:marBottom w:val="0"/>
                  <w:divBdr>
                    <w:top w:val="none" w:sz="0" w:space="0" w:color="auto"/>
                    <w:left w:val="none" w:sz="0" w:space="0" w:color="auto"/>
                    <w:bottom w:val="none" w:sz="0" w:space="0" w:color="auto"/>
                    <w:right w:val="none" w:sz="0" w:space="0" w:color="auto"/>
                  </w:divBdr>
                </w:div>
                <w:div w:id="1275867409">
                  <w:marLeft w:val="0"/>
                  <w:marRight w:val="0"/>
                  <w:marTop w:val="0"/>
                  <w:marBottom w:val="0"/>
                  <w:divBdr>
                    <w:top w:val="none" w:sz="0" w:space="0" w:color="auto"/>
                    <w:left w:val="none" w:sz="0" w:space="0" w:color="auto"/>
                    <w:bottom w:val="none" w:sz="0" w:space="0" w:color="auto"/>
                    <w:right w:val="none" w:sz="0" w:space="0" w:color="auto"/>
                  </w:divBdr>
                </w:div>
                <w:div w:id="3214196">
                  <w:marLeft w:val="0"/>
                  <w:marRight w:val="0"/>
                  <w:marTop w:val="0"/>
                  <w:marBottom w:val="0"/>
                  <w:divBdr>
                    <w:top w:val="none" w:sz="0" w:space="0" w:color="auto"/>
                    <w:left w:val="none" w:sz="0" w:space="0" w:color="auto"/>
                    <w:bottom w:val="none" w:sz="0" w:space="0" w:color="auto"/>
                    <w:right w:val="none" w:sz="0" w:space="0" w:color="auto"/>
                  </w:divBdr>
                </w:div>
                <w:div w:id="1702198653">
                  <w:marLeft w:val="0"/>
                  <w:marRight w:val="0"/>
                  <w:marTop w:val="0"/>
                  <w:marBottom w:val="0"/>
                  <w:divBdr>
                    <w:top w:val="none" w:sz="0" w:space="0" w:color="auto"/>
                    <w:left w:val="none" w:sz="0" w:space="0" w:color="auto"/>
                    <w:bottom w:val="none" w:sz="0" w:space="0" w:color="auto"/>
                    <w:right w:val="none" w:sz="0" w:space="0" w:color="auto"/>
                  </w:divBdr>
                </w:div>
                <w:div w:id="1383288482">
                  <w:marLeft w:val="0"/>
                  <w:marRight w:val="0"/>
                  <w:marTop w:val="0"/>
                  <w:marBottom w:val="0"/>
                  <w:divBdr>
                    <w:top w:val="none" w:sz="0" w:space="0" w:color="auto"/>
                    <w:left w:val="none" w:sz="0" w:space="0" w:color="auto"/>
                    <w:bottom w:val="none" w:sz="0" w:space="0" w:color="auto"/>
                    <w:right w:val="none" w:sz="0" w:space="0" w:color="auto"/>
                  </w:divBdr>
                </w:div>
                <w:div w:id="1011490878">
                  <w:marLeft w:val="0"/>
                  <w:marRight w:val="0"/>
                  <w:marTop w:val="0"/>
                  <w:marBottom w:val="0"/>
                  <w:divBdr>
                    <w:top w:val="none" w:sz="0" w:space="0" w:color="auto"/>
                    <w:left w:val="none" w:sz="0" w:space="0" w:color="auto"/>
                    <w:bottom w:val="none" w:sz="0" w:space="0" w:color="auto"/>
                    <w:right w:val="none" w:sz="0" w:space="0" w:color="auto"/>
                  </w:divBdr>
                </w:div>
                <w:div w:id="30155210">
                  <w:marLeft w:val="0"/>
                  <w:marRight w:val="0"/>
                  <w:marTop w:val="0"/>
                  <w:marBottom w:val="0"/>
                  <w:divBdr>
                    <w:top w:val="none" w:sz="0" w:space="0" w:color="auto"/>
                    <w:left w:val="none" w:sz="0" w:space="0" w:color="auto"/>
                    <w:bottom w:val="none" w:sz="0" w:space="0" w:color="auto"/>
                    <w:right w:val="none" w:sz="0" w:space="0" w:color="auto"/>
                  </w:divBdr>
                </w:div>
                <w:div w:id="1221478417">
                  <w:marLeft w:val="0"/>
                  <w:marRight w:val="0"/>
                  <w:marTop w:val="0"/>
                  <w:marBottom w:val="0"/>
                  <w:divBdr>
                    <w:top w:val="none" w:sz="0" w:space="0" w:color="auto"/>
                    <w:left w:val="none" w:sz="0" w:space="0" w:color="auto"/>
                    <w:bottom w:val="none" w:sz="0" w:space="0" w:color="auto"/>
                    <w:right w:val="none" w:sz="0" w:space="0" w:color="auto"/>
                  </w:divBdr>
                </w:div>
                <w:div w:id="1066145837">
                  <w:marLeft w:val="0"/>
                  <w:marRight w:val="0"/>
                  <w:marTop w:val="0"/>
                  <w:marBottom w:val="0"/>
                  <w:divBdr>
                    <w:top w:val="none" w:sz="0" w:space="0" w:color="auto"/>
                    <w:left w:val="none" w:sz="0" w:space="0" w:color="auto"/>
                    <w:bottom w:val="none" w:sz="0" w:space="0" w:color="auto"/>
                    <w:right w:val="none" w:sz="0" w:space="0" w:color="auto"/>
                  </w:divBdr>
                </w:div>
                <w:div w:id="196309498">
                  <w:marLeft w:val="0"/>
                  <w:marRight w:val="0"/>
                  <w:marTop w:val="0"/>
                  <w:marBottom w:val="0"/>
                  <w:divBdr>
                    <w:top w:val="none" w:sz="0" w:space="0" w:color="auto"/>
                    <w:left w:val="none" w:sz="0" w:space="0" w:color="auto"/>
                    <w:bottom w:val="none" w:sz="0" w:space="0" w:color="auto"/>
                    <w:right w:val="none" w:sz="0" w:space="0" w:color="auto"/>
                  </w:divBdr>
                </w:div>
                <w:div w:id="1077551800">
                  <w:marLeft w:val="0"/>
                  <w:marRight w:val="0"/>
                  <w:marTop w:val="0"/>
                  <w:marBottom w:val="0"/>
                  <w:divBdr>
                    <w:top w:val="none" w:sz="0" w:space="0" w:color="auto"/>
                    <w:left w:val="none" w:sz="0" w:space="0" w:color="auto"/>
                    <w:bottom w:val="none" w:sz="0" w:space="0" w:color="auto"/>
                    <w:right w:val="none" w:sz="0" w:space="0" w:color="auto"/>
                  </w:divBdr>
                </w:div>
                <w:div w:id="1843857318">
                  <w:marLeft w:val="0"/>
                  <w:marRight w:val="0"/>
                  <w:marTop w:val="0"/>
                  <w:marBottom w:val="0"/>
                  <w:divBdr>
                    <w:top w:val="none" w:sz="0" w:space="0" w:color="auto"/>
                    <w:left w:val="none" w:sz="0" w:space="0" w:color="auto"/>
                    <w:bottom w:val="none" w:sz="0" w:space="0" w:color="auto"/>
                    <w:right w:val="none" w:sz="0" w:space="0" w:color="auto"/>
                  </w:divBdr>
                </w:div>
                <w:div w:id="1672096347">
                  <w:marLeft w:val="0"/>
                  <w:marRight w:val="0"/>
                  <w:marTop w:val="0"/>
                  <w:marBottom w:val="0"/>
                  <w:divBdr>
                    <w:top w:val="none" w:sz="0" w:space="0" w:color="auto"/>
                    <w:left w:val="none" w:sz="0" w:space="0" w:color="auto"/>
                    <w:bottom w:val="none" w:sz="0" w:space="0" w:color="auto"/>
                    <w:right w:val="none" w:sz="0" w:space="0" w:color="auto"/>
                  </w:divBdr>
                </w:div>
                <w:div w:id="1861550254">
                  <w:marLeft w:val="0"/>
                  <w:marRight w:val="0"/>
                  <w:marTop w:val="0"/>
                  <w:marBottom w:val="0"/>
                  <w:divBdr>
                    <w:top w:val="none" w:sz="0" w:space="0" w:color="auto"/>
                    <w:left w:val="none" w:sz="0" w:space="0" w:color="auto"/>
                    <w:bottom w:val="none" w:sz="0" w:space="0" w:color="auto"/>
                    <w:right w:val="none" w:sz="0" w:space="0" w:color="auto"/>
                  </w:divBdr>
                </w:div>
                <w:div w:id="396902140">
                  <w:marLeft w:val="0"/>
                  <w:marRight w:val="0"/>
                  <w:marTop w:val="0"/>
                  <w:marBottom w:val="0"/>
                  <w:divBdr>
                    <w:top w:val="none" w:sz="0" w:space="0" w:color="auto"/>
                    <w:left w:val="none" w:sz="0" w:space="0" w:color="auto"/>
                    <w:bottom w:val="none" w:sz="0" w:space="0" w:color="auto"/>
                    <w:right w:val="none" w:sz="0" w:space="0" w:color="auto"/>
                  </w:divBdr>
                </w:div>
                <w:div w:id="148978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chemistry/purity" TargetMode="External"/><Relationship Id="rId13" Type="http://schemas.openxmlformats.org/officeDocument/2006/relationships/image" Target="media/image1.png"/><Relationship Id="rId18" Type="http://schemas.openxmlformats.org/officeDocument/2006/relationships/hyperlink" Target="https://www.sciencedirect.com/science/article/pii/S0963996921007432" TargetMode="External"/><Relationship Id="rId3" Type="http://schemas.openxmlformats.org/officeDocument/2006/relationships/settings" Target="settings.xml"/><Relationship Id="rId21" Type="http://schemas.openxmlformats.org/officeDocument/2006/relationships/hyperlink" Target="https://www.sciencedirect.com/science/article/pii/S0961953422001131" TargetMode="External"/><Relationship Id="rId7" Type="http://schemas.openxmlformats.org/officeDocument/2006/relationships/hyperlink" Target="https://www.sciencedirect.com/topics/biochemistry-genetics-and-molecular-biology/electron-microscopy" TargetMode="External"/><Relationship Id="rId12" Type="http://schemas.openxmlformats.org/officeDocument/2006/relationships/hyperlink" Target="https://www.sciencedirect.com/topics/food-science/molasse" TargetMode="External"/><Relationship Id="rId17" Type="http://schemas.openxmlformats.org/officeDocument/2006/relationships/hyperlink" Target="https://www.sciencedirect.com/science/article/pii/S0023643820301432"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ciencedirect.com/science/article/pii/S1018364721002652" TargetMode="External"/><Relationship Id="rId20" Type="http://schemas.openxmlformats.org/officeDocument/2006/relationships/hyperlink" Target="https://www.sciencedirect.com/science/article/pii/S0141813021015981" TargetMode="External"/><Relationship Id="rId1" Type="http://schemas.openxmlformats.org/officeDocument/2006/relationships/numbering" Target="numbering.xml"/><Relationship Id="rId6" Type="http://schemas.openxmlformats.org/officeDocument/2006/relationships/hyperlink" Target="https://www.sciencedirect.com/topics/biochemistry-genetics-and-molecular-biology/opuntia" TargetMode="External"/><Relationship Id="rId11" Type="http://schemas.openxmlformats.org/officeDocument/2006/relationships/hyperlink" Target="https://www.sciencedirect.com/topics/food-science/pomegranate" TargetMode="External"/><Relationship Id="rId24" Type="http://schemas.openxmlformats.org/officeDocument/2006/relationships/fontTable" Target="fontTable.xml"/><Relationship Id="rId5" Type="http://schemas.openxmlformats.org/officeDocument/2006/relationships/hyperlink" Target="https://www.sciencedirect.com/topics/chemistry/cellulose" TargetMode="External"/><Relationship Id="rId15" Type="http://schemas.openxmlformats.org/officeDocument/2006/relationships/hyperlink" Target="https://www.sciencedirect.com/science/article/pii/S096399691830680X" TargetMode="External"/><Relationship Id="rId23" Type="http://schemas.openxmlformats.org/officeDocument/2006/relationships/hyperlink" Target="https://www.sciencedirect.com/science/article/pii/S0925521410001808" TargetMode="External"/><Relationship Id="rId10" Type="http://schemas.openxmlformats.org/officeDocument/2006/relationships/hyperlink" Target="https://www.sciencedirect.com/topics/biochemistry-genetics-and-molecular-biology/antimicrobial-activity" TargetMode="External"/><Relationship Id="rId19" Type="http://schemas.openxmlformats.org/officeDocument/2006/relationships/hyperlink" Target="https://www.sciencedirect.com/science/article/pii/S0960852417302602" TargetMode="External"/><Relationship Id="rId4" Type="http://schemas.openxmlformats.org/officeDocument/2006/relationships/webSettings" Target="webSettings.xml"/><Relationship Id="rId9" Type="http://schemas.openxmlformats.org/officeDocument/2006/relationships/hyperlink" Target="https://www.sciencedirect.com/topics/food-science/pomegranate" TargetMode="External"/><Relationship Id="rId14" Type="http://schemas.openxmlformats.org/officeDocument/2006/relationships/hyperlink" Target="https://www.sciencedirect.com/science/article/pii/S0144861719301079" TargetMode="External"/><Relationship Id="rId22" Type="http://schemas.openxmlformats.org/officeDocument/2006/relationships/hyperlink" Target="https://www.sciencedirect.com/science/article/pii/S1369703X210030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2031</Words>
  <Characters>11582</Characters>
  <Application>Microsoft Office Word</Application>
  <DocSecurity>0</DocSecurity>
  <Lines>96</Lines>
  <Paragraphs>27</Paragraphs>
  <ScaleCrop>false</ScaleCrop>
  <Company/>
  <LinksUpToDate>false</LinksUpToDate>
  <CharactersWithSpaces>13586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 Frederick</dc:creator>
  <cp:keywords/>
  <dc:description/>
  <cp:lastModifiedBy>Augustin Frederick</cp:lastModifiedBy>
  <cp:revision>2</cp:revision>
  <dcterms:created xsi:type="dcterms:W3CDTF">2023-12-20T08:05:00Z</dcterms:created>
  <dcterms:modified xsi:type="dcterms:W3CDTF">2023-12-20T08:06:00Z</dcterms:modified>
</cp:coreProperties>
</file>