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0D4FF"/>
          <w:sz w:val="84"/>
        </w:rPr>
        <w:t>IN$DEX</w:t>
      </w:r>
    </w:p>
    <w:p>
      <w:pPr>
        <w:jc w:val="center"/>
      </w:pPr>
      <w:r>
        <w:rPr>
          <w:b/>
          <w:color w:val="CCCCCC"/>
          <w:sz w:val="22"/>
        </w:rPr>
        <w:t>IMAGE NATION DECENTRALISED EXCHANGE</w:t>
      </w:r>
    </w:p>
    <w:p/>
    <w:p>
      <w:pPr>
        <w:jc w:val="center"/>
      </w:pPr>
      <w:r>
        <w:rPr>
          <w:b/>
          <w:color w:val="FFB800"/>
          <w:sz w:val="44"/>
        </w:rPr>
        <w:t>WAVE 2 — DEVELOPER BRIEF</w:t>
      </w:r>
    </w:p>
    <w:p>
      <w:pPr>
        <w:jc w:val="center"/>
      </w:pPr>
      <w:r>
        <w:rPr>
          <w:color w:val="8B3FE8"/>
          <w:sz w:val="26"/>
        </w:rPr>
        <w:t>Solana Smart Contract Technical Specification</w:t>
      </w:r>
    </w:p>
    <w:p/>
    <w:tbl>
      <w:tblPr>
        <w:tblW w:type="auto" w:w="0"/>
        <w:jc w:val="left"/>
        <w:tblLook w:firstColumn="1" w:firstRow="1" w:lastColumn="0" w:lastRow="0" w:noHBand="0" w:noVBand="1" w:val="04A0"/>
      </w:tblPr>
      <w:tblGrid>
        <w:gridCol w:w="4658"/>
        <w:gridCol w:w="4658"/>
      </w:tblGrid>
      <w:tr>
        <w:tc>
          <w:tcPr>
            <w:tcW w:type="dxa" w:w="3168"/>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Document Version</w:t>
            </w:r>
          </w:p>
        </w:tc>
        <w:tc>
          <w:tcPr>
            <w:tcW w:type="dxa" w:w="6192"/>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1.0 — Wave 2 Initiation</w:t>
            </w:r>
          </w:p>
        </w:tc>
      </w:tr>
      <w:tr>
        <w:tc>
          <w:tcPr>
            <w:tcW w:type="dxa" w:w="3168"/>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Prepared By</w:t>
            </w:r>
          </w:p>
        </w:tc>
        <w:tc>
          <w:tcPr>
            <w:tcW w:type="dxa" w:w="6192"/>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AJ Henry, Founder — IN$DEX / Image Nation</w:t>
            </w:r>
          </w:p>
        </w:tc>
      </w:tr>
      <w:tr>
        <w:tc>
          <w:tcPr>
            <w:tcW w:type="dxa" w:w="3168"/>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Audience</w:t>
            </w:r>
          </w:p>
        </w:tc>
        <w:tc>
          <w:tcPr>
            <w:tcW w:type="dxa" w:w="6192"/>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Solana Smart Contract Developers, Backend Engineers</w:t>
            </w:r>
          </w:p>
        </w:tc>
      </w:tr>
      <w:tr>
        <w:tc>
          <w:tcPr>
            <w:tcW w:type="dxa" w:w="3168"/>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Date</w:t>
            </w:r>
          </w:p>
        </w:tc>
        <w:tc>
          <w:tcPr>
            <w:tcW w:type="dxa" w:w="6192"/>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June 2026</w:t>
            </w:r>
          </w:p>
        </w:tc>
      </w:tr>
      <w:tr>
        <w:tc>
          <w:tcPr>
            <w:tcW w:type="dxa" w:w="3168"/>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Platform Chain</w:t>
            </w:r>
          </w:p>
        </w:tc>
        <w:tc>
          <w:tcPr>
            <w:tcW w:type="dxa" w:w="6192"/>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Solana Mainnet-Beta (Devnet for testing)</w:t>
            </w:r>
          </w:p>
        </w:tc>
      </w:tr>
      <w:tr>
        <w:tc>
          <w:tcPr>
            <w:tcW w:type="dxa" w:w="3168"/>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Classification</w:t>
            </w:r>
          </w:p>
        </w:tc>
        <w:tc>
          <w:tcPr>
            <w:tcW w:type="dxa" w:w="6192"/>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CONFIDENTIAL — Authorised Personnel Only</w:t>
            </w:r>
          </w:p>
        </w:tc>
      </w:tr>
    </w:tbl>
    <w:p>
      <w:pPr>
        <w:spacing w:after="80"/>
      </w:pPr>
    </w:p>
    <w:p>
      <w:r>
        <w:br w:type="page"/>
      </w:r>
    </w:p>
    <w:p>
      <w:pPr>
        <w:spacing w:before="320" w:after="80"/>
        <w:pBdr>
          <w:bottom w:val="single" w:sz="6" w:space="1" w:color="00D4FF"/>
        </w:pBdr>
      </w:pPr>
      <w:r>
        <w:rPr>
          <w:b/>
          <w:i w:val="0"/>
          <w:color w:val="00D4FF"/>
          <w:sz w:val="32"/>
        </w:rPr>
        <w:t>1.  Executive Summary</w:t>
      </w:r>
    </w:p>
    <w:p>
      <w:pPr>
        <w:spacing w:before="0" w:after="120"/>
      </w:pPr>
      <w:r>
        <w:rPr>
          <w:b w:val="0"/>
          <w:i w:val="0"/>
          <w:sz w:val="21"/>
        </w:rPr>
        <w:t>IN$DEX is a sovereign, mobile-first decentralised exchange and P2P marketplace built for the unbanked and underbanked. Wave 1 delivered a complete 31-screen UI prototype. Wave 2 is the on-chain build — real Solana programs, real wallets, real token flows.</w:t>
      </w:r>
    </w:p>
    <w:p>
      <w:pPr>
        <w:spacing w:before="0" w:after="120"/>
      </w:pPr>
      <w:r>
        <w:rPr>
          <w:b w:val="0"/>
          <w:i w:val="0"/>
          <w:sz w:val="21"/>
        </w:rPr>
        <w:t>This brief is the single source of truth for every smart contract, program account, token mechanic, and API endpoint that developers must implement before the platform can go live. Nothing in Wave 2 begins without this document.</w:t>
      </w:r>
    </w:p>
    <w:p>
      <w:pPr>
        <w:spacing w:before="240" w:after="60"/>
      </w:pPr>
      <w:r>
        <w:rPr>
          <w:b/>
          <w:i w:val="0"/>
          <w:color w:val="FFB800"/>
          <w:sz w:val="26"/>
        </w:rPr>
        <w:t>Core Laws of IN$DEX</w:t>
      </w:r>
    </w:p>
    <w:p>
      <w:pPr>
        <w:pStyle w:val="ListBullet"/>
        <w:spacing w:after="40" w:before="0"/>
      </w:pPr>
      <w:r>
        <w:rPr>
          <w:b/>
          <w:color w:val="00D4FF"/>
          <w:sz w:val="20"/>
        </w:rPr>
        <w:t xml:space="preserve">98/2 Law: </w:t>
      </w:r>
      <w:r>
        <w:rPr>
          <w:sz w:val="20"/>
        </w:rPr>
        <w:t>Citizens keep 98% of every transaction. Always.</w:t>
      </w:r>
    </w:p>
    <w:p>
      <w:pPr>
        <w:pStyle w:val="ListBullet"/>
        <w:spacing w:after="40" w:before="0"/>
      </w:pPr>
      <w:r>
        <w:rPr>
          <w:b/>
          <w:color w:val="00D4FF"/>
          <w:sz w:val="20"/>
        </w:rPr>
        <w:t xml:space="preserve">Civilisation Fee: </w:t>
      </w:r>
      <w:r>
        <w:rPr>
          <w:sz w:val="20"/>
        </w:rPr>
        <w:t>2% Civilisation Fee routes to the IN$DEX Treasury PDA.</w:t>
      </w:r>
    </w:p>
    <w:p>
      <w:pPr>
        <w:pStyle w:val="ListBullet"/>
        <w:spacing w:after="40" w:before="0"/>
      </w:pPr>
      <w:r>
        <w:rPr>
          <w:b/>
          <w:color w:val="00D4FF"/>
          <w:sz w:val="20"/>
        </w:rPr>
        <w:t xml:space="preserve">Grid Accounts: </w:t>
      </w:r>
      <w:r>
        <w:rPr>
          <w:sz w:val="20"/>
        </w:rPr>
        <w:t>No seed phrases. Email-based MPC via Squads Protocol.</w:t>
      </w:r>
    </w:p>
    <w:p>
      <w:pPr>
        <w:pStyle w:val="ListBullet"/>
        <w:spacing w:after="40" w:before="0"/>
      </w:pPr>
      <w:r>
        <w:rPr>
          <w:b/>
          <w:color w:val="00D4FF"/>
          <w:sz w:val="20"/>
        </w:rPr>
        <w:t xml:space="preserve">Genesis Bonus: </w:t>
      </w:r>
      <w:r>
        <w:rPr>
          <w:sz w:val="20"/>
        </w:rPr>
        <w:t>50 INDX on first wallet activation. A$0.50 per token. Genesis supply capped.</w:t>
      </w:r>
    </w:p>
    <w:p>
      <w:pPr>
        <w:pStyle w:val="ListBullet"/>
        <w:spacing w:after="40" w:before="0"/>
      </w:pPr>
      <w:r>
        <w:rPr>
          <w:b/>
          <w:color w:val="00D4FF"/>
          <w:sz w:val="20"/>
        </w:rPr>
        <w:t xml:space="preserve">Receipt NFTs: </w:t>
      </w:r>
      <w:r>
        <w:rPr>
          <w:sz w:val="20"/>
        </w:rPr>
        <w:t>Every marketplace receipt minted as a compressed NFT (~$0.000005/mint).</w:t>
      </w:r>
    </w:p>
    <w:p>
      <w:pPr>
        <w:pStyle w:val="ListBullet"/>
        <w:spacing w:after="40" w:before="0"/>
      </w:pPr>
      <w:r>
        <w:rPr>
          <w:b/>
          <w:color w:val="00D4FF"/>
          <w:sz w:val="20"/>
        </w:rPr>
        <w:t xml:space="preserve">Royalties: </w:t>
      </w:r>
      <w:r>
        <w:rPr>
          <w:sz w:val="20"/>
        </w:rPr>
        <w:t>Story Protocol recursive royalties on all RWA and digital asset resales.</w:t>
      </w:r>
    </w:p>
    <w:p/>
    <w:p>
      <w:pPr>
        <w:spacing w:before="320" w:after="80"/>
        <w:pBdr>
          <w:bottom w:val="single" w:sz="6" w:space="1" w:color="00D4FF"/>
        </w:pBdr>
      </w:pPr>
      <w:r>
        <w:rPr>
          <w:b/>
          <w:i w:val="0"/>
          <w:color w:val="00D4FF"/>
          <w:sz w:val="32"/>
        </w:rPr>
        <w:t>2.  Architecture Overview</w:t>
      </w:r>
    </w:p>
    <w:p>
      <w:pPr>
        <w:spacing w:before="240" w:after="60"/>
      </w:pPr>
      <w:r>
        <w:rPr>
          <w:b/>
          <w:i w:val="0"/>
          <w:color w:val="FFB800"/>
          <w:sz w:val="26"/>
        </w:rPr>
        <w:t>2.1  Program Map</w:t>
      </w:r>
    </w:p>
    <w:p>
      <w:pPr>
        <w:spacing w:before="0" w:after="120"/>
      </w:pPr>
      <w:r>
        <w:rPr>
          <w:b w:val="0"/>
          <w:i w:val="0"/>
          <w:sz w:val="20"/>
        </w:rPr>
        <w:t>Five Solana programs (on-chain smart contracts) power the full platform:</w:t>
      </w:r>
    </w:p>
    <w:tbl>
      <w:tblPr>
        <w:tblW w:type="auto" w:w="0"/>
        <w:jc w:val="left"/>
        <w:tblLook w:firstColumn="1" w:firstRow="1" w:lastColumn="0" w:lastRow="0" w:noHBand="0" w:noVBand="1" w:val="04A0"/>
      </w:tblPr>
      <w:tblGrid>
        <w:gridCol w:w="3106"/>
        <w:gridCol w:w="3106"/>
        <w:gridCol w:w="3106"/>
      </w:tblGrid>
      <w:tr>
        <w:tc>
          <w:tcPr>
            <w:tcW w:type="dxa" w:w="2304"/>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Program Name</w:t>
            </w:r>
          </w:p>
        </w:tc>
        <w:tc>
          <w:tcPr>
            <w:tcW w:type="dxa" w:w="2736"/>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Program ID (Placeholder)</w:t>
            </w:r>
          </w:p>
        </w:tc>
        <w:tc>
          <w:tcPr>
            <w:tcW w:type="dxa" w:w="4320"/>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Responsibility</w:t>
            </w:r>
          </w:p>
        </w:tc>
      </w:tr>
      <w:tr>
        <w:tc>
          <w:tcPr>
            <w:tcW w:type="dxa" w:w="230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indx_escrow</w:t>
            </w:r>
          </w:p>
        </w:tc>
        <w:tc>
          <w:tcPr>
            <w:tcW w:type="dxa" w:w="273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ESCROW1111...1111</w:t>
            </w:r>
          </w:p>
        </w:tc>
        <w:tc>
          <w:tcPr>
            <w:tcW w:type="dxa" w:w="432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Marketplace &amp; SovereignPay P2P escrow, 98/2 fee split</w:t>
            </w:r>
          </w:p>
        </w:tc>
      </w:tr>
      <w:tr>
        <w:tc>
          <w:tcPr>
            <w:tcW w:type="dxa" w:w="230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indx_token</w:t>
            </w:r>
          </w:p>
        </w:tc>
        <w:tc>
          <w:tcPr>
            <w:tcW w:type="dxa" w:w="273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INDXTKN111...1111</w:t>
            </w:r>
          </w:p>
        </w:tc>
        <w:tc>
          <w:tcPr>
            <w:tcW w:type="dxa" w:w="432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INDX SPL token mint, Genesis bonus distribution, Sovereign Yield</w:t>
            </w:r>
          </w:p>
        </w:tc>
      </w:tr>
      <w:tr>
        <w:tc>
          <w:tcPr>
            <w:tcW w:type="dxa" w:w="230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indx_governance</w:t>
            </w:r>
          </w:p>
        </w:tc>
        <w:tc>
          <w:tcPr>
            <w:tcW w:type="dxa" w:w="273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GOVPROG111...1111</w:t>
            </w:r>
          </w:p>
        </w:tc>
        <w:tc>
          <w:tcPr>
            <w:tcW w:type="dxa" w:w="432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GVE proposals, Wisdom Score gating, vote tallying</w:t>
            </w:r>
          </w:p>
        </w:tc>
      </w:tr>
      <w:tr>
        <w:tc>
          <w:tcPr>
            <w:tcW w:type="dxa" w:w="230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indx_nft</w:t>
            </w:r>
          </w:p>
        </w:tc>
        <w:tc>
          <w:tcPr>
            <w:tcW w:type="dxa" w:w="273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NFTPROG111...1111</w:t>
            </w:r>
          </w:p>
        </w:tc>
        <w:tc>
          <w:tcPr>
            <w:tcW w:type="dxa" w:w="432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Compressed NFT receipt minting (Metaplex Bubblegum wrapper)</w:t>
            </w:r>
          </w:p>
        </w:tc>
      </w:tr>
      <w:tr>
        <w:tc>
          <w:tcPr>
            <w:tcW w:type="dxa" w:w="230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indx_identity</w:t>
            </w:r>
          </w:p>
        </w:tc>
        <w:tc>
          <w:tcPr>
            <w:tcW w:type="dxa" w:w="273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IDPROG1111...1111</w:t>
            </w:r>
          </w:p>
        </w:tc>
        <w:tc>
          <w:tcPr>
            <w:tcW w:type="dxa" w:w="432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Sovereign verification tiers, Grid Account registration</w:t>
            </w:r>
          </w:p>
        </w:tc>
      </w:tr>
    </w:tbl>
    <w:p>
      <w:pPr>
        <w:spacing w:after="120"/>
      </w:pPr>
    </w:p>
    <w:p>
      <w:pPr>
        <w:spacing w:before="240" w:after="60"/>
      </w:pPr>
      <w:r>
        <w:rPr>
          <w:b/>
          <w:i w:val="0"/>
          <w:color w:val="FFB800"/>
          <w:sz w:val="26"/>
        </w:rPr>
        <w:t>2.2  Key Accounts &amp; PDAs</w:t>
      </w:r>
    </w:p>
    <w:p>
      <w:pPr>
        <w:spacing w:before="0" w:after="120"/>
      </w:pPr>
      <w:r>
        <w:rPr>
          <w:b w:val="0"/>
          <w:i w:val="0"/>
          <w:sz w:val="20"/>
        </w:rPr>
        <w:t>All program-derived addresses (PDAs) use the seeds listed below:</w:t>
      </w:r>
    </w:p>
    <w:tbl>
      <w:tblPr>
        <w:tblW w:type="auto" w:w="0"/>
        <w:jc w:val="left"/>
        <w:tblLook w:firstColumn="1" w:firstRow="1" w:lastColumn="0" w:lastRow="0" w:noHBand="0" w:noVBand="1" w:val="04A0"/>
      </w:tblPr>
      <w:tblGrid>
        <w:gridCol w:w="3106"/>
        <w:gridCol w:w="3106"/>
        <w:gridCol w:w="3106"/>
      </w:tblGrid>
      <w:tr>
        <w:tc>
          <w:tcPr>
            <w:tcW w:type="dxa" w:w="2448"/>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PDA Name</w:t>
            </w:r>
          </w:p>
        </w:tc>
        <w:tc>
          <w:tcPr>
            <w:tcW w:type="dxa" w:w="3600"/>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Seeds</w:t>
            </w:r>
          </w:p>
        </w:tc>
        <w:tc>
          <w:tcPr>
            <w:tcW w:type="dxa" w:w="3312"/>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Holds</w:t>
            </w:r>
          </w:p>
        </w:tc>
      </w:tr>
      <w:tr>
        <w:tc>
          <w:tcPr>
            <w:tcW w:type="dxa" w:w="244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Treasury PDA</w:t>
            </w:r>
          </w:p>
        </w:tc>
        <w:tc>
          <w:tcPr>
            <w:tcW w:type="dxa" w:w="360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[b"treasury", program_id]</w:t>
            </w:r>
          </w:p>
        </w:tc>
        <w:tc>
          <w:tcPr>
            <w:tcW w:type="dxa" w:w="331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2% Civilisation Fees (SOL + USDC)</w:t>
            </w:r>
          </w:p>
        </w:tc>
      </w:tr>
      <w:tr>
        <w:tc>
          <w:tcPr>
            <w:tcW w:type="dxa" w:w="2448"/>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Escrow PDA</w:t>
            </w:r>
          </w:p>
        </w:tc>
        <w:tc>
          <w:tcPr>
            <w:tcW w:type="dxa" w:w="360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[b"escrow", buyer_pubkey, listing_id]</w:t>
            </w:r>
          </w:p>
        </w:tc>
        <w:tc>
          <w:tcPr>
            <w:tcW w:type="dxa" w:w="331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Held funds during active marketplace trade</w:t>
            </w:r>
          </w:p>
        </w:tc>
      </w:tr>
      <w:tr>
        <w:tc>
          <w:tcPr>
            <w:tcW w:type="dxa" w:w="244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User State PDA</w:t>
            </w:r>
          </w:p>
        </w:tc>
        <w:tc>
          <w:tcPr>
            <w:tcW w:type="dxa" w:w="360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[b"user", wallet_pubkey]</w:t>
            </w:r>
          </w:p>
        </w:tc>
        <w:tc>
          <w:tcPr>
            <w:tcW w:type="dxa" w:w="331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Wisdom Score, tier, INDX balance ref, vote history</w:t>
            </w:r>
          </w:p>
        </w:tc>
      </w:tr>
      <w:tr>
        <w:tc>
          <w:tcPr>
            <w:tcW w:type="dxa" w:w="2448"/>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Listing PDA</w:t>
            </w:r>
          </w:p>
        </w:tc>
        <w:tc>
          <w:tcPr>
            <w:tcW w:type="dxa" w:w="360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[b"listing", seller_pubkey, listing_nonce]</w:t>
            </w:r>
          </w:p>
        </w:tc>
        <w:tc>
          <w:tcPr>
            <w:tcW w:type="dxa" w:w="331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Price, condition, status, escrow ref</w:t>
            </w:r>
          </w:p>
        </w:tc>
      </w:tr>
      <w:tr>
        <w:tc>
          <w:tcPr>
            <w:tcW w:type="dxa" w:w="244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Governance PDA</w:t>
            </w:r>
          </w:p>
        </w:tc>
        <w:tc>
          <w:tcPr>
            <w:tcW w:type="dxa" w:w="360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[b"proposal", proposal_id]</w:t>
            </w:r>
          </w:p>
        </w:tc>
        <w:tc>
          <w:tcPr>
            <w:tcW w:type="dxa" w:w="331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Vote counts, threshold, deadline, outcome</w:t>
            </w:r>
          </w:p>
        </w:tc>
      </w:tr>
      <w:tr>
        <w:tc>
          <w:tcPr>
            <w:tcW w:type="dxa" w:w="2448"/>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Genesis Vault PDA</w:t>
            </w:r>
          </w:p>
        </w:tc>
        <w:tc>
          <w:tcPr>
            <w:tcW w:type="dxa" w:w="360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[b"genesis", program_id]</w:t>
            </w:r>
          </w:p>
        </w:tc>
        <w:tc>
          <w:tcPr>
            <w:tcW w:type="dxa" w:w="331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Reserved INDX for onboarding bonuses</w:t>
            </w:r>
          </w:p>
        </w:tc>
      </w:tr>
    </w:tbl>
    <w:p>
      <w:pPr>
        <w:spacing w:after="120"/>
      </w:pPr>
    </w:p>
    <w:p>
      <w:r>
        <w:br w:type="page"/>
      </w:r>
    </w:p>
    <w:p>
      <w:pPr>
        <w:spacing w:before="320" w:after="80"/>
        <w:pBdr>
          <w:bottom w:val="single" w:sz="6" w:space="1" w:color="00D4FF"/>
        </w:pBdr>
      </w:pPr>
      <w:r>
        <w:rPr>
          <w:b/>
          <w:i w:val="0"/>
          <w:color w:val="00D4FF"/>
          <w:sz w:val="32"/>
        </w:rPr>
        <w:t>3.  Escrow Contract (indx_escrow)</w:t>
      </w:r>
    </w:p>
    <w:p>
      <w:pPr>
        <w:spacing w:before="0" w:after="120"/>
      </w:pPr>
      <w:r>
        <w:rPr>
          <w:b w:val="0"/>
          <w:i w:val="0"/>
          <w:sz w:val="21"/>
        </w:rPr>
        <w:t>The escrow contract is the financial backbone of IN$DEX. It handles every P2P payment and every marketplace transaction. It MUST enforce the 98/2 split atomically — there is no circumstance under which the platform releases funds without routing the Civilisation Fee.</w:t>
      </w:r>
    </w:p>
    <w:p>
      <w:pPr>
        <w:spacing w:before="240" w:after="60"/>
      </w:pPr>
      <w:r>
        <w:rPr>
          <w:b/>
          <w:i w:val="0"/>
          <w:color w:val="FFB800"/>
          <w:sz w:val="26"/>
        </w:rPr>
        <w:t>3.1  Escrow Lifecycle</w:t>
      </w:r>
    </w:p>
    <w:tbl>
      <w:tblPr>
        <w:tblW w:type="auto" w:w="0"/>
        <w:jc w:val="left"/>
        <w:tblLook w:firstColumn="1" w:firstRow="1" w:lastColumn="0" w:lastRow="0" w:noHBand="0" w:noVBand="1" w:val="04A0"/>
      </w:tblPr>
      <w:tblGrid>
        <w:gridCol w:w="4658"/>
        <w:gridCol w:w="4658"/>
      </w:tblGrid>
      <w:tr>
        <w:tc>
          <w:tcPr>
            <w:tcW w:type="dxa" w:w="2592"/>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Step 1 — List</w:t>
            </w:r>
          </w:p>
        </w:tc>
        <w:tc>
          <w:tcPr>
            <w:tcW w:type="dxa" w:w="6768"/>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Seller calls create_listing(). Listing PDA created. No funds locked yet.</w:t>
            </w:r>
          </w:p>
        </w:tc>
      </w:tr>
      <w:tr>
        <w:tc>
          <w:tcPr>
            <w:tcW w:type="dxa" w:w="2592"/>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Step 2 — Buy</w:t>
            </w:r>
          </w:p>
        </w:tc>
        <w:tc>
          <w:tcPr>
            <w:tcW w:type="dxa" w:w="6768"/>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Buyer calls fund_escrow(). Funds (SOL or USDC) locked in Escrow PDA.</w:t>
            </w:r>
          </w:p>
        </w:tc>
      </w:tr>
      <w:tr>
        <w:tc>
          <w:tcPr>
            <w:tcW w:type="dxa" w:w="2592"/>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Step 3 — Confirm</w:t>
            </w:r>
          </w:p>
        </w:tc>
        <w:tc>
          <w:tcPr>
            <w:tcW w:type="dxa" w:w="6768"/>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Buyer or auto-timeout calls release_escrow(). Atomic split executes.</w:t>
            </w:r>
          </w:p>
        </w:tc>
      </w:tr>
      <w:tr>
        <w:tc>
          <w:tcPr>
            <w:tcW w:type="dxa" w:w="2592"/>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Step 4 — Dispute</w:t>
            </w:r>
          </w:p>
        </w:tc>
        <w:tc>
          <w:tcPr>
            <w:tcW w:type="dxa" w:w="6768"/>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Either party calls open_dispute(). Funds frozen pending arbitration.</w:t>
            </w:r>
          </w:p>
        </w:tc>
      </w:tr>
      <w:tr>
        <w:tc>
          <w:tcPr>
            <w:tcW w:type="dxa" w:w="2592"/>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Step 5 — Resolve</w:t>
            </w:r>
          </w:p>
        </w:tc>
        <w:tc>
          <w:tcPr>
            <w:tcW w:type="dxa" w:w="6768"/>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SIINDEX arbiter or DAO vote calls resolve_dispute(). Funds released/refunded.</w:t>
            </w:r>
          </w:p>
        </w:tc>
      </w:tr>
    </w:tbl>
    <w:p>
      <w:pPr>
        <w:spacing w:after="80"/>
      </w:pPr>
    </w:p>
    <w:p>
      <w:pPr>
        <w:spacing w:before="240" w:after="60"/>
      </w:pPr>
      <w:r>
        <w:rPr>
          <w:b/>
          <w:i w:val="0"/>
          <w:color w:val="FFB800"/>
          <w:sz w:val="26"/>
        </w:rPr>
        <w:t>3.2  Fee Split — release_escrow() Logic</w:t>
      </w:r>
    </w:p>
    <w:p>
      <w:pPr>
        <w:spacing w:before="0" w:after="120"/>
      </w:pPr>
      <w:r>
        <w:rPr>
          <w:b w:val="0"/>
          <w:i w:val="0"/>
          <w:sz w:val="20"/>
        </w:rPr>
        <w:t>The following pseudo-code is the canonical implementation reference:</w:t>
      </w:r>
    </w:p>
    <w:p>
      <w:pPr>
        <w:spacing w:before="40" w:after="40"/>
        <w:ind w:left="288"/>
      </w:pPr>
      <w:r>
        <w:rPr>
          <w:rFonts w:ascii="Courier New" w:hAnsi="Courier New"/>
          <w:color w:val="00E5A0"/>
          <w:sz w:val="17"/>
        </w:rPr>
        <w:t>fn release_escrow(ctx: Context&lt;ReleaseEscrow&gt;) -&gt; Result&lt;()&gt; {</w:t>
      </w:r>
    </w:p>
    <w:p>
      <w:pPr>
        <w:spacing w:before="40" w:after="40"/>
        <w:ind w:left="288"/>
      </w:pPr>
      <w:r>
        <w:rPr>
          <w:rFonts w:ascii="Courier New" w:hAnsi="Courier New"/>
          <w:color w:val="00E5A0"/>
          <w:sz w:val="17"/>
        </w:rPr>
        <w:t xml:space="preserve">    let escrow = &amp;ctx.accounts.escrow_pda;</w:t>
      </w:r>
    </w:p>
    <w:p>
      <w:pPr>
        <w:spacing w:before="40" w:after="40"/>
        <w:ind w:left="288"/>
      </w:pPr>
      <w:r>
        <w:rPr>
          <w:rFonts w:ascii="Courier New" w:hAnsi="Courier New"/>
          <w:color w:val="00E5A0"/>
          <w:sz w:val="17"/>
        </w:rPr>
        <w:t xml:space="preserve">    let total   = escrow.amount;            // e.g. 1_000_000 lamports</w:t>
      </w:r>
    </w:p>
    <w:p>
      <w:pPr>
        <w:spacing w:before="40" w:after="40"/>
        <w:ind w:left="288"/>
      </w:pPr>
      <w:r>
        <w:rPr>
          <w:rFonts w:ascii="Courier New" w:hAnsi="Courier New"/>
          <w:color w:val="00E5A0"/>
          <w:sz w:val="17"/>
        </w:rPr>
        <w:t xml:space="preserve">    let fee     = total * 2 / 100;          // 2% Civilisation Fee</w:t>
      </w:r>
    </w:p>
    <w:p>
      <w:pPr>
        <w:spacing w:before="40" w:after="40"/>
        <w:ind w:left="288"/>
      </w:pPr>
      <w:r>
        <w:rPr>
          <w:rFonts w:ascii="Courier New" w:hAnsi="Courier New"/>
          <w:color w:val="00E5A0"/>
          <w:sz w:val="17"/>
        </w:rPr>
        <w:t xml:space="preserve">    let payout  = total - fee;              // 98% to seller</w:t>
      </w:r>
    </w:p>
    <w:p>
      <w:pPr>
        <w:spacing w:before="40" w:after="40"/>
        <w:ind w:left="288"/>
      </w:pPr>
      <w:r>
        <w:rPr>
          <w:rFonts w:ascii="Courier New" w:hAnsi="Courier New"/>
          <w:color w:val="00E5A0"/>
          <w:sz w:val="17"/>
        </w:rPr>
      </w:r>
    </w:p>
    <w:p>
      <w:pPr>
        <w:spacing w:before="40" w:after="40"/>
        <w:ind w:left="288"/>
      </w:pPr>
      <w:r>
        <w:rPr>
          <w:rFonts w:ascii="Courier New" w:hAnsi="Courier New"/>
          <w:color w:val="00E5A0"/>
          <w:sz w:val="17"/>
        </w:rPr>
        <w:t xml:space="preserve">    // Transfer payout → seller</w:t>
      </w:r>
    </w:p>
    <w:p>
      <w:pPr>
        <w:spacing w:before="40" w:after="40"/>
        <w:ind w:left="288"/>
      </w:pPr>
      <w:r>
        <w:rPr>
          <w:rFonts w:ascii="Courier New" w:hAnsi="Courier New"/>
          <w:color w:val="00E5A0"/>
          <w:sz w:val="17"/>
        </w:rPr>
        <w:t xml:space="preserve">    transfer(ctx.accounts.escrow_pda,</w:t>
      </w:r>
    </w:p>
    <w:p>
      <w:pPr>
        <w:spacing w:before="40" w:after="40"/>
        <w:ind w:left="288"/>
      </w:pPr>
      <w:r>
        <w:rPr>
          <w:rFonts w:ascii="Courier New" w:hAnsi="Courier New"/>
          <w:color w:val="00E5A0"/>
          <w:sz w:val="17"/>
        </w:rPr>
        <w:t xml:space="preserve">             ctx.accounts.seller, payout)?;</w:t>
      </w:r>
    </w:p>
    <w:p>
      <w:pPr>
        <w:spacing w:before="40" w:after="40"/>
        <w:ind w:left="288"/>
      </w:pPr>
      <w:r>
        <w:rPr>
          <w:rFonts w:ascii="Courier New" w:hAnsi="Courier New"/>
          <w:color w:val="00E5A0"/>
          <w:sz w:val="17"/>
        </w:rPr>
      </w:r>
    </w:p>
    <w:p>
      <w:pPr>
        <w:spacing w:before="40" w:after="40"/>
        <w:ind w:left="288"/>
      </w:pPr>
      <w:r>
        <w:rPr>
          <w:rFonts w:ascii="Courier New" w:hAnsi="Courier New"/>
          <w:color w:val="00E5A0"/>
          <w:sz w:val="17"/>
        </w:rPr>
        <w:t xml:space="preserve">    // Transfer fee → Treasury PDA</w:t>
      </w:r>
    </w:p>
    <w:p>
      <w:pPr>
        <w:spacing w:before="40" w:after="40"/>
        <w:ind w:left="288"/>
      </w:pPr>
      <w:r>
        <w:rPr>
          <w:rFonts w:ascii="Courier New" w:hAnsi="Courier New"/>
          <w:color w:val="00E5A0"/>
          <w:sz w:val="17"/>
        </w:rPr>
        <w:t xml:space="preserve">    transfer(ctx.accounts.escrow_pda,</w:t>
      </w:r>
    </w:p>
    <w:p>
      <w:pPr>
        <w:spacing w:before="40" w:after="40"/>
        <w:ind w:left="288"/>
      </w:pPr>
      <w:r>
        <w:rPr>
          <w:rFonts w:ascii="Courier New" w:hAnsi="Courier New"/>
          <w:color w:val="00E5A0"/>
          <w:sz w:val="17"/>
        </w:rPr>
        <w:t xml:space="preserve">             ctx.accounts.treasury_pda, fee)?;</w:t>
      </w:r>
    </w:p>
    <w:p>
      <w:pPr>
        <w:spacing w:before="40" w:after="40"/>
        <w:ind w:left="288"/>
      </w:pPr>
      <w:r>
        <w:rPr>
          <w:rFonts w:ascii="Courier New" w:hAnsi="Courier New"/>
          <w:color w:val="00E5A0"/>
          <w:sz w:val="17"/>
        </w:rPr>
      </w:r>
    </w:p>
    <w:p>
      <w:pPr>
        <w:spacing w:before="40" w:after="40"/>
        <w:ind w:left="288"/>
      </w:pPr>
      <w:r>
        <w:rPr>
          <w:rFonts w:ascii="Courier New" w:hAnsi="Courier New"/>
          <w:color w:val="00E5A0"/>
          <w:sz w:val="17"/>
        </w:rPr>
        <w:t xml:space="preserve">    // Emit SovereignPay receipt event</w:t>
      </w:r>
    </w:p>
    <w:p>
      <w:pPr>
        <w:spacing w:before="40" w:after="40"/>
        <w:ind w:left="288"/>
      </w:pPr>
      <w:r>
        <w:rPr>
          <w:rFonts w:ascii="Courier New" w:hAnsi="Courier New"/>
          <w:color w:val="00E5A0"/>
          <w:sz w:val="17"/>
        </w:rPr>
        <w:t xml:space="preserve">    emit!(EscrowReleased {</w:t>
      </w:r>
    </w:p>
    <w:p>
      <w:pPr>
        <w:spacing w:before="40" w:after="40"/>
        <w:ind w:left="288"/>
      </w:pPr>
      <w:r>
        <w:rPr>
          <w:rFonts w:ascii="Courier New" w:hAnsi="Courier New"/>
          <w:color w:val="00E5A0"/>
          <w:sz w:val="17"/>
        </w:rPr>
        <w:t xml:space="preserve">        buyer:   ctx.accounts.buyer.key(),</w:t>
      </w:r>
    </w:p>
    <w:p>
      <w:pPr>
        <w:spacing w:before="40" w:after="40"/>
        <w:ind w:left="288"/>
      </w:pPr>
      <w:r>
        <w:rPr>
          <w:rFonts w:ascii="Courier New" w:hAnsi="Courier New"/>
          <w:color w:val="00E5A0"/>
          <w:sz w:val="17"/>
        </w:rPr>
        <w:t xml:space="preserve">        seller:  ctx.accounts.seller.key(),</w:t>
      </w:r>
    </w:p>
    <w:p>
      <w:pPr>
        <w:spacing w:before="40" w:after="40"/>
        <w:ind w:left="288"/>
      </w:pPr>
      <w:r>
        <w:rPr>
          <w:rFonts w:ascii="Courier New" w:hAnsi="Courier New"/>
          <w:color w:val="00E5A0"/>
          <w:sz w:val="17"/>
        </w:rPr>
        <w:t xml:space="preserve">        amount:  total,</w:t>
      </w:r>
    </w:p>
    <w:p>
      <w:pPr>
        <w:spacing w:before="40" w:after="40"/>
        <w:ind w:left="288"/>
      </w:pPr>
      <w:r>
        <w:rPr>
          <w:rFonts w:ascii="Courier New" w:hAnsi="Courier New"/>
          <w:color w:val="00E5A0"/>
          <w:sz w:val="17"/>
        </w:rPr>
        <w:t xml:space="preserve">        fee:     fee,</w:t>
      </w:r>
    </w:p>
    <w:p>
      <w:pPr>
        <w:spacing w:before="40" w:after="40"/>
        <w:ind w:left="288"/>
      </w:pPr>
      <w:r>
        <w:rPr>
          <w:rFonts w:ascii="Courier New" w:hAnsi="Courier New"/>
          <w:color w:val="00E5A0"/>
          <w:sz w:val="17"/>
        </w:rPr>
        <w:t xml:space="preserve">        payout:  payout,</w:t>
      </w:r>
    </w:p>
    <w:p>
      <w:pPr>
        <w:spacing w:before="40" w:after="40"/>
        <w:ind w:left="288"/>
      </w:pPr>
      <w:r>
        <w:rPr>
          <w:rFonts w:ascii="Courier New" w:hAnsi="Courier New"/>
          <w:color w:val="00E5A0"/>
          <w:sz w:val="17"/>
        </w:rPr>
        <w:t xml:space="preserve">        timestamp: Clock::get()?.unix_timestamp,</w:t>
      </w:r>
    </w:p>
    <w:p>
      <w:pPr>
        <w:spacing w:before="40" w:after="40"/>
        <w:ind w:left="288"/>
      </w:pPr>
      <w:r>
        <w:rPr>
          <w:rFonts w:ascii="Courier New" w:hAnsi="Courier New"/>
          <w:color w:val="00E5A0"/>
          <w:sz w:val="17"/>
        </w:rPr>
        <w:t xml:space="preserve">    });</w:t>
      </w:r>
    </w:p>
    <w:p>
      <w:pPr>
        <w:spacing w:before="40" w:after="40"/>
        <w:ind w:left="288"/>
      </w:pPr>
      <w:r>
        <w:rPr>
          <w:rFonts w:ascii="Courier New" w:hAnsi="Courier New"/>
          <w:color w:val="00E5A0"/>
          <w:sz w:val="17"/>
        </w:rPr>
      </w:r>
    </w:p>
    <w:p>
      <w:pPr>
        <w:spacing w:before="40" w:after="40"/>
        <w:ind w:left="288"/>
      </w:pPr>
      <w:r>
        <w:rPr>
          <w:rFonts w:ascii="Courier New" w:hAnsi="Courier New"/>
          <w:color w:val="00E5A0"/>
          <w:sz w:val="17"/>
        </w:rPr>
        <w:t xml:space="preserve">    // Trigger compressed NFT receipt mint (CPI to indx_nft)</w:t>
      </w:r>
    </w:p>
    <w:p>
      <w:pPr>
        <w:spacing w:before="40" w:after="40"/>
        <w:ind w:left="288"/>
      </w:pPr>
      <w:r>
        <w:rPr>
          <w:rFonts w:ascii="Courier New" w:hAnsi="Courier New"/>
          <w:color w:val="00E5A0"/>
          <w:sz w:val="17"/>
        </w:rPr>
        <w:t xml:space="preserve">    indx_nft::cpi::mint_receipt(cpi_ctx, receipt_data)?;</w:t>
      </w:r>
    </w:p>
    <w:p>
      <w:pPr>
        <w:spacing w:before="40" w:after="40"/>
        <w:ind w:left="288"/>
      </w:pPr>
      <w:r>
        <w:rPr>
          <w:rFonts w:ascii="Courier New" w:hAnsi="Courier New"/>
          <w:color w:val="00E5A0"/>
          <w:sz w:val="17"/>
        </w:rPr>
      </w:r>
    </w:p>
    <w:p>
      <w:pPr>
        <w:spacing w:before="40" w:after="40"/>
        <w:ind w:left="288"/>
      </w:pPr>
      <w:r>
        <w:rPr>
          <w:rFonts w:ascii="Courier New" w:hAnsi="Courier New"/>
          <w:color w:val="00E5A0"/>
          <w:sz w:val="17"/>
        </w:rPr>
        <w:t xml:space="preserve">    Ok(())</w:t>
      </w:r>
    </w:p>
    <w:p>
      <w:pPr>
        <w:spacing w:before="40" w:after="40"/>
        <w:ind w:left="288"/>
      </w:pPr>
      <w:r>
        <w:rPr>
          <w:rFonts w:ascii="Courier New" w:hAnsi="Courier New"/>
          <w:color w:val="00E5A0"/>
          <w:sz w:val="17"/>
        </w:rPr>
        <w:t>}</w:t>
      </w:r>
    </w:p>
    <w:p>
      <w:pPr>
        <w:spacing w:before="240" w:after="60"/>
      </w:pPr>
      <w:r>
        <w:rPr>
          <w:b/>
          <w:i w:val="0"/>
          <w:color w:val="FFB800"/>
          <w:sz w:val="26"/>
        </w:rPr>
        <w:t>3.3  USDC Support</w:t>
      </w:r>
    </w:p>
    <w:p>
      <w:pPr>
        <w:spacing w:before="0" w:after="120"/>
      </w:pPr>
      <w:r>
        <w:rPr>
          <w:b w:val="0"/>
          <w:i w:val="0"/>
          <w:sz w:val="20"/>
        </w:rPr>
        <w:t>All USDC transfers use the SPL Token program with USDC mint EPjFWdd5AufqSSqeM2qN1xzybapC8G4wEGGkZwyTDt1v. The escrow PDA must hold an Associated Token Account (ATA) for USDC. The fee split logic is identical to SOL — 98% seller ATA, 2% Treasury ATA.</w:t>
      </w:r>
    </w:p>
    <w:p>
      <w:pPr>
        <w:spacing w:before="240" w:after="60"/>
      </w:pPr>
      <w:r>
        <w:rPr>
          <w:b/>
          <w:i w:val="0"/>
          <w:color w:val="FFB800"/>
          <w:sz w:val="26"/>
        </w:rPr>
        <w:t>3.4  Dispute Arbitration</w:t>
      </w:r>
    </w:p>
    <w:p>
      <w:pPr>
        <w:spacing w:before="0" w:after="120"/>
      </w:pPr>
      <w:r>
        <w:rPr>
          <w:b w:val="0"/>
          <w:i w:val="0"/>
          <w:sz w:val="20"/>
        </w:rPr>
        <w:t>When open_dispute() is called, funds remain in the Escrow PDA but all transfer authority is suspended. Resolution paths:</w:t>
      </w:r>
    </w:p>
    <w:p>
      <w:pPr>
        <w:pStyle w:val="ListBullet"/>
        <w:spacing w:after="40" w:before="0"/>
      </w:pPr>
      <w:r>
        <w:rPr>
          <w:sz w:val="20"/>
        </w:rPr>
        <w:t>SIINDEX Arbiter (Phase 1): Whitelisted arbiter key signs resolve_dispute(side, reason).</w:t>
      </w:r>
    </w:p>
    <w:p>
      <w:pPr>
        <w:pStyle w:val="ListBullet"/>
        <w:spacing w:after="40" w:before="0"/>
      </w:pPr>
      <w:r>
        <w:rPr>
          <w:sz w:val="20"/>
        </w:rPr>
        <w:t>DAO Vote (Phase 2 / Wisdom &gt;= 50): Governance proposal overrides arbiter within 72h window.</w:t>
      </w:r>
    </w:p>
    <w:p>
      <w:pPr>
        <w:pStyle w:val="ListBullet"/>
        <w:spacing w:after="40" w:before="0"/>
      </w:pPr>
      <w:r>
        <w:rPr>
          <w:sz w:val="20"/>
        </w:rPr>
        <w:t>Auto-release: If no resolution within 14 days, 50% refund to buyer / 50% to seller.</w:t>
      </w:r>
    </w:p>
    <w:p>
      <w:r>
        <w:br w:type="page"/>
      </w:r>
    </w:p>
    <w:p>
      <w:pPr>
        <w:spacing w:before="320" w:after="80"/>
        <w:pBdr>
          <w:bottom w:val="single" w:sz="6" w:space="1" w:color="00D4FF"/>
        </w:pBdr>
      </w:pPr>
      <w:r>
        <w:rPr>
          <w:b/>
          <w:i w:val="0"/>
          <w:color w:val="00D4FF"/>
          <w:sz w:val="32"/>
        </w:rPr>
        <w:t>4.  INDX Token (indx_token)</w:t>
      </w:r>
    </w:p>
    <w:p>
      <w:pPr>
        <w:spacing w:before="240" w:after="60"/>
      </w:pPr>
      <w:r>
        <w:rPr>
          <w:b/>
          <w:i w:val="0"/>
          <w:color w:val="FFB800"/>
          <w:sz w:val="26"/>
        </w:rPr>
        <w:t>4.1  Token Specification</w:t>
      </w:r>
    </w:p>
    <w:tbl>
      <w:tblPr>
        <w:tblW w:type="auto" w:w="0"/>
        <w:jc w:val="left"/>
        <w:tblLook w:firstColumn="1" w:firstRow="1" w:lastColumn="0" w:lastRow="0" w:noHBand="0" w:noVBand="1" w:val="04A0"/>
      </w:tblPr>
      <w:tblGrid>
        <w:gridCol w:w="4658"/>
        <w:gridCol w:w="4658"/>
      </w:tblGrid>
      <w:tr>
        <w:tc>
          <w:tcPr>
            <w:tcW w:type="dxa" w:w="2880"/>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Token Name</w:t>
            </w:r>
          </w:p>
        </w:tc>
        <w:tc>
          <w:tcPr>
            <w:tcW w:type="dxa" w:w="6480"/>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INDX</w:t>
            </w:r>
          </w:p>
        </w:tc>
      </w:tr>
      <w:tr>
        <w:tc>
          <w:tcPr>
            <w:tcW w:type="dxa" w:w="2880"/>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Standard</w:t>
            </w:r>
          </w:p>
        </w:tc>
        <w:tc>
          <w:tcPr>
            <w:tcW w:type="dxa" w:w="6480"/>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Solana SPL Token (Token-2022 recommended for transfer hooks)</w:t>
            </w:r>
          </w:p>
        </w:tc>
      </w:tr>
      <w:tr>
        <w:tc>
          <w:tcPr>
            <w:tcW w:type="dxa" w:w="2880"/>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Decimals</w:t>
            </w:r>
          </w:p>
        </w:tc>
        <w:tc>
          <w:tcPr>
            <w:tcW w:type="dxa" w:w="6480"/>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6</w:t>
            </w:r>
          </w:p>
        </w:tc>
      </w:tr>
      <w:tr>
        <w:tc>
          <w:tcPr>
            <w:tcW w:type="dxa" w:w="2880"/>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Genesis Price</w:t>
            </w:r>
          </w:p>
        </w:tc>
        <w:tc>
          <w:tcPr>
            <w:tcW w:type="dxa" w:w="6480"/>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A$0.50 per INDX (≈ USD 0.33 at current FX)</w:t>
            </w:r>
          </w:p>
        </w:tc>
      </w:tr>
      <w:tr>
        <w:tc>
          <w:tcPr>
            <w:tcW w:type="dxa" w:w="2880"/>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Genesis Supply</w:t>
            </w:r>
          </w:p>
        </w:tc>
        <w:tc>
          <w:tcPr>
            <w:tcW w:type="dxa" w:w="6480"/>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100,000,000 INDX — minted to Genesis Vault PDA at launch</w:t>
            </w:r>
          </w:p>
        </w:tc>
      </w:tr>
      <w:tr>
        <w:tc>
          <w:tcPr>
            <w:tcW w:type="dxa" w:w="2880"/>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Genesis Bonus</w:t>
            </w:r>
          </w:p>
        </w:tc>
        <w:tc>
          <w:tcPr>
            <w:tcW w:type="dxa" w:w="6480"/>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50 INDX per new wallet activation (one-time, non-transferable lock for 30 days)</w:t>
            </w:r>
          </w:p>
        </w:tc>
      </w:tr>
      <w:tr>
        <w:tc>
          <w:tcPr>
            <w:tcW w:type="dxa" w:w="2880"/>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Mint Authority</w:t>
            </w:r>
          </w:p>
        </w:tc>
        <w:tc>
          <w:tcPr>
            <w:tcW w:type="dxa" w:w="6480"/>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indx_token program PDA — no human key retains mint authority post-launch</w:t>
            </w:r>
          </w:p>
        </w:tc>
      </w:tr>
      <w:tr>
        <w:tc>
          <w:tcPr>
            <w:tcW w:type="dxa" w:w="2880"/>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Freeze Authority</w:t>
            </w:r>
          </w:p>
        </w:tc>
        <w:tc>
          <w:tcPr>
            <w:tcW w:type="dxa" w:w="6480"/>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None — tokens cannot be frozen</w:t>
            </w:r>
          </w:p>
        </w:tc>
      </w:tr>
      <w:tr>
        <w:tc>
          <w:tcPr>
            <w:tcW w:type="dxa" w:w="2880"/>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Burn Mechanism</w:t>
            </w:r>
          </w:p>
        </w:tc>
        <w:tc>
          <w:tcPr>
            <w:tcW w:type="dxa" w:w="6480"/>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0.1% of Civilisation Fee monthly burn from Treasury — deflationary</w:t>
            </w:r>
          </w:p>
        </w:tc>
      </w:tr>
    </w:tbl>
    <w:p>
      <w:pPr>
        <w:spacing w:after="80"/>
      </w:pPr>
    </w:p>
    <w:p>
      <w:pPr>
        <w:spacing w:before="240" w:after="60"/>
      </w:pPr>
      <w:r>
        <w:rPr>
          <w:b/>
          <w:i w:val="0"/>
          <w:color w:val="FFB800"/>
          <w:sz w:val="26"/>
        </w:rPr>
        <w:t>4.2  Genesis Bonus Flow</w:t>
      </w:r>
    </w:p>
    <w:p>
      <w:pPr>
        <w:spacing w:before="0" w:after="120"/>
      </w:pPr>
      <w:r>
        <w:rPr>
          <w:b w:val="0"/>
          <w:i w:val="0"/>
          <w:sz w:val="20"/>
        </w:rPr>
        <w:t>Triggered by identity_program.register_user() — automatic, no user action needed:</w:t>
      </w:r>
    </w:p>
    <w:p>
      <w:pPr>
        <w:pStyle w:val="ListBullet"/>
        <w:spacing w:after="40" w:before="0"/>
      </w:pPr>
      <w:r>
        <w:rPr>
          <w:sz w:val="20"/>
        </w:rPr>
        <w:t>User completes email verification in indx_identity program.</w:t>
      </w:r>
    </w:p>
    <w:p>
      <w:pPr>
        <w:pStyle w:val="ListBullet"/>
        <w:spacing w:after="40" w:before="0"/>
      </w:pPr>
      <w:r>
        <w:rPr>
          <w:sz w:val="20"/>
        </w:rPr>
        <w:t>indx_identity CPI calls indx_token::claim_genesis_bonus(user_pubkey).</w:t>
      </w:r>
    </w:p>
    <w:p>
      <w:pPr>
        <w:pStyle w:val="ListBullet"/>
        <w:spacing w:after="40" w:before="0"/>
      </w:pPr>
      <w:r>
        <w:rPr>
          <w:sz w:val="20"/>
        </w:rPr>
        <w:t>50 INDX transferred from Genesis Vault PDA to user's INDX ATA.</w:t>
      </w:r>
    </w:p>
    <w:p>
      <w:pPr>
        <w:pStyle w:val="ListBullet"/>
        <w:spacing w:after="40" w:before="0"/>
      </w:pPr>
      <w:r>
        <w:rPr>
          <w:sz w:val="20"/>
        </w:rPr>
        <w:t>Bonus lock: tokens marked non-transferable for 30 days via transfer hook (Token-2022).</w:t>
      </w:r>
    </w:p>
    <w:p>
      <w:pPr>
        <w:pStyle w:val="ListBullet"/>
        <w:spacing w:after="40" w:before="0"/>
      </w:pPr>
      <w:r>
        <w:rPr>
          <w:sz w:val="20"/>
        </w:rPr>
        <w:t>Event emitted: GenesisBonusClaimed { user, amount: 50, unlock_ts }.</w:t>
      </w:r>
    </w:p>
    <w:p>
      <w:pPr>
        <w:pStyle w:val="ListBullet"/>
        <w:spacing w:after="40" w:before="0"/>
      </w:pPr>
      <w:r>
        <w:rPr>
          <w:sz w:val="20"/>
        </w:rPr>
        <w:t>One claim per user_state_pda.genesis_claimed flag — double-claim rejected at program level.</w:t>
      </w:r>
    </w:p>
    <w:p>
      <w:pPr>
        <w:spacing w:before="240" w:after="60"/>
      </w:pPr>
      <w:r>
        <w:rPr>
          <w:b/>
          <w:i w:val="0"/>
          <w:color w:val="FFB800"/>
          <w:sz w:val="26"/>
        </w:rPr>
        <w:t>4.3  Sovereign Yield</w:t>
      </w:r>
    </w:p>
    <w:p>
      <w:pPr>
        <w:spacing w:before="0" w:after="120"/>
      </w:pPr>
      <w:r>
        <w:rPr>
          <w:b w:val="0"/>
          <w:i w:val="0"/>
          <w:sz w:val="20"/>
        </w:rPr>
        <w:t>Users with Wisdom Score &gt;= 100 earn 5.5% APY on staked INDX. Yield is distributed weekly from Treasury PDA interest allocation:</w:t>
      </w:r>
    </w:p>
    <w:p>
      <w:pPr>
        <w:pStyle w:val="ListBullet"/>
        <w:spacing w:after="40" w:before="0"/>
      </w:pPr>
      <w:r>
        <w:rPr>
          <w:sz w:val="20"/>
        </w:rPr>
        <w:t>User calls stake_indx(amount). Tokens locked in Staking PDA (sub-account of User State PDA).</w:t>
      </w:r>
    </w:p>
    <w:p>
      <w:pPr>
        <w:pStyle w:val="ListBullet"/>
        <w:spacing w:after="40" w:before="0"/>
      </w:pPr>
      <w:r>
        <w:rPr>
          <w:sz w:val="20"/>
        </w:rPr>
        <w:t>Weekly cron (off-chain keeper): calculates pro-rata yield, calls distribute_yield(epoch).</w:t>
      </w:r>
    </w:p>
    <w:p>
      <w:pPr>
        <w:pStyle w:val="ListBullet"/>
        <w:spacing w:after="40" w:before="0"/>
      </w:pPr>
      <w:r>
        <w:rPr>
          <w:sz w:val="20"/>
        </w:rPr>
        <w:t>Yield rate: 5.5% APY / 52 = 0.1058% per week on staked balance.</w:t>
      </w:r>
    </w:p>
    <w:p>
      <w:pPr>
        <w:pStyle w:val="ListBullet"/>
        <w:spacing w:after="40" w:before="0"/>
      </w:pPr>
      <w:r>
        <w:rPr>
          <w:sz w:val="20"/>
        </w:rPr>
        <w:t>Wisdom Score check enforced on-chain — staking rejected if score &lt; 100.</w:t>
      </w:r>
    </w:p>
    <w:p>
      <w:pPr>
        <w:spacing w:before="240" w:after="60"/>
      </w:pPr>
      <w:r>
        <w:rPr>
          <w:b/>
          <w:i w:val="0"/>
          <w:color w:val="FFB800"/>
          <w:sz w:val="26"/>
        </w:rPr>
        <w:t>4.4  INDX Purchase Flow (buy-indx.html → on-chain)</w:t>
      </w:r>
    </w:p>
    <w:p>
      <w:pPr>
        <w:spacing w:before="0" w:after="120"/>
      </w:pPr>
      <w:r>
        <w:rPr>
          <w:b w:val="0"/>
          <w:i w:val="0"/>
          <w:sz w:val="20"/>
        </w:rPr>
        <w:t>Users purchase INDX with AUD via PayID or card. Off-chain payment processor converts AUD to USDC (Stripe or Banxa), then calls the on-chain purchase instruction:</w:t>
      </w:r>
    </w:p>
    <w:p>
      <w:pPr>
        <w:pStyle w:val="ListBullet"/>
        <w:spacing w:after="40" w:before="0"/>
      </w:pPr>
      <w:r>
        <w:rPr>
          <w:sz w:val="20"/>
        </w:rPr>
        <w:t>Backend receives AUD payment confirmation from processor.</w:t>
      </w:r>
    </w:p>
    <w:p>
      <w:pPr>
        <w:pStyle w:val="ListBullet"/>
        <w:spacing w:after="40" w:before="0"/>
      </w:pPr>
      <w:r>
        <w:rPr>
          <w:sz w:val="20"/>
        </w:rPr>
        <w:t>Calculates INDX amount: AUD_paid / 0.50 * current AUD/USD FX rate.</w:t>
      </w:r>
    </w:p>
    <w:p>
      <w:pPr>
        <w:pStyle w:val="ListBullet"/>
        <w:spacing w:after="40" w:before="0"/>
      </w:pPr>
      <w:r>
        <w:rPr>
          <w:sz w:val="20"/>
        </w:rPr>
        <w:t>Calls indx_token::purchase_indx(buyer, usdc_amount, indx_amount) with backend signer.</w:t>
      </w:r>
    </w:p>
    <w:p>
      <w:pPr>
        <w:pStyle w:val="ListBullet"/>
        <w:spacing w:after="40" w:before="0"/>
      </w:pPr>
      <w:r>
        <w:rPr>
          <w:sz w:val="20"/>
        </w:rPr>
        <w:t>Transfers USDC from buyer ATA → Treasury PDA ATA.</w:t>
      </w:r>
    </w:p>
    <w:p>
      <w:pPr>
        <w:pStyle w:val="ListBullet"/>
        <w:spacing w:after="40" w:before="0"/>
      </w:pPr>
      <w:r>
        <w:rPr>
          <w:sz w:val="20"/>
        </w:rPr>
        <w:t>Transfers INDX from circulating supply PDA → buyer ATA.</w:t>
      </w:r>
    </w:p>
    <w:p>
      <w:pPr>
        <w:pStyle w:val="ListBullet"/>
        <w:spacing w:after="40" w:before="0"/>
      </w:pPr>
      <w:r>
        <w:rPr>
          <w:sz w:val="20"/>
        </w:rPr>
        <w:t>Emits TokenPurchased event with AUD amount, FX rate, INDX amount, timestamp.</w:t>
      </w:r>
    </w:p>
    <w:p>
      <w:r>
        <w:br w:type="page"/>
      </w:r>
    </w:p>
    <w:p>
      <w:pPr>
        <w:spacing w:before="320" w:after="80"/>
        <w:pBdr>
          <w:bottom w:val="single" w:sz="6" w:space="1" w:color="00D4FF"/>
        </w:pBdr>
      </w:pPr>
      <w:r>
        <w:rPr>
          <w:b/>
          <w:i w:val="0"/>
          <w:color w:val="00D4FF"/>
          <w:sz w:val="32"/>
        </w:rPr>
        <w:t>5.  Grid Accounts — MPC Wallet (indx_identity)</w:t>
      </w:r>
    </w:p>
    <w:p>
      <w:pPr>
        <w:spacing w:before="0" w:after="120"/>
      </w:pPr>
      <w:r>
        <w:rPr>
          <w:b w:val="0"/>
          <w:i w:val="0"/>
          <w:sz w:val="21"/>
        </w:rPr>
        <w:t>Grid Accounts replace seed phrases entirely. Users authenticate with email. The underlying technology is Squads Protocol v4 Multisig with a 2-of-3 key scheme where the user never sees any private key.</w:t>
      </w:r>
    </w:p>
    <w:p>
      <w:pPr>
        <w:spacing w:before="240" w:after="60"/>
      </w:pPr>
      <w:r>
        <w:rPr>
          <w:b/>
          <w:i w:val="0"/>
          <w:color w:val="FFB800"/>
          <w:sz w:val="26"/>
        </w:rPr>
        <w:t>5.1  Key Architecture</w:t>
      </w:r>
    </w:p>
    <w:tbl>
      <w:tblPr>
        <w:tblW w:type="auto" w:w="0"/>
        <w:jc w:val="left"/>
        <w:tblLook w:firstColumn="1" w:firstRow="1" w:lastColumn="0" w:lastRow="0" w:noHBand="0" w:noVBand="1" w:val="04A0"/>
      </w:tblPr>
      <w:tblGrid>
        <w:gridCol w:w="4658"/>
        <w:gridCol w:w="4658"/>
      </w:tblGrid>
      <w:tr>
        <w:tc>
          <w:tcPr>
            <w:tcW w:type="dxa" w:w="3168"/>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Key Shard 1 — Device Key</w:t>
            </w:r>
          </w:p>
        </w:tc>
        <w:tc>
          <w:tcPr>
            <w:tcW w:type="dxa" w:w="6192"/>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Stored in device secure enclave (iOS Secure Enclave / Android Keystore). Never leaves device.</w:t>
            </w:r>
          </w:p>
        </w:tc>
      </w:tr>
      <w:tr>
        <w:tc>
          <w:tcPr>
            <w:tcW w:type="dxa" w:w="3168"/>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Key Shard 2 — Cloud Key</w:t>
            </w:r>
          </w:p>
        </w:tc>
        <w:tc>
          <w:tcPr>
            <w:tcW w:type="dxa" w:w="6192"/>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Encrypted with user's email OTP. Stored encrypted in IN$DEX backend. Recoverable via email.</w:t>
            </w:r>
          </w:p>
        </w:tc>
      </w:tr>
      <w:tr>
        <w:tc>
          <w:tcPr>
            <w:tcW w:type="dxa" w:w="3168"/>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Key Shard 3 — Recovery Key</w:t>
            </w:r>
          </w:p>
        </w:tc>
        <w:tc>
          <w:tcPr>
            <w:tcW w:type="dxa" w:w="6192"/>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Stored encrypted in user's nominated recovery email. Used only during wallet recovery.</w:t>
            </w:r>
          </w:p>
        </w:tc>
      </w:tr>
      <w:tr>
        <w:tc>
          <w:tcPr>
            <w:tcW w:type="dxa" w:w="3168"/>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Signing Threshold</w:t>
            </w:r>
          </w:p>
        </w:tc>
        <w:tc>
          <w:tcPr>
            <w:tcW w:type="dxa" w:w="6192"/>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2-of-3 required for any transaction. Single key compromise does NOT drain wallet.</w:t>
            </w:r>
          </w:p>
        </w:tc>
      </w:tr>
      <w:tr>
        <w:tc>
          <w:tcPr>
            <w:tcW w:type="dxa" w:w="3168"/>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Squads Protocol</w:t>
            </w:r>
          </w:p>
        </w:tc>
        <w:tc>
          <w:tcPr>
            <w:tcW w:type="dxa" w:w="6192"/>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Uses Squads v4 multisig PDA as the on-chain wallet address — fully Solana-native.</w:t>
            </w:r>
          </w:p>
        </w:tc>
      </w:tr>
      <w:tr>
        <w:tc>
          <w:tcPr>
            <w:tcW w:type="dxa" w:w="3168"/>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User Experience</w:t>
            </w:r>
          </w:p>
        </w:tc>
        <w:tc>
          <w:tcPr>
            <w:tcW w:type="dxa" w:w="6192"/>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User sees: Email → OTP → Grid Account created. No seed phrase. No key management.</w:t>
            </w:r>
          </w:p>
        </w:tc>
      </w:tr>
    </w:tbl>
    <w:p>
      <w:pPr>
        <w:spacing w:after="80"/>
      </w:pPr>
    </w:p>
    <w:p>
      <w:pPr>
        <w:spacing w:before="240" w:after="60"/>
      </w:pPr>
      <w:r>
        <w:rPr>
          <w:b/>
          <w:i w:val="0"/>
          <w:color w:val="FFB800"/>
          <w:sz w:val="26"/>
        </w:rPr>
        <w:t>5.2  Registration Flow (on-chain)</w:t>
      </w:r>
    </w:p>
    <w:p>
      <w:pPr>
        <w:pStyle w:val="ListBullet"/>
        <w:spacing w:after="40" w:before="0"/>
      </w:pPr>
      <w:r>
        <w:rPr>
          <w:sz w:val="20"/>
        </w:rPr>
        <w:t>User enters email. Backend generates device_key keypair in secure enclave.</w:t>
      </w:r>
    </w:p>
    <w:p>
      <w:pPr>
        <w:pStyle w:val="ListBullet"/>
        <w:spacing w:after="40" w:before="0"/>
      </w:pPr>
      <w:r>
        <w:rPr>
          <w:sz w:val="20"/>
        </w:rPr>
        <w:t>Backend creates Squads v4 multisig with [device_key, cloud_key_pubkey, recovery_key_pubkey].</w:t>
      </w:r>
    </w:p>
    <w:p>
      <w:pPr>
        <w:pStyle w:val="ListBullet"/>
        <w:spacing w:after="40" w:before="0"/>
      </w:pPr>
      <w:r>
        <w:rPr>
          <w:sz w:val="20"/>
        </w:rPr>
        <w:t>indx_identity::register_user(multisig_pubkey, email_hash, tier=1) called.</w:t>
      </w:r>
    </w:p>
    <w:p>
      <w:pPr>
        <w:pStyle w:val="ListBullet"/>
        <w:spacing w:after="40" w:before="0"/>
      </w:pPr>
      <w:r>
        <w:rPr>
          <w:sz w:val="20"/>
        </w:rPr>
        <w:t>User State PDA created with: wisdom_score=20, tier=1, genesis_claimed=false.</w:t>
      </w:r>
    </w:p>
    <w:p>
      <w:pPr>
        <w:pStyle w:val="ListBullet"/>
        <w:spacing w:after="40" w:before="0"/>
      </w:pPr>
      <w:r>
        <w:rPr>
          <w:sz w:val="20"/>
        </w:rPr>
        <w:t>CPI to indx_token::claim_genesis_bonus() — 50 INDX delivered.</w:t>
      </w:r>
    </w:p>
    <w:p>
      <w:pPr>
        <w:pStyle w:val="ListBullet"/>
        <w:spacing w:after="40" w:before="0"/>
      </w:pPr>
      <w:r>
        <w:rPr>
          <w:sz w:val="20"/>
        </w:rPr>
        <w:t>User is now on-chain. Grid Account address = Squads multisig PDA.</w:t>
      </w:r>
    </w:p>
    <w:p>
      <w:pPr>
        <w:spacing w:before="240" w:after="60"/>
      </w:pPr>
      <w:r>
        <w:rPr>
          <w:b/>
          <w:i w:val="0"/>
          <w:color w:val="FFB800"/>
          <w:sz w:val="26"/>
        </w:rPr>
        <w:t>5.3  Sovereign Verification Tiers</w:t>
      </w:r>
    </w:p>
    <w:tbl>
      <w:tblPr>
        <w:tblW w:type="auto" w:w="0"/>
        <w:jc w:val="left"/>
        <w:tblLook w:firstColumn="1" w:firstRow="1" w:lastColumn="0" w:lastRow="0" w:noHBand="0" w:noVBand="1" w:val="04A0"/>
      </w:tblPr>
      <w:tblGrid>
        <w:gridCol w:w="2329"/>
        <w:gridCol w:w="2329"/>
        <w:gridCol w:w="2329"/>
        <w:gridCol w:w="2329"/>
      </w:tblGrid>
      <w:tr>
        <w:tc>
          <w:tcPr>
            <w:tcW w:type="dxa" w:w="1152"/>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Tier</w:t>
            </w:r>
          </w:p>
        </w:tc>
        <w:tc>
          <w:tcPr>
            <w:tcW w:type="dxa" w:w="3168"/>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Verification Required</w:t>
            </w:r>
          </w:p>
        </w:tc>
        <w:tc>
          <w:tcPr>
            <w:tcW w:type="dxa" w:w="2592"/>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Monthly Limit</w:t>
            </w:r>
          </w:p>
        </w:tc>
        <w:tc>
          <w:tcPr>
            <w:tcW w:type="dxa" w:w="2448"/>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Wisdom Bonus</w:t>
            </w:r>
          </w:p>
        </w:tc>
      </w:tr>
      <w:tr>
        <w:tc>
          <w:tcPr>
            <w:tcW w:type="dxa" w:w="115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Tier 1</w:t>
            </w:r>
          </w:p>
        </w:tc>
        <w:tc>
          <w:tcPr>
            <w:tcW w:type="dxa" w:w="316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Email + Phone (default)</w:t>
            </w:r>
          </w:p>
        </w:tc>
        <w:tc>
          <w:tcPr>
            <w:tcW w:type="dxa" w:w="259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A$200/month</w:t>
            </w:r>
          </w:p>
        </w:tc>
        <w:tc>
          <w:tcPr>
            <w:tcW w:type="dxa" w:w="244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+0 (starts at 20)</w:t>
            </w:r>
          </w:p>
        </w:tc>
      </w:tr>
      <w:tr>
        <w:tc>
          <w:tcPr>
            <w:tcW w:type="dxa" w:w="115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Tier 2</w:t>
            </w:r>
          </w:p>
        </w:tc>
        <w:tc>
          <w:tcPr>
            <w:tcW w:type="dxa" w:w="3168"/>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PayID (bank account linkage)</w:t>
            </w:r>
          </w:p>
        </w:tc>
        <w:tc>
          <w:tcPr>
            <w:tcW w:type="dxa" w:w="259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A$2,000/month</w:t>
            </w:r>
          </w:p>
        </w:tc>
        <w:tc>
          <w:tcPr>
            <w:tcW w:type="dxa" w:w="2448"/>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+10 Wisdom on upgrade</w:t>
            </w:r>
          </w:p>
        </w:tc>
      </w:tr>
      <w:tr>
        <w:tc>
          <w:tcPr>
            <w:tcW w:type="dxa" w:w="115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Tier 3</w:t>
            </w:r>
          </w:p>
        </w:tc>
        <w:tc>
          <w:tcPr>
            <w:tcW w:type="dxa" w:w="316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Optional Govt ID (KYC)</w:t>
            </w:r>
          </w:p>
        </w:tc>
        <w:tc>
          <w:tcPr>
            <w:tcW w:type="dxa" w:w="259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A$50,000/month</w:t>
            </w:r>
          </w:p>
        </w:tc>
        <w:tc>
          <w:tcPr>
            <w:tcW w:type="dxa" w:w="244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+15 Wisdom on upgrade</w:t>
            </w:r>
          </w:p>
        </w:tc>
      </w:tr>
    </w:tbl>
    <w:p>
      <w:pPr>
        <w:spacing w:after="120"/>
      </w:pPr>
    </w:p>
    <w:p>
      <w:pPr>
        <w:spacing w:before="0" w:after="120"/>
      </w:pPr>
      <w:r>
        <w:rPr>
          <w:b w:val="0"/>
          <w:i w:val="0"/>
          <w:sz w:val="20"/>
        </w:rPr>
        <w:t>Tier upgrades call indx_identity::upgrade_tier(new_tier, proof_hash). Proof hash is a SHA-256 of off-chain verification document stored in backend.</w:t>
      </w:r>
    </w:p>
    <w:p>
      <w:r>
        <w:br w:type="page"/>
      </w:r>
    </w:p>
    <w:p>
      <w:pPr>
        <w:spacing w:before="320" w:after="80"/>
        <w:pBdr>
          <w:bottom w:val="single" w:sz="6" w:space="1" w:color="00D4FF"/>
        </w:pBdr>
      </w:pPr>
      <w:r>
        <w:rPr>
          <w:b/>
          <w:i w:val="0"/>
          <w:color w:val="00D4FF"/>
          <w:sz w:val="32"/>
        </w:rPr>
        <w:t>6.  Compressed NFT Receipts (indx_nft)</w:t>
      </w:r>
    </w:p>
    <w:p>
      <w:pPr>
        <w:spacing w:before="0" w:after="120"/>
      </w:pPr>
      <w:r>
        <w:rPr>
          <w:b w:val="0"/>
          <w:i w:val="0"/>
          <w:sz w:val="21"/>
        </w:rPr>
        <w:t>Every completed transaction on IN$DEX generates a compressed NFT receipt. Using Metaplex Bubblegum on Solana, mint cost is ~$0.000005. Receipts are permanent on-chain proof of transaction history — immutable, user-owned.</w:t>
      </w:r>
    </w:p>
    <w:p>
      <w:pPr>
        <w:spacing w:before="240" w:after="60"/>
      </w:pPr>
      <w:r>
        <w:rPr>
          <w:b/>
          <w:i w:val="0"/>
          <w:color w:val="FFB800"/>
          <w:sz w:val="26"/>
        </w:rPr>
        <w:t>6.1  Receipt Metadata Standard</w:t>
      </w:r>
    </w:p>
    <w:tbl>
      <w:tblPr>
        <w:tblW w:type="auto" w:w="0"/>
        <w:jc w:val="left"/>
        <w:tblLook w:firstColumn="1" w:firstRow="1" w:lastColumn="0" w:lastRow="0" w:noHBand="0" w:noVBand="1" w:val="04A0"/>
      </w:tblPr>
      <w:tblGrid>
        <w:gridCol w:w="4658"/>
        <w:gridCol w:w="4658"/>
      </w:tblGrid>
      <w:tr>
        <w:tc>
          <w:tcPr>
            <w:tcW w:type="dxa" w:w="2736"/>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name</w:t>
            </w:r>
          </w:p>
        </w:tc>
        <w:tc>
          <w:tcPr>
            <w:tcW w:type="dxa" w:w="6624"/>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IN$DEX Receipt — {type} #{id}  (e.g. "IN$DEX Receipt — SovereignPay #00042")</w:t>
            </w:r>
          </w:p>
        </w:tc>
      </w:tr>
      <w:tr>
        <w:tc>
          <w:tcPr>
            <w:tcW w:type="dxa" w:w="2736"/>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symbol</w:t>
            </w:r>
          </w:p>
        </w:tc>
        <w:tc>
          <w:tcPr>
            <w:tcW w:type="dxa" w:w="6624"/>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INDXRCPT</w:t>
            </w:r>
          </w:p>
        </w:tc>
      </w:tr>
      <w:tr>
        <w:tc>
          <w:tcPr>
            <w:tcW w:type="dxa" w:w="2736"/>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description</w:t>
            </w:r>
          </w:p>
        </w:tc>
        <w:tc>
          <w:tcPr>
            <w:tcW w:type="dxa" w:w="6624"/>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Sovereign proof of transaction on IN$DEX — Image Nation Decentralised Exchange</w:t>
            </w:r>
          </w:p>
        </w:tc>
      </w:tr>
      <w:tr>
        <w:tc>
          <w:tcPr>
            <w:tcW w:type="dxa" w:w="2736"/>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image</w:t>
            </w:r>
          </w:p>
        </w:tc>
        <w:tc>
          <w:tcPr>
            <w:tcW w:type="dxa" w:w="6624"/>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IPFS CID of dynamically generated receipt PNG (generated server-side)</w:t>
            </w:r>
          </w:p>
        </w:tc>
      </w:tr>
      <w:tr>
        <w:tc>
          <w:tcPr>
            <w:tcW w:type="dxa" w:w="2736"/>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attributes</w:t>
            </w:r>
          </w:p>
        </w:tc>
        <w:tc>
          <w:tcPr>
            <w:tcW w:type="dxa" w:w="6624"/>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type | amount | fee | payout | buyer | seller | timestamp | tx_sig | tier</w:t>
            </w:r>
          </w:p>
        </w:tc>
      </w:tr>
      <w:tr>
        <w:tc>
          <w:tcPr>
            <w:tcW w:type="dxa" w:w="2736"/>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story_protocol</w:t>
            </w:r>
          </w:p>
        </w:tc>
        <w:tc>
          <w:tcPr>
            <w:tcW w:type="dxa" w:w="6624"/>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Story Protocol IP registration on first mint. Royalty: 2.5% on NFT secondary sales.</w:t>
            </w:r>
          </w:p>
        </w:tc>
      </w:tr>
    </w:tbl>
    <w:p>
      <w:pPr>
        <w:spacing w:after="80"/>
      </w:pPr>
    </w:p>
    <w:p>
      <w:pPr>
        <w:spacing w:before="240" w:after="60"/>
      </w:pPr>
      <w:r>
        <w:rPr>
          <w:b/>
          <w:i w:val="0"/>
          <w:color w:val="FFB800"/>
          <w:sz w:val="26"/>
        </w:rPr>
        <w:t>6.2  Bubblegum Mint CPI Call</w:t>
      </w:r>
    </w:p>
    <w:p>
      <w:pPr>
        <w:spacing w:before="40" w:after="40"/>
        <w:ind w:left="288"/>
      </w:pPr>
      <w:r>
        <w:rPr>
          <w:rFonts w:ascii="Courier New" w:hAnsi="Courier New"/>
          <w:color w:val="00E5A0"/>
          <w:sz w:val="17"/>
        </w:rPr>
        <w:t>// Called via CPI from indx_escrow::release_escrow()</w:t>
      </w:r>
    </w:p>
    <w:p>
      <w:pPr>
        <w:spacing w:before="40" w:after="40"/>
        <w:ind w:left="288"/>
      </w:pPr>
      <w:r>
        <w:rPr>
          <w:rFonts w:ascii="Courier New" w:hAnsi="Courier New"/>
          <w:color w:val="00E5A0"/>
          <w:sz w:val="17"/>
        </w:rPr>
        <w:t>fn mint_receipt(ctx: Context&lt;MintReceipt&gt;, data: ReceiptData) -&gt; Result&lt;()&gt; {</w:t>
      </w:r>
    </w:p>
    <w:p>
      <w:pPr>
        <w:spacing w:before="40" w:after="40"/>
        <w:ind w:left="288"/>
      </w:pPr>
      <w:r>
        <w:rPr>
          <w:rFonts w:ascii="Courier New" w:hAnsi="Courier New"/>
          <w:color w:val="00E5A0"/>
          <w:sz w:val="17"/>
        </w:rPr>
        <w:t xml:space="preserve">    let metadata = MetadataArgs {</w:t>
      </w:r>
    </w:p>
    <w:p>
      <w:pPr>
        <w:spacing w:before="40" w:after="40"/>
        <w:ind w:left="288"/>
      </w:pPr>
      <w:r>
        <w:rPr>
          <w:rFonts w:ascii="Courier New" w:hAnsi="Courier New"/>
          <w:color w:val="00E5A0"/>
          <w:sz w:val="17"/>
        </w:rPr>
        <w:t xml:space="preserve">        name:   format!("IN$DEX Receipt #{}", data.tx_id),</w:t>
      </w:r>
    </w:p>
    <w:p>
      <w:pPr>
        <w:spacing w:before="40" w:after="40"/>
        <w:ind w:left="288"/>
      </w:pPr>
      <w:r>
        <w:rPr>
          <w:rFonts w:ascii="Courier New" w:hAnsi="Courier New"/>
          <w:color w:val="00E5A0"/>
          <w:sz w:val="17"/>
        </w:rPr>
        <w:t xml:space="preserve">        symbol: String::from("INDXRCPT"),</w:t>
      </w:r>
    </w:p>
    <w:p>
      <w:pPr>
        <w:spacing w:before="40" w:after="40"/>
        <w:ind w:left="288"/>
      </w:pPr>
      <w:r>
        <w:rPr>
          <w:rFonts w:ascii="Courier New" w:hAnsi="Courier New"/>
          <w:color w:val="00E5A0"/>
          <w:sz w:val="17"/>
        </w:rPr>
        <w:t xml:space="preserve">        uri:    format!("https://api.index.exchange/receipt/{}/metadata.json", data.tx_id),</w:t>
      </w:r>
    </w:p>
    <w:p>
      <w:pPr>
        <w:spacing w:before="40" w:after="40"/>
        <w:ind w:left="288"/>
      </w:pPr>
      <w:r>
        <w:rPr>
          <w:rFonts w:ascii="Courier New" w:hAnsi="Courier New"/>
          <w:color w:val="00E5A0"/>
          <w:sz w:val="17"/>
        </w:rPr>
        <w:t xml:space="preserve">        seller_fee_basis_points: 250, // 2.5% royalty on secondary sales</w:t>
      </w:r>
    </w:p>
    <w:p>
      <w:pPr>
        <w:spacing w:before="40" w:after="40"/>
        <w:ind w:left="288"/>
      </w:pPr>
      <w:r>
        <w:rPr>
          <w:rFonts w:ascii="Courier New" w:hAnsi="Courier New"/>
          <w:color w:val="00E5A0"/>
          <w:sz w:val="17"/>
        </w:rPr>
        <w:t xml:space="preserve">        is_mutable: false,</w:t>
      </w:r>
    </w:p>
    <w:p>
      <w:pPr>
        <w:spacing w:before="40" w:after="40"/>
        <w:ind w:left="288"/>
      </w:pPr>
      <w:r>
        <w:rPr>
          <w:rFonts w:ascii="Courier New" w:hAnsi="Courier New"/>
          <w:color w:val="00E5A0"/>
          <w:sz w:val="17"/>
        </w:rPr>
        <w:t xml:space="preserve">        ..MetadataArgs::default()</w:t>
      </w:r>
    </w:p>
    <w:p>
      <w:pPr>
        <w:spacing w:before="40" w:after="40"/>
        <w:ind w:left="288"/>
      </w:pPr>
      <w:r>
        <w:rPr>
          <w:rFonts w:ascii="Courier New" w:hAnsi="Courier New"/>
          <w:color w:val="00E5A0"/>
          <w:sz w:val="17"/>
        </w:rPr>
        <w:t xml:space="preserve">    };</w:t>
      </w:r>
    </w:p>
    <w:p>
      <w:pPr>
        <w:spacing w:before="40" w:after="40"/>
        <w:ind w:left="288"/>
      </w:pPr>
      <w:r>
        <w:rPr>
          <w:rFonts w:ascii="Courier New" w:hAnsi="Courier New"/>
          <w:color w:val="00E5A0"/>
          <w:sz w:val="17"/>
        </w:rPr>
        <w:t xml:space="preserve">    bubblegum::cpi::mint_v1(cpi_ctx, metadata)?;</w:t>
      </w:r>
    </w:p>
    <w:p>
      <w:pPr>
        <w:spacing w:before="40" w:after="40"/>
        <w:ind w:left="288"/>
      </w:pPr>
      <w:r>
        <w:rPr>
          <w:rFonts w:ascii="Courier New" w:hAnsi="Courier New"/>
          <w:color w:val="00E5A0"/>
          <w:sz w:val="17"/>
        </w:rPr>
        <w:t xml:space="preserve">    emit!(ReceiptMinted { owner: data.owner, tx_id: data.tx_id });</w:t>
      </w:r>
    </w:p>
    <w:p>
      <w:pPr>
        <w:spacing w:before="40" w:after="40"/>
        <w:ind w:left="288"/>
      </w:pPr>
      <w:r>
        <w:rPr>
          <w:rFonts w:ascii="Courier New" w:hAnsi="Courier New"/>
          <w:color w:val="00E5A0"/>
          <w:sz w:val="17"/>
        </w:rPr>
        <w:t xml:space="preserve">    Ok(())</w:t>
      </w:r>
    </w:p>
    <w:p>
      <w:pPr>
        <w:spacing w:before="40" w:after="40"/>
        <w:ind w:left="288"/>
      </w:pPr>
      <w:r>
        <w:rPr>
          <w:rFonts w:ascii="Courier New" w:hAnsi="Courier New"/>
          <w:color w:val="00E5A0"/>
          <w:sz w:val="17"/>
        </w:rPr>
        <w:t>}</w:t>
      </w:r>
    </w:p>
    <w:p>
      <w:pPr>
        <w:spacing w:before="240" w:after="60"/>
      </w:pPr>
      <w:r>
        <w:rPr>
          <w:b/>
          <w:i w:val="0"/>
          <w:color w:val="FFB800"/>
          <w:sz w:val="26"/>
        </w:rPr>
        <w:t>6.3  Merkle Tree Configuration</w:t>
      </w:r>
    </w:p>
    <w:tbl>
      <w:tblPr>
        <w:tblW w:type="auto" w:w="0"/>
        <w:jc w:val="left"/>
        <w:tblLook w:firstColumn="1" w:firstRow="1" w:lastColumn="0" w:lastRow="0" w:noHBand="0" w:noVBand="1" w:val="04A0"/>
      </w:tblPr>
      <w:tblGrid>
        <w:gridCol w:w="3106"/>
        <w:gridCol w:w="3106"/>
        <w:gridCol w:w="3106"/>
      </w:tblGrid>
      <w:tr>
        <w:tc>
          <w:tcPr>
            <w:tcW w:type="dxa" w:w="2592"/>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Parameter</w:t>
            </w:r>
          </w:p>
        </w:tc>
        <w:tc>
          <w:tcPr>
            <w:tcW w:type="dxa" w:w="2304"/>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Value</w:t>
            </w:r>
          </w:p>
        </w:tc>
        <w:tc>
          <w:tcPr>
            <w:tcW w:type="dxa" w:w="4464"/>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Notes</w:t>
            </w:r>
          </w:p>
        </w:tc>
      </w:tr>
      <w:tr>
        <w:tc>
          <w:tcPr>
            <w:tcW w:type="dxa" w:w="259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Max Depth</w:t>
            </w:r>
          </w:p>
        </w:tc>
        <w:tc>
          <w:tcPr>
            <w:tcW w:type="dxa" w:w="230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20</w:t>
            </w:r>
          </w:p>
        </w:tc>
        <w:tc>
          <w:tcPr>
            <w:tcW w:type="dxa" w:w="446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Supports up to 1,048,576 NFTs per tree</w:t>
            </w:r>
          </w:p>
        </w:tc>
      </w:tr>
      <w:tr>
        <w:tc>
          <w:tcPr>
            <w:tcW w:type="dxa" w:w="259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Max Buffer Size</w:t>
            </w:r>
          </w:p>
        </w:tc>
        <w:tc>
          <w:tcPr>
            <w:tcW w:type="dxa" w:w="230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64</w:t>
            </w:r>
          </w:p>
        </w:tc>
        <w:tc>
          <w:tcPr>
            <w:tcW w:type="dxa" w:w="446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Concurrent operations</w:t>
            </w:r>
          </w:p>
        </w:tc>
      </w:tr>
      <w:tr>
        <w:tc>
          <w:tcPr>
            <w:tcW w:type="dxa" w:w="259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Canopy Depth</w:t>
            </w:r>
          </w:p>
        </w:tc>
        <w:tc>
          <w:tcPr>
            <w:tcW w:type="dxa" w:w="230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10</w:t>
            </w:r>
          </w:p>
        </w:tc>
        <w:tc>
          <w:tcPr>
            <w:tcW w:type="dxa" w:w="446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Reduces verification proof size</w:t>
            </w:r>
          </w:p>
        </w:tc>
      </w:tr>
      <w:tr>
        <w:tc>
          <w:tcPr>
            <w:tcW w:type="dxa" w:w="259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Est. Tree Cost</w:t>
            </w:r>
          </w:p>
        </w:tc>
        <w:tc>
          <w:tcPr>
            <w:tcW w:type="dxa" w:w="230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~0.25 SOL</w:t>
            </w:r>
          </w:p>
        </w:tc>
        <w:tc>
          <w:tcPr>
            <w:tcW w:type="dxa" w:w="446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One-time setup per tree</w:t>
            </w:r>
          </w:p>
        </w:tc>
      </w:tr>
      <w:tr>
        <w:tc>
          <w:tcPr>
            <w:tcW w:type="dxa" w:w="259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Cost per Mint</w:t>
            </w:r>
          </w:p>
        </w:tc>
        <w:tc>
          <w:tcPr>
            <w:tcW w:type="dxa" w:w="230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~0.000005 SOL</w:t>
            </w:r>
          </w:p>
        </w:tc>
        <w:tc>
          <w:tcPr>
            <w:tcW w:type="dxa" w:w="446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Dramatically cheaper than standard NFTs</w:t>
            </w:r>
          </w:p>
        </w:tc>
      </w:tr>
      <w:tr>
        <w:tc>
          <w:tcPr>
            <w:tcW w:type="dxa" w:w="259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RPC Provider</w:t>
            </w:r>
          </w:p>
        </w:tc>
        <w:tc>
          <w:tcPr>
            <w:tcW w:type="dxa" w:w="230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Helius (preferred)</w:t>
            </w:r>
          </w:p>
        </w:tc>
        <w:tc>
          <w:tcPr>
            <w:tcW w:type="dxa" w:w="446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Full DAS API support for compressed NFTs</w:t>
            </w:r>
          </w:p>
        </w:tc>
      </w:tr>
    </w:tbl>
    <w:p>
      <w:pPr>
        <w:spacing w:after="120"/>
      </w:pPr>
    </w:p>
    <w:p>
      <w:r>
        <w:br w:type="page"/>
      </w:r>
    </w:p>
    <w:p>
      <w:pPr>
        <w:spacing w:before="320" w:after="80"/>
        <w:pBdr>
          <w:bottom w:val="single" w:sz="6" w:space="1" w:color="00D4FF"/>
        </w:pBdr>
      </w:pPr>
      <w:r>
        <w:rPr>
          <w:b/>
          <w:i w:val="0"/>
          <w:color w:val="00D4FF"/>
          <w:sz w:val="32"/>
        </w:rPr>
        <w:t>7.  Governance — GVE Loop (indx_governance)</w:t>
      </w:r>
    </w:p>
    <w:p>
      <w:pPr>
        <w:spacing w:before="0" w:after="120"/>
      </w:pPr>
      <w:r>
        <w:rPr>
          <w:b w:val="0"/>
          <w:i w:val="0"/>
          <w:sz w:val="21"/>
        </w:rPr>
        <w:t>The Governance Value Engine (GVE) is the on-chain democracy layer. Citizens with Wisdom Score &gt;= 50 vote on platform proposals. Participation earns bonus INDX — creating a flywheel of engagement.</w:t>
      </w:r>
    </w:p>
    <w:p>
      <w:pPr>
        <w:spacing w:before="240" w:after="60"/>
      </w:pPr>
      <w:r>
        <w:rPr>
          <w:b/>
          <w:i w:val="0"/>
          <w:color w:val="FFB800"/>
          <w:sz w:val="26"/>
        </w:rPr>
        <w:t>7.1  Wisdom Score System</w:t>
      </w:r>
    </w:p>
    <w:tbl>
      <w:tblPr>
        <w:tblW w:type="auto" w:w="0"/>
        <w:jc w:val="left"/>
        <w:tblLook w:firstColumn="1" w:firstRow="1" w:lastColumn="0" w:lastRow="0" w:noHBand="0" w:noVBand="1" w:val="04A0"/>
      </w:tblPr>
      <w:tblGrid>
        <w:gridCol w:w="3106"/>
        <w:gridCol w:w="3106"/>
        <w:gridCol w:w="3106"/>
      </w:tblGrid>
      <w:tr>
        <w:tc>
          <w:tcPr>
            <w:tcW w:type="dxa" w:w="2160"/>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Score Range</w:t>
            </w:r>
          </w:p>
        </w:tc>
        <w:tc>
          <w:tcPr>
            <w:tcW w:type="dxa" w:w="3312"/>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Unlocks</w:t>
            </w:r>
          </w:p>
        </w:tc>
        <w:tc>
          <w:tcPr>
            <w:tcW w:type="dxa" w:w="3888"/>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How to Earn</w:t>
            </w:r>
          </w:p>
        </w:tc>
      </w:tr>
      <w:tr>
        <w:tc>
          <w:tcPr>
            <w:tcW w:type="dxa" w:w="216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20 (starting)</w:t>
            </w:r>
          </w:p>
        </w:tc>
        <w:tc>
          <w:tcPr>
            <w:tcW w:type="dxa" w:w="331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Basic account, SovereignPay, marketplace</w:t>
            </w:r>
          </w:p>
        </w:tc>
        <w:tc>
          <w:tcPr>
            <w:tcW w:type="dxa" w:w="388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Automatic on registration</w:t>
            </w:r>
          </w:p>
        </w:tc>
      </w:tr>
      <w:tr>
        <w:tc>
          <w:tcPr>
            <w:tcW w:type="dxa" w:w="216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50+</w:t>
            </w:r>
          </w:p>
        </w:tc>
        <w:tc>
          <w:tcPr>
            <w:tcW w:type="dxa" w:w="331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Governance voting rights</w:t>
            </w:r>
          </w:p>
        </w:tc>
        <w:tc>
          <w:tcPr>
            <w:tcW w:type="dxa" w:w="3888"/>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+5 each verified purchase, +3 each listing, +2 each dispute resolved</w:t>
            </w:r>
          </w:p>
        </w:tc>
      </w:tr>
      <w:tr>
        <w:tc>
          <w:tcPr>
            <w:tcW w:type="dxa" w:w="216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100+</w:t>
            </w:r>
          </w:p>
        </w:tc>
        <w:tc>
          <w:tcPr>
            <w:tcW w:type="dxa" w:w="331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5.5% Sovereign Yield on staked INDX</w:t>
            </w:r>
          </w:p>
        </w:tc>
        <w:tc>
          <w:tcPr>
            <w:tcW w:type="dxa" w:w="388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+10 each governance vote cast, +15 each proposal created and passed</w:t>
            </w:r>
          </w:p>
        </w:tc>
      </w:tr>
      <w:tr>
        <w:tc>
          <w:tcPr>
            <w:tcW w:type="dxa" w:w="216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150+</w:t>
            </w:r>
          </w:p>
        </w:tc>
        <w:tc>
          <w:tcPr>
            <w:tcW w:type="dxa" w:w="331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Reduced Civilisation Fee: 1.5% instead of 2%</w:t>
            </w:r>
          </w:p>
        </w:tc>
        <w:tc>
          <w:tcPr>
            <w:tcW w:type="dxa" w:w="3888"/>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Consistent platform engagement over 90 days</w:t>
            </w:r>
          </w:p>
        </w:tc>
      </w:tr>
    </w:tbl>
    <w:p>
      <w:pPr>
        <w:spacing w:after="120"/>
      </w:pPr>
    </w:p>
    <w:p>
      <w:pPr>
        <w:spacing w:before="240" w:after="60"/>
      </w:pPr>
      <w:r>
        <w:rPr>
          <w:b/>
          <w:i w:val="0"/>
          <w:color w:val="FFB800"/>
          <w:sz w:val="26"/>
        </w:rPr>
        <w:t>7.2  Proposal Lifecycle</w:t>
      </w:r>
    </w:p>
    <w:tbl>
      <w:tblPr>
        <w:tblW w:type="auto" w:w="0"/>
        <w:jc w:val="left"/>
        <w:tblLook w:firstColumn="1" w:firstRow="1" w:lastColumn="0" w:lastRow="0" w:noHBand="0" w:noVBand="1" w:val="04A0"/>
      </w:tblPr>
      <w:tblGrid>
        <w:gridCol w:w="4658"/>
        <w:gridCol w:w="4658"/>
      </w:tblGrid>
      <w:tr>
        <w:tc>
          <w:tcPr>
            <w:tcW w:type="dxa" w:w="2880"/>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create_proposal()</w:t>
            </w:r>
          </w:p>
        </w:tc>
        <w:tc>
          <w:tcPr>
            <w:tcW w:type="dxa" w:w="6480"/>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Requires Wisdom &gt;= 50. Deposits 10 INDX bond (returned if proposal passes).</w:t>
            </w:r>
          </w:p>
        </w:tc>
      </w:tr>
      <w:tr>
        <w:tc>
          <w:tcPr>
            <w:tcW w:type="dxa" w:w="2880"/>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cast_vote()</w:t>
            </w:r>
          </w:p>
        </w:tc>
        <w:tc>
          <w:tcPr>
            <w:tcW w:type="dxa" w:w="6480"/>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Requires Wisdom &gt;= 50. Emits Voted event. Updates vote_tally on Governance PDA.</w:t>
            </w:r>
          </w:p>
        </w:tc>
      </w:tr>
      <w:tr>
        <w:tc>
          <w:tcPr>
            <w:tcW w:type="dxa" w:w="2880"/>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finalize_proposal()</w:t>
            </w:r>
          </w:p>
        </w:tc>
        <w:tc>
          <w:tcPr>
            <w:tcW w:type="dxa" w:w="6480"/>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Called after deadline. If quorum met (5% of active users) and &gt;50% FOR — executed.</w:t>
            </w:r>
          </w:p>
        </w:tc>
      </w:tr>
      <w:tr>
        <w:tc>
          <w:tcPr>
            <w:tcW w:type="dxa" w:w="2880"/>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GVE Bonus</w:t>
            </w:r>
          </w:p>
        </w:tc>
        <w:tc>
          <w:tcPr>
            <w:tcW w:type="dxa" w:w="6480"/>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10 INDX rewarded to each voter on winning proposals. 5 INDX for losing-side voters.</w:t>
            </w:r>
          </w:p>
        </w:tc>
      </w:tr>
      <w:tr>
        <w:tc>
          <w:tcPr>
            <w:tcW w:type="dxa" w:w="2880"/>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Emergency Veto</w:t>
            </w:r>
          </w:p>
        </w:tc>
        <w:tc>
          <w:tcPr>
            <w:tcW w:type="dxa" w:w="6480"/>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SIINDEX COO key can veto proposals flagged as platform-damaging within 24h window.</w:t>
            </w:r>
          </w:p>
        </w:tc>
      </w:tr>
    </w:tbl>
    <w:p>
      <w:pPr>
        <w:spacing w:after="80"/>
      </w:pPr>
    </w:p>
    <w:p>
      <w:r>
        <w:br w:type="page"/>
      </w:r>
    </w:p>
    <w:p>
      <w:pPr>
        <w:spacing w:before="320" w:after="80"/>
        <w:pBdr>
          <w:bottom w:val="single" w:sz="6" w:space="1" w:color="00D4FF"/>
        </w:pBdr>
      </w:pPr>
      <w:r>
        <w:rPr>
          <w:b/>
          <w:i w:val="0"/>
          <w:color w:val="00D4FF"/>
          <w:sz w:val="32"/>
        </w:rPr>
        <w:t>8.  Backend API Endpoints</w:t>
      </w:r>
    </w:p>
    <w:p>
      <w:pPr>
        <w:spacing w:before="0" w:after="120"/>
      </w:pPr>
      <w:r>
        <w:rPr>
          <w:b w:val="0"/>
          <w:i w:val="0"/>
          <w:sz w:val="20"/>
        </w:rPr>
        <w:t>The backend serves as the bridge between the mobile UI and the Solana programs. All endpoints require JWT authentication. Base URL: https://api.index.exchange/v2/</w:t>
      </w:r>
    </w:p>
    <w:p>
      <w:pPr>
        <w:spacing w:before="240" w:after="60"/>
      </w:pPr>
      <w:r>
        <w:rPr>
          <w:b/>
          <w:i w:val="0"/>
          <w:color w:val="FFB800"/>
          <w:sz w:val="26"/>
        </w:rPr>
        <w:t>8.1  Authentication</w:t>
      </w:r>
    </w:p>
    <w:tbl>
      <w:tblPr>
        <w:tblW w:type="auto" w:w="0"/>
        <w:jc w:val="left"/>
        <w:tblLook w:firstColumn="1" w:firstRow="1" w:lastColumn="0" w:lastRow="0" w:noHBand="0" w:noVBand="1" w:val="04A0"/>
      </w:tblPr>
      <w:tblGrid>
        <w:gridCol w:w="3106"/>
        <w:gridCol w:w="3106"/>
        <w:gridCol w:w="3106"/>
      </w:tblGrid>
      <w:tr>
        <w:tc>
          <w:tcPr>
            <w:tcW w:type="dxa" w:w="3600"/>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Endpoint</w:t>
            </w:r>
          </w:p>
        </w:tc>
        <w:tc>
          <w:tcPr>
            <w:tcW w:type="dxa" w:w="1440"/>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Method</w:t>
            </w:r>
          </w:p>
        </w:tc>
        <w:tc>
          <w:tcPr>
            <w:tcW w:type="dxa" w:w="4320"/>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Description</w:t>
            </w:r>
          </w:p>
        </w:tc>
      </w:tr>
      <w:tr>
        <w:tc>
          <w:tcPr>
            <w:tcW w:type="dxa" w:w="360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/auth/request-otp</w:t>
            </w:r>
          </w:p>
        </w:tc>
        <w:tc>
          <w:tcPr>
            <w:tcW w:type="dxa" w:w="144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POST</w:t>
            </w:r>
          </w:p>
        </w:tc>
        <w:tc>
          <w:tcPr>
            <w:tcW w:type="dxa" w:w="432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Send OTP to user email. Body: { email }</w:t>
            </w:r>
          </w:p>
        </w:tc>
      </w:tr>
      <w:tr>
        <w:tc>
          <w:tcPr>
            <w:tcW w:type="dxa" w:w="360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/auth/verify-otp</w:t>
            </w:r>
          </w:p>
        </w:tc>
        <w:tc>
          <w:tcPr>
            <w:tcW w:type="dxa" w:w="144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POST</w:t>
            </w:r>
          </w:p>
        </w:tc>
        <w:tc>
          <w:tcPr>
            <w:tcW w:type="dxa" w:w="432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Verify OTP, return JWT + wallet address. Body: { email, otp }</w:t>
            </w:r>
          </w:p>
        </w:tc>
      </w:tr>
      <w:tr>
        <w:tc>
          <w:tcPr>
            <w:tcW w:type="dxa" w:w="360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/auth/refresh</w:t>
            </w:r>
          </w:p>
        </w:tc>
        <w:tc>
          <w:tcPr>
            <w:tcW w:type="dxa" w:w="144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POST</w:t>
            </w:r>
          </w:p>
        </w:tc>
        <w:tc>
          <w:tcPr>
            <w:tcW w:type="dxa" w:w="432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Refresh expired JWT. Body: { refresh_token }</w:t>
            </w:r>
          </w:p>
        </w:tc>
      </w:tr>
      <w:tr>
        <w:tc>
          <w:tcPr>
            <w:tcW w:type="dxa" w:w="360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/wallet/create</w:t>
            </w:r>
          </w:p>
        </w:tc>
        <w:tc>
          <w:tcPr>
            <w:tcW w:type="dxa" w:w="144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POST</w:t>
            </w:r>
          </w:p>
        </w:tc>
        <w:tc>
          <w:tcPr>
            <w:tcW w:type="dxa" w:w="432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Create Squads multisig Grid Account. Auth required.</w:t>
            </w:r>
          </w:p>
        </w:tc>
      </w:tr>
      <w:tr>
        <w:tc>
          <w:tcPr>
            <w:tcW w:type="dxa" w:w="360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/wallet/recover</w:t>
            </w:r>
          </w:p>
        </w:tc>
        <w:tc>
          <w:tcPr>
            <w:tcW w:type="dxa" w:w="144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POST</w:t>
            </w:r>
          </w:p>
        </w:tc>
        <w:tc>
          <w:tcPr>
            <w:tcW w:type="dxa" w:w="432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Initiate 2-of-3 recovery flow. Body: { recovery_email }</w:t>
            </w:r>
          </w:p>
        </w:tc>
      </w:tr>
    </w:tbl>
    <w:p>
      <w:pPr>
        <w:spacing w:after="120"/>
      </w:pPr>
    </w:p>
    <w:p>
      <w:pPr>
        <w:spacing w:before="240" w:after="60"/>
      </w:pPr>
      <w:r>
        <w:rPr>
          <w:b/>
          <w:i w:val="0"/>
          <w:color w:val="FFB800"/>
          <w:sz w:val="26"/>
        </w:rPr>
        <w:t>8.2  Payments &amp; Escrow</w:t>
      </w:r>
    </w:p>
    <w:tbl>
      <w:tblPr>
        <w:tblW w:type="auto" w:w="0"/>
        <w:jc w:val="left"/>
        <w:tblLook w:firstColumn="1" w:firstRow="1" w:lastColumn="0" w:lastRow="0" w:noHBand="0" w:noVBand="1" w:val="04A0"/>
      </w:tblPr>
      <w:tblGrid>
        <w:gridCol w:w="3106"/>
        <w:gridCol w:w="3106"/>
        <w:gridCol w:w="3106"/>
      </w:tblGrid>
      <w:tr>
        <w:tc>
          <w:tcPr>
            <w:tcW w:type="dxa" w:w="3600"/>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Endpoint</w:t>
            </w:r>
          </w:p>
        </w:tc>
        <w:tc>
          <w:tcPr>
            <w:tcW w:type="dxa" w:w="1296"/>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Method</w:t>
            </w:r>
          </w:p>
        </w:tc>
        <w:tc>
          <w:tcPr>
            <w:tcW w:type="dxa" w:w="4464"/>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Description</w:t>
            </w:r>
          </w:p>
        </w:tc>
      </w:tr>
      <w:tr>
        <w:tc>
          <w:tcPr>
            <w:tcW w:type="dxa" w:w="360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/pay/initiate</w:t>
            </w:r>
          </w:p>
        </w:tc>
        <w:tc>
          <w:tcPr>
            <w:tcW w:type="dxa" w:w="129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POST</w:t>
            </w:r>
          </w:p>
        </w:tc>
        <w:tc>
          <w:tcPr>
            <w:tcW w:type="dxa" w:w="446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Build &amp; sign SovereignPay tx. Returns serialised tx for wallet signing.</w:t>
            </w:r>
          </w:p>
        </w:tc>
      </w:tr>
      <w:tr>
        <w:tc>
          <w:tcPr>
            <w:tcW w:type="dxa" w:w="360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/pay/submit</w:t>
            </w:r>
          </w:p>
        </w:tc>
        <w:tc>
          <w:tcPr>
            <w:tcW w:type="dxa" w:w="129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POST</w:t>
            </w:r>
          </w:p>
        </w:tc>
        <w:tc>
          <w:tcPr>
            <w:tcW w:type="dxa" w:w="446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Submit signed tx to Solana. Body: { signed_tx }. Returns tx_sig.</w:t>
            </w:r>
          </w:p>
        </w:tc>
      </w:tr>
      <w:tr>
        <w:tc>
          <w:tcPr>
            <w:tcW w:type="dxa" w:w="360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/escrow/create</w:t>
            </w:r>
          </w:p>
        </w:tc>
        <w:tc>
          <w:tcPr>
            <w:tcW w:type="dxa" w:w="129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POST</w:t>
            </w:r>
          </w:p>
        </w:tc>
        <w:tc>
          <w:tcPr>
            <w:tcW w:type="dxa" w:w="446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Create escrow for marketplace listing. Returns escrow PDA address.</w:t>
            </w:r>
          </w:p>
        </w:tc>
      </w:tr>
      <w:tr>
        <w:tc>
          <w:tcPr>
            <w:tcW w:type="dxa" w:w="360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/escrow/release</w:t>
            </w:r>
          </w:p>
        </w:tc>
        <w:tc>
          <w:tcPr>
            <w:tcW w:type="dxa" w:w="129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POST</w:t>
            </w:r>
          </w:p>
        </w:tc>
        <w:tc>
          <w:tcPr>
            <w:tcW w:type="dxa" w:w="446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Release funds from escrow (buyer confirmation). Triggers 98/2 split.</w:t>
            </w:r>
          </w:p>
        </w:tc>
      </w:tr>
      <w:tr>
        <w:tc>
          <w:tcPr>
            <w:tcW w:type="dxa" w:w="360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/escrow/dispute</w:t>
            </w:r>
          </w:p>
        </w:tc>
        <w:tc>
          <w:tcPr>
            <w:tcW w:type="dxa" w:w="129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POST</w:t>
            </w:r>
          </w:p>
        </w:tc>
        <w:tc>
          <w:tcPr>
            <w:tcW w:type="dxa" w:w="446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Open dispute on escrow. Freezes funds. Body: { reason, evidence_ipfs }</w:t>
            </w:r>
          </w:p>
        </w:tc>
      </w:tr>
      <w:tr>
        <w:tc>
          <w:tcPr>
            <w:tcW w:type="dxa" w:w="360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/escrow/status/:id</w:t>
            </w:r>
          </w:p>
        </w:tc>
        <w:tc>
          <w:tcPr>
            <w:tcW w:type="dxa" w:w="129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GET</w:t>
            </w:r>
          </w:p>
        </w:tc>
        <w:tc>
          <w:tcPr>
            <w:tcW w:type="dxa" w:w="446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Get current escrow status, balances, and timeline.</w:t>
            </w:r>
          </w:p>
        </w:tc>
      </w:tr>
    </w:tbl>
    <w:p>
      <w:pPr>
        <w:spacing w:after="120"/>
      </w:pPr>
    </w:p>
    <w:p>
      <w:pPr>
        <w:spacing w:before="240" w:after="60"/>
      </w:pPr>
      <w:r>
        <w:rPr>
          <w:b/>
          <w:i w:val="0"/>
          <w:color w:val="FFB800"/>
          <w:sz w:val="26"/>
        </w:rPr>
        <w:t>8.3  INDX Token</w:t>
      </w:r>
    </w:p>
    <w:tbl>
      <w:tblPr>
        <w:tblW w:type="auto" w:w="0"/>
        <w:jc w:val="left"/>
        <w:tblLook w:firstColumn="1" w:firstRow="1" w:lastColumn="0" w:lastRow="0" w:noHBand="0" w:noVBand="1" w:val="04A0"/>
      </w:tblPr>
      <w:tblGrid>
        <w:gridCol w:w="3106"/>
        <w:gridCol w:w="3106"/>
        <w:gridCol w:w="3106"/>
      </w:tblGrid>
      <w:tr>
        <w:tc>
          <w:tcPr>
            <w:tcW w:type="dxa" w:w="3600"/>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Endpoint</w:t>
            </w:r>
          </w:p>
        </w:tc>
        <w:tc>
          <w:tcPr>
            <w:tcW w:type="dxa" w:w="1296"/>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Method</w:t>
            </w:r>
          </w:p>
        </w:tc>
        <w:tc>
          <w:tcPr>
            <w:tcW w:type="dxa" w:w="4464"/>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Description</w:t>
            </w:r>
          </w:p>
        </w:tc>
      </w:tr>
      <w:tr>
        <w:tc>
          <w:tcPr>
            <w:tcW w:type="dxa" w:w="360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/token/balance</w:t>
            </w:r>
          </w:p>
        </w:tc>
        <w:tc>
          <w:tcPr>
            <w:tcW w:type="dxa" w:w="129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GET</w:t>
            </w:r>
          </w:p>
        </w:tc>
        <w:tc>
          <w:tcPr>
            <w:tcW w:type="dxa" w:w="446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Get user's INDX balance, staked amount, yield earned.</w:t>
            </w:r>
          </w:p>
        </w:tc>
      </w:tr>
      <w:tr>
        <w:tc>
          <w:tcPr>
            <w:tcW w:type="dxa" w:w="360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/token/buy</w:t>
            </w:r>
          </w:p>
        </w:tc>
        <w:tc>
          <w:tcPr>
            <w:tcW w:type="dxa" w:w="129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POST</w:t>
            </w:r>
          </w:p>
        </w:tc>
        <w:tc>
          <w:tcPr>
            <w:tcW w:type="dxa" w:w="446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Initiate AUD → INDX purchase. Returns payment intent (Stripe/Banxa).</w:t>
            </w:r>
          </w:p>
        </w:tc>
      </w:tr>
      <w:tr>
        <w:tc>
          <w:tcPr>
            <w:tcW w:type="dxa" w:w="360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/token/buy/confirm</w:t>
            </w:r>
          </w:p>
        </w:tc>
        <w:tc>
          <w:tcPr>
            <w:tcW w:type="dxa" w:w="129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POST</w:t>
            </w:r>
          </w:p>
        </w:tc>
        <w:tc>
          <w:tcPr>
            <w:tcW w:type="dxa" w:w="446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Confirm payment received, execute on-chain INDX transfer.</w:t>
            </w:r>
          </w:p>
        </w:tc>
      </w:tr>
      <w:tr>
        <w:tc>
          <w:tcPr>
            <w:tcW w:type="dxa" w:w="360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/token/stake</w:t>
            </w:r>
          </w:p>
        </w:tc>
        <w:tc>
          <w:tcPr>
            <w:tcW w:type="dxa" w:w="129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POST</w:t>
            </w:r>
          </w:p>
        </w:tc>
        <w:tc>
          <w:tcPr>
            <w:tcW w:type="dxa" w:w="446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Stake INDX for Sovereign Yield. Requires Wisdom &gt;= 100.</w:t>
            </w:r>
          </w:p>
        </w:tc>
      </w:tr>
      <w:tr>
        <w:tc>
          <w:tcPr>
            <w:tcW w:type="dxa" w:w="360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/token/unstake</w:t>
            </w:r>
          </w:p>
        </w:tc>
        <w:tc>
          <w:tcPr>
            <w:tcW w:type="dxa" w:w="129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POST</w:t>
            </w:r>
          </w:p>
        </w:tc>
        <w:tc>
          <w:tcPr>
            <w:tcW w:type="dxa" w:w="446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Unstake INDX. 7-day cooldown before funds released.</w:t>
            </w:r>
          </w:p>
        </w:tc>
      </w:tr>
      <w:tr>
        <w:tc>
          <w:tcPr>
            <w:tcW w:type="dxa" w:w="360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/token/price</w:t>
            </w:r>
          </w:p>
        </w:tc>
        <w:tc>
          <w:tcPr>
            <w:tcW w:type="dxa" w:w="129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GET</w:t>
            </w:r>
          </w:p>
        </w:tc>
        <w:tc>
          <w:tcPr>
            <w:tcW w:type="dxa" w:w="446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Current INDX price in AUD and USD. Live FX feed.</w:t>
            </w:r>
          </w:p>
        </w:tc>
      </w:tr>
    </w:tbl>
    <w:p>
      <w:pPr>
        <w:spacing w:after="120"/>
      </w:pPr>
    </w:p>
    <w:p>
      <w:pPr>
        <w:spacing w:before="240" w:after="60"/>
      </w:pPr>
      <w:r>
        <w:rPr>
          <w:b/>
          <w:i w:val="0"/>
          <w:color w:val="FFB800"/>
          <w:sz w:val="26"/>
        </w:rPr>
        <w:t>8.4  NFT &amp; Marketplace</w:t>
      </w:r>
    </w:p>
    <w:tbl>
      <w:tblPr>
        <w:tblW w:type="auto" w:w="0"/>
        <w:jc w:val="left"/>
        <w:tblLook w:firstColumn="1" w:firstRow="1" w:lastColumn="0" w:lastRow="0" w:noHBand="0" w:noVBand="1" w:val="04A0"/>
      </w:tblPr>
      <w:tblGrid>
        <w:gridCol w:w="3106"/>
        <w:gridCol w:w="3106"/>
        <w:gridCol w:w="3106"/>
      </w:tblGrid>
      <w:tr>
        <w:tc>
          <w:tcPr>
            <w:tcW w:type="dxa" w:w="3600"/>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Endpoint</w:t>
            </w:r>
          </w:p>
        </w:tc>
        <w:tc>
          <w:tcPr>
            <w:tcW w:type="dxa" w:w="1296"/>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Method</w:t>
            </w:r>
          </w:p>
        </w:tc>
        <w:tc>
          <w:tcPr>
            <w:tcW w:type="dxa" w:w="4464"/>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Description</w:t>
            </w:r>
          </w:p>
        </w:tc>
      </w:tr>
      <w:tr>
        <w:tc>
          <w:tcPr>
            <w:tcW w:type="dxa" w:w="360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/nft/list</w:t>
            </w:r>
          </w:p>
        </w:tc>
        <w:tc>
          <w:tcPr>
            <w:tcW w:type="dxa" w:w="129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GET</w:t>
            </w:r>
          </w:p>
        </w:tc>
        <w:tc>
          <w:tcPr>
            <w:tcW w:type="dxa" w:w="446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Get all NFTs owned by authenticated user. Includes receipts + RWA.</w:t>
            </w:r>
          </w:p>
        </w:tc>
      </w:tr>
      <w:tr>
        <w:tc>
          <w:tcPr>
            <w:tcW w:type="dxa" w:w="360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/nft/receipt/:tx_id</w:t>
            </w:r>
          </w:p>
        </w:tc>
        <w:tc>
          <w:tcPr>
            <w:tcW w:type="dxa" w:w="129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GET</w:t>
            </w:r>
          </w:p>
        </w:tc>
        <w:tc>
          <w:tcPr>
            <w:tcW w:type="dxa" w:w="446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Get receipt NFT metadata for a specific transaction.</w:t>
            </w:r>
          </w:p>
        </w:tc>
      </w:tr>
      <w:tr>
        <w:tc>
          <w:tcPr>
            <w:tcW w:type="dxa" w:w="360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/marketplace/listings</w:t>
            </w:r>
          </w:p>
        </w:tc>
        <w:tc>
          <w:tcPr>
            <w:tcW w:type="dxa" w:w="129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GET</w:t>
            </w:r>
          </w:p>
        </w:tc>
        <w:tc>
          <w:tcPr>
            <w:tcW w:type="dxa" w:w="446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Paginated active listings. Supports filter/search params.</w:t>
            </w:r>
          </w:p>
        </w:tc>
      </w:tr>
      <w:tr>
        <w:tc>
          <w:tcPr>
            <w:tcW w:type="dxa" w:w="360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/marketplace/listing/:id</w:t>
            </w:r>
          </w:p>
        </w:tc>
        <w:tc>
          <w:tcPr>
            <w:tcW w:type="dxa" w:w="129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GET</w:t>
            </w:r>
          </w:p>
        </w:tc>
        <w:tc>
          <w:tcPr>
            <w:tcW w:type="dxa" w:w="446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Single listing detail with images, seller profile, escrow status.</w:t>
            </w:r>
          </w:p>
        </w:tc>
      </w:tr>
      <w:tr>
        <w:tc>
          <w:tcPr>
            <w:tcW w:type="dxa" w:w="360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/marketplace/create</w:t>
            </w:r>
          </w:p>
        </w:tc>
        <w:tc>
          <w:tcPr>
            <w:tcW w:type="dxa" w:w="129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POST</w:t>
            </w:r>
          </w:p>
        </w:tc>
        <w:tc>
          <w:tcPr>
            <w:tcW w:type="dxa" w:w="446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Create new listing. Requires photos array (IPFS upload).</w:t>
            </w:r>
          </w:p>
        </w:tc>
      </w:tr>
      <w:tr>
        <w:tc>
          <w:tcPr>
            <w:tcW w:type="dxa" w:w="360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/marketplace/offer</w:t>
            </w:r>
          </w:p>
        </w:tc>
        <w:tc>
          <w:tcPr>
            <w:tcW w:type="dxa" w:w="129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POST</w:t>
            </w:r>
          </w:p>
        </w:tc>
        <w:tc>
          <w:tcPr>
            <w:tcW w:type="dxa" w:w="446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Submit offer and fund escrow. Returns escrow PDA.</w:t>
            </w:r>
          </w:p>
        </w:tc>
      </w:tr>
      <w:tr>
        <w:tc>
          <w:tcPr>
            <w:tcW w:type="dxa" w:w="360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/rwa/tokenize</w:t>
            </w:r>
          </w:p>
        </w:tc>
        <w:tc>
          <w:tcPr>
            <w:tcW w:type="dxa" w:w="129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POST</w:t>
            </w:r>
          </w:p>
        </w:tc>
        <w:tc>
          <w:tcPr>
            <w:tcW w:type="dxa" w:w="446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Tokenize real-world asset as Story Protocol IP + SPL token.</w:t>
            </w:r>
          </w:p>
        </w:tc>
      </w:tr>
    </w:tbl>
    <w:p>
      <w:pPr>
        <w:spacing w:after="120"/>
      </w:pPr>
    </w:p>
    <w:p>
      <w:r>
        <w:br w:type="page"/>
      </w:r>
    </w:p>
    <w:p>
      <w:pPr>
        <w:spacing w:before="320" w:after="80"/>
        <w:pBdr>
          <w:bottom w:val="single" w:sz="6" w:space="1" w:color="00D4FF"/>
        </w:pBdr>
      </w:pPr>
      <w:r>
        <w:rPr>
          <w:b/>
          <w:i w:val="0"/>
          <w:color w:val="00D4FF"/>
          <w:sz w:val="32"/>
        </w:rPr>
        <w:t>9.  Security Requirements</w:t>
      </w:r>
    </w:p>
    <w:p>
      <w:pPr>
        <w:spacing w:before="240" w:after="60"/>
      </w:pPr>
      <w:r>
        <w:rPr>
          <w:b/>
          <w:i w:val="0"/>
          <w:color w:val="FFB800"/>
          <w:sz w:val="26"/>
        </w:rPr>
        <w:t>9.1  On-Chain Security</w:t>
      </w:r>
    </w:p>
    <w:p>
      <w:pPr>
        <w:pStyle w:val="ListBullet"/>
        <w:spacing w:after="40" w:before="0"/>
      </w:pPr>
      <w:r>
        <w:rPr>
          <w:sz w:val="20"/>
        </w:rPr>
        <w:t>All PDAs must use canonical bump seeds and validate bump in every instruction.</w:t>
      </w:r>
    </w:p>
    <w:p>
      <w:pPr>
        <w:pStyle w:val="ListBullet"/>
        <w:spacing w:after="40" w:before="0"/>
      </w:pPr>
      <w:r>
        <w:rPr>
          <w:sz w:val="20"/>
        </w:rPr>
        <w:t>Signer checks: every instruction must validate that the correct authority signed.</w:t>
      </w:r>
    </w:p>
    <w:p>
      <w:pPr>
        <w:pStyle w:val="ListBullet"/>
        <w:spacing w:after="40" w:before="0"/>
      </w:pPr>
      <w:r>
        <w:rPr>
          <w:sz w:val="20"/>
        </w:rPr>
        <w:t>Arithmetic: use checked_add, checked_sub, checked_mul everywhere. No overflow risk.</w:t>
      </w:r>
    </w:p>
    <w:p>
      <w:pPr>
        <w:pStyle w:val="ListBullet"/>
        <w:spacing w:after="40" w:before="0"/>
      </w:pPr>
      <w:r>
        <w:rPr>
          <w:sz w:val="20"/>
        </w:rPr>
        <w:t>Re-entrancy: Solana programs are not re-entrant by default but CPI must be validated.</w:t>
      </w:r>
    </w:p>
    <w:p>
      <w:pPr>
        <w:pStyle w:val="ListBullet"/>
        <w:spacing w:after="40" w:before="0"/>
      </w:pPr>
      <w:r>
        <w:rPr>
          <w:sz w:val="20"/>
        </w:rPr>
        <w:t>Account validation: use Anchor's #[account(mut, has_one=authority)] constraints everywhere.</w:t>
      </w:r>
    </w:p>
    <w:p>
      <w:pPr>
        <w:pStyle w:val="ListBullet"/>
        <w:spacing w:after="40" w:before="0"/>
      </w:pPr>
      <w:r>
        <w:rPr>
          <w:sz w:val="20"/>
        </w:rPr>
        <w:t>Mint authority: after launch, mint authority transferred to program PDA. No human key.</w:t>
      </w:r>
    </w:p>
    <w:p>
      <w:pPr>
        <w:pStyle w:val="ListBullet"/>
        <w:spacing w:after="40" w:before="0"/>
      </w:pPr>
      <w:r>
        <w:rPr>
          <w:sz w:val="20"/>
        </w:rPr>
        <w:t>Upgrade authority: set to Squads multisig requiring 3/5 team approval for program upgrades.</w:t>
      </w:r>
    </w:p>
    <w:p>
      <w:pPr>
        <w:spacing w:before="240" w:after="60"/>
      </w:pPr>
      <w:r>
        <w:rPr>
          <w:b/>
          <w:i w:val="0"/>
          <w:color w:val="FFB800"/>
          <w:sz w:val="26"/>
        </w:rPr>
        <w:t>9.2  Off-Chain Security</w:t>
      </w:r>
    </w:p>
    <w:p>
      <w:pPr>
        <w:pStyle w:val="ListBullet"/>
        <w:spacing w:after="40" w:before="0"/>
      </w:pPr>
      <w:r>
        <w:rPr>
          <w:sz w:val="20"/>
        </w:rPr>
        <w:t>All API endpoints rate-limited: 100 req/min per IP, 20 req/min per authenticated user.</w:t>
      </w:r>
    </w:p>
    <w:p>
      <w:pPr>
        <w:pStyle w:val="ListBullet"/>
        <w:spacing w:after="40" w:before="0"/>
      </w:pPr>
      <w:r>
        <w:rPr>
          <w:sz w:val="20"/>
        </w:rPr>
        <w:t>OTP: 6-digit, 10-minute expiry, max 3 attempts before 30-minute lockout.</w:t>
      </w:r>
    </w:p>
    <w:p>
      <w:pPr>
        <w:pStyle w:val="ListBullet"/>
        <w:spacing w:after="40" w:before="0"/>
      </w:pPr>
      <w:r>
        <w:rPr>
          <w:sz w:val="20"/>
        </w:rPr>
        <w:t>JWT: 15-minute access token, 7-day refresh token. RS256 signing algorithm.</w:t>
      </w:r>
    </w:p>
    <w:p>
      <w:pPr>
        <w:pStyle w:val="ListBullet"/>
        <w:spacing w:after="40" w:before="0"/>
      </w:pPr>
      <w:r>
        <w:rPr>
          <w:sz w:val="20"/>
        </w:rPr>
        <w:t>MPC key shards: AES-256-GCM encrypted at rest. Key derivation: Argon2id.</w:t>
      </w:r>
    </w:p>
    <w:p>
      <w:pPr>
        <w:pStyle w:val="ListBullet"/>
        <w:spacing w:after="40" w:before="0"/>
      </w:pPr>
      <w:r>
        <w:rPr>
          <w:sz w:val="20"/>
        </w:rPr>
        <w:t>All IPFS uploads validated: file type whitelist, 10MB max, virus scan.</w:t>
      </w:r>
    </w:p>
    <w:p>
      <w:pPr>
        <w:pStyle w:val="ListBullet"/>
        <w:spacing w:after="40" w:before="0"/>
      </w:pPr>
      <w:r>
        <w:rPr>
          <w:sz w:val="20"/>
        </w:rPr>
        <w:t>SIINDEX Security Agent: monitors all wallet activity for anomalous patterns. Alerts AJ Henry.</w:t>
      </w:r>
    </w:p>
    <w:p>
      <w:pPr>
        <w:spacing w:before="240" w:after="60"/>
      </w:pPr>
      <w:r>
        <w:rPr>
          <w:b/>
          <w:i w:val="0"/>
          <w:color w:val="FFB800"/>
          <w:sz w:val="26"/>
        </w:rPr>
        <w:t>9.3  Audit Requirements</w:t>
      </w:r>
    </w:p>
    <w:p>
      <w:pPr>
        <w:spacing w:before="0" w:after="120"/>
      </w:pPr>
      <w:r>
        <w:rPr>
          <w:b w:val="0"/>
          <w:i w:val="0"/>
          <w:sz w:val="20"/>
        </w:rPr>
        <w:t>Before mainnet launch, all five Solana programs MUST pass a professional security audit. Recommended auditors: OtterSec, Neodyme, Sec3 (formerly Soteria). Budget estimate: A$60,000–A$120,000 depending on program complexity. Audit must specifically test: escrow release logic, fee split accuracy, Genesis bonus double-claim prevention, and Wisdom Score manipulation resistance.</w:t>
      </w:r>
    </w:p>
    <w:p>
      <w:r>
        <w:br w:type="page"/>
      </w:r>
    </w:p>
    <w:p>
      <w:pPr>
        <w:spacing w:before="320" w:after="80"/>
        <w:pBdr>
          <w:bottom w:val="single" w:sz="6" w:space="1" w:color="00D4FF"/>
        </w:pBdr>
      </w:pPr>
      <w:r>
        <w:rPr>
          <w:b/>
          <w:i w:val="0"/>
          <w:color w:val="00D4FF"/>
          <w:sz w:val="32"/>
        </w:rPr>
        <w:t>10.  Recommended Tech Stack</w:t>
      </w:r>
    </w:p>
    <w:tbl>
      <w:tblPr>
        <w:tblW w:type="auto" w:w="0"/>
        <w:jc w:val="left"/>
        <w:tblLook w:firstColumn="1" w:firstRow="1" w:lastColumn="0" w:lastRow="0" w:noHBand="0" w:noVBand="1" w:val="04A0"/>
      </w:tblPr>
      <w:tblGrid>
        <w:gridCol w:w="3106"/>
        <w:gridCol w:w="3106"/>
        <w:gridCol w:w="3106"/>
      </w:tblGrid>
      <w:tr>
        <w:tc>
          <w:tcPr>
            <w:tcW w:type="dxa" w:w="2592"/>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Layer</w:t>
            </w:r>
          </w:p>
        </w:tc>
        <w:tc>
          <w:tcPr>
            <w:tcW w:type="dxa" w:w="3312"/>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Technology</w:t>
            </w:r>
          </w:p>
        </w:tc>
        <w:tc>
          <w:tcPr>
            <w:tcW w:type="dxa" w:w="3456"/>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Rationale</w:t>
            </w:r>
          </w:p>
        </w:tc>
      </w:tr>
      <w:tr>
        <w:tc>
          <w:tcPr>
            <w:tcW w:type="dxa" w:w="259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Smart Contracts</w:t>
            </w:r>
          </w:p>
        </w:tc>
        <w:tc>
          <w:tcPr>
            <w:tcW w:type="dxa" w:w="331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Anchor Framework (Rust)</w:t>
            </w:r>
          </w:p>
        </w:tc>
        <w:tc>
          <w:tcPr>
            <w:tcW w:type="dxa" w:w="345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Type-safe, IDL generation, best-in-class Solana tooling</w:t>
            </w:r>
          </w:p>
        </w:tc>
      </w:tr>
      <w:tr>
        <w:tc>
          <w:tcPr>
            <w:tcW w:type="dxa" w:w="259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Token Standard</w:t>
            </w:r>
          </w:p>
        </w:tc>
        <w:tc>
          <w:tcPr>
            <w:tcW w:type="dxa" w:w="331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SPL Token-2022</w:t>
            </w:r>
          </w:p>
        </w:tc>
        <w:tc>
          <w:tcPr>
            <w:tcW w:type="dxa" w:w="345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Transfer hooks enable Genesis bonus lock, future royalty enforcement</w:t>
            </w:r>
          </w:p>
        </w:tc>
      </w:tr>
      <w:tr>
        <w:tc>
          <w:tcPr>
            <w:tcW w:type="dxa" w:w="259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Compressed NFTs</w:t>
            </w:r>
          </w:p>
        </w:tc>
        <w:tc>
          <w:tcPr>
            <w:tcW w:type="dxa" w:w="331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Metaplex Bubblegum + UMI</w:t>
            </w:r>
          </w:p>
        </w:tc>
        <w:tc>
          <w:tcPr>
            <w:tcW w:type="dxa" w:w="345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Cheapest NFT minting on any chain (~$0.000005)</w:t>
            </w:r>
          </w:p>
        </w:tc>
      </w:tr>
      <w:tr>
        <w:tc>
          <w:tcPr>
            <w:tcW w:type="dxa" w:w="259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MPC Wallets</w:t>
            </w:r>
          </w:p>
        </w:tc>
        <w:tc>
          <w:tcPr>
            <w:tcW w:type="dxa" w:w="331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Squads Protocol v4</w:t>
            </w:r>
          </w:p>
        </w:tc>
        <w:tc>
          <w:tcPr>
            <w:tcW w:type="dxa" w:w="345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Battle-tested multisig, email recovery compatible</w:t>
            </w:r>
          </w:p>
        </w:tc>
      </w:tr>
      <w:tr>
        <w:tc>
          <w:tcPr>
            <w:tcW w:type="dxa" w:w="259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Royalties</w:t>
            </w:r>
          </w:p>
        </w:tc>
        <w:tc>
          <w:tcPr>
            <w:tcW w:type="dxa" w:w="331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Story Protocol (Solana beta)</w:t>
            </w:r>
          </w:p>
        </w:tc>
        <w:tc>
          <w:tcPr>
            <w:tcW w:type="dxa" w:w="345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Recursive on-chain IP royalties for RWA and digital assets</w:t>
            </w:r>
          </w:p>
        </w:tc>
      </w:tr>
      <w:tr>
        <w:tc>
          <w:tcPr>
            <w:tcW w:type="dxa" w:w="259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RPC Provider</w:t>
            </w:r>
          </w:p>
        </w:tc>
        <w:tc>
          <w:tcPr>
            <w:tcW w:type="dxa" w:w="331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Helius</w:t>
            </w:r>
          </w:p>
        </w:tc>
        <w:tc>
          <w:tcPr>
            <w:tcW w:type="dxa" w:w="345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DAS API for compressed NFTs, webhooks, priority fees</w:t>
            </w:r>
          </w:p>
        </w:tc>
      </w:tr>
      <w:tr>
        <w:tc>
          <w:tcPr>
            <w:tcW w:type="dxa" w:w="259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Backend</w:t>
            </w:r>
          </w:p>
        </w:tc>
        <w:tc>
          <w:tcPr>
            <w:tcW w:type="dxa" w:w="331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Node.js + TypeScript + Fastify</w:t>
            </w:r>
          </w:p>
        </w:tc>
        <w:tc>
          <w:tcPr>
            <w:tcW w:type="dxa" w:w="345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Fast, typed, Solana web3.js v2 native</w:t>
            </w:r>
          </w:p>
        </w:tc>
      </w:tr>
      <w:tr>
        <w:tc>
          <w:tcPr>
            <w:tcW w:type="dxa" w:w="259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Database</w:t>
            </w:r>
          </w:p>
        </w:tc>
        <w:tc>
          <w:tcPr>
            <w:tcW w:type="dxa" w:w="331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PostgreSQL + Redis</w:t>
            </w:r>
          </w:p>
        </w:tc>
        <w:tc>
          <w:tcPr>
            <w:tcW w:type="dxa" w:w="345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Persistent state + session/cache layer</w:t>
            </w:r>
          </w:p>
        </w:tc>
      </w:tr>
      <w:tr>
        <w:tc>
          <w:tcPr>
            <w:tcW w:type="dxa" w:w="259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Storage</w:t>
            </w:r>
          </w:p>
        </w:tc>
        <w:tc>
          <w:tcPr>
            <w:tcW w:type="dxa" w:w="331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IPFS via Pinata + Cloudflare R2</w:t>
            </w:r>
          </w:p>
        </w:tc>
        <w:tc>
          <w:tcPr>
            <w:tcW w:type="dxa" w:w="345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Decentralised media + fast CDN delivery</w:t>
            </w:r>
          </w:p>
        </w:tc>
      </w:tr>
      <w:tr>
        <w:tc>
          <w:tcPr>
            <w:tcW w:type="dxa" w:w="259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Auth</w:t>
            </w:r>
          </w:p>
        </w:tc>
        <w:tc>
          <w:tcPr>
            <w:tcW w:type="dxa" w:w="331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Custom OTP + JWT (no OAuth)</w:t>
            </w:r>
          </w:p>
        </w:tc>
        <w:tc>
          <w:tcPr>
            <w:tcW w:type="dxa" w:w="345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Sovereign — no Google/Apple dependency</w:t>
            </w:r>
          </w:p>
        </w:tc>
      </w:tr>
      <w:tr>
        <w:tc>
          <w:tcPr>
            <w:tcW w:type="dxa" w:w="259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Mobile UI</w:t>
            </w:r>
          </w:p>
        </w:tc>
        <w:tc>
          <w:tcPr>
            <w:tcW w:type="dxa" w:w="331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React Native (Wave 3+) / PWA</w:t>
            </w:r>
          </w:p>
        </w:tc>
        <w:tc>
          <w:tcPr>
            <w:tcW w:type="dxa" w:w="345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Wave 2: same HTML prototype, add Solana wallet adapter</w:t>
            </w:r>
          </w:p>
        </w:tc>
      </w:tr>
      <w:tr>
        <w:tc>
          <w:tcPr>
            <w:tcW w:type="dxa" w:w="259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Monitoring</w:t>
            </w:r>
          </w:p>
        </w:tc>
        <w:tc>
          <w:tcPr>
            <w:tcW w:type="dxa" w:w="331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Datadog + Helius Webhooks</w:t>
            </w:r>
          </w:p>
        </w:tc>
        <w:tc>
          <w:tcPr>
            <w:tcW w:type="dxa" w:w="345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Real-time tx monitoring, anomaly detection for SIINDEX</w:t>
            </w:r>
          </w:p>
        </w:tc>
      </w:tr>
    </w:tbl>
    <w:p>
      <w:pPr>
        <w:spacing w:after="120"/>
      </w:pPr>
    </w:p>
    <w:p>
      <w:r>
        <w:br w:type="page"/>
      </w:r>
    </w:p>
    <w:p>
      <w:pPr>
        <w:spacing w:before="320" w:after="80"/>
        <w:pBdr>
          <w:bottom w:val="single" w:sz="6" w:space="1" w:color="00D4FF"/>
        </w:pBdr>
      </w:pPr>
      <w:r>
        <w:rPr>
          <w:b/>
          <w:i w:val="0"/>
          <w:color w:val="00D4FF"/>
          <w:sz w:val="32"/>
        </w:rPr>
        <w:t>11.  Development Timeline</w:t>
      </w:r>
    </w:p>
    <w:p>
      <w:pPr>
        <w:spacing w:before="0" w:after="120"/>
      </w:pPr>
      <w:r>
        <w:rPr>
          <w:b w:val="0"/>
          <w:i w:val="0"/>
          <w:sz w:val="20"/>
        </w:rPr>
        <w:t>Estimated timeline assumes a team of 2 senior Solana engineers + 1 backend engineer + 1 QA engineer:</w:t>
      </w:r>
    </w:p>
    <w:tbl>
      <w:tblPr>
        <w:tblW w:type="auto" w:w="0"/>
        <w:jc w:val="left"/>
        <w:tblLook w:firstColumn="1" w:firstRow="1" w:lastColumn="0" w:lastRow="0" w:noHBand="0" w:noVBand="1" w:val="04A0"/>
      </w:tblPr>
      <w:tblGrid>
        <w:gridCol w:w="2329"/>
        <w:gridCol w:w="2329"/>
        <w:gridCol w:w="2329"/>
        <w:gridCol w:w="2329"/>
      </w:tblGrid>
      <w:tr>
        <w:tc>
          <w:tcPr>
            <w:tcW w:type="dxa" w:w="1872"/>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Sprint</w:t>
            </w:r>
          </w:p>
        </w:tc>
        <w:tc>
          <w:tcPr>
            <w:tcW w:type="dxa" w:w="1584"/>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Duration</w:t>
            </w:r>
          </w:p>
        </w:tc>
        <w:tc>
          <w:tcPr>
            <w:tcW w:type="dxa" w:w="3456"/>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Deliverables</w:t>
            </w:r>
          </w:p>
        </w:tc>
        <w:tc>
          <w:tcPr>
            <w:tcW w:type="dxa" w:w="2448"/>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Exit Criteria</w:t>
            </w:r>
          </w:p>
        </w:tc>
      </w:tr>
      <w:tr>
        <w:tc>
          <w:tcPr>
            <w:tcW w:type="dxa" w:w="187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Sprint 1</w:t>
              <w:br/>
              <w:t>Foundation</w:t>
            </w:r>
          </w:p>
        </w:tc>
        <w:tc>
          <w:tcPr>
            <w:tcW w:type="dxa" w:w="158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2 weeks</w:t>
            </w:r>
          </w:p>
        </w:tc>
        <w:tc>
          <w:tcPr>
            <w:tcW w:type="dxa" w:w="345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Devnet deployment of all 5 programs. Grid Account (Squads) integration. Basic escrow create/release.</w:t>
            </w:r>
          </w:p>
        </w:tc>
        <w:tc>
          <w:tcPr>
            <w:tcW w:type="dxa" w:w="244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All programs deployed to devnet. Escrow lifecycle tested end-to-end.</w:t>
            </w:r>
          </w:p>
        </w:tc>
      </w:tr>
      <w:tr>
        <w:tc>
          <w:tcPr>
            <w:tcW w:type="dxa" w:w="187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Sprint 2</w:t>
              <w:br/>
              <w:t>Token + NFT</w:t>
            </w:r>
          </w:p>
        </w:tc>
        <w:tc>
          <w:tcPr>
            <w:tcW w:type="dxa" w:w="158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2 weeks</w:t>
            </w:r>
          </w:p>
        </w:tc>
        <w:tc>
          <w:tcPr>
            <w:tcW w:type="dxa" w:w="345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INDX mint deployed. Genesis bonus flow live. Compressed NFT receipt minting on escrow release.</w:t>
            </w:r>
          </w:p>
        </w:tc>
        <w:tc>
          <w:tcPr>
            <w:tcW w:type="dxa" w:w="2448"/>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50 INDX Genesis bonus working on devnet. Receipts appear in wallet.</w:t>
            </w:r>
          </w:p>
        </w:tc>
      </w:tr>
      <w:tr>
        <w:tc>
          <w:tcPr>
            <w:tcW w:type="dxa" w:w="187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Sprint 3</w:t>
              <w:br/>
              <w:t>Governance</w:t>
            </w:r>
          </w:p>
        </w:tc>
        <w:tc>
          <w:tcPr>
            <w:tcW w:type="dxa" w:w="158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2 weeks</w:t>
            </w:r>
          </w:p>
        </w:tc>
        <w:tc>
          <w:tcPr>
            <w:tcW w:type="dxa" w:w="345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Governance program deployed. Wisdom Score on-chain. Voting functional. GVE INDX rewards.</w:t>
            </w:r>
          </w:p>
        </w:tc>
        <w:tc>
          <w:tcPr>
            <w:tcW w:type="dxa" w:w="244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Test proposal created, voted on, and executed on devnet.</w:t>
            </w:r>
          </w:p>
        </w:tc>
      </w:tr>
      <w:tr>
        <w:tc>
          <w:tcPr>
            <w:tcW w:type="dxa" w:w="187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Sprint 4</w:t>
              <w:br/>
              <w:t>API Layer</w:t>
            </w:r>
          </w:p>
        </w:tc>
        <w:tc>
          <w:tcPr>
            <w:tcW w:type="dxa" w:w="158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2 weeks</w:t>
            </w:r>
          </w:p>
        </w:tc>
        <w:tc>
          <w:tcPr>
            <w:tcW w:type="dxa" w:w="345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All 28 API endpoints live. UI wired to real Solana txs. PayID integration for INDX purchase.</w:t>
            </w:r>
          </w:p>
        </w:tc>
        <w:tc>
          <w:tcPr>
            <w:tcW w:type="dxa" w:w="2448"/>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Wave 1 UI prototype fully functional against real devnet contracts.</w:t>
            </w:r>
          </w:p>
        </w:tc>
      </w:tr>
      <w:tr>
        <w:tc>
          <w:tcPr>
            <w:tcW w:type="dxa" w:w="187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Sprint 5</w:t>
              <w:br/>
              <w:t>Audit Prep</w:t>
            </w:r>
          </w:p>
        </w:tc>
        <w:tc>
          <w:tcPr>
            <w:tcW w:type="dxa" w:w="158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1 week</w:t>
            </w:r>
          </w:p>
        </w:tc>
        <w:tc>
          <w:tcPr>
            <w:tcW w:type="dxa" w:w="345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Code freeze. Internal review. Test suite coverage &gt;80%. Audit brief prepared for OtterSec.</w:t>
            </w:r>
          </w:p>
        </w:tc>
        <w:tc>
          <w:tcPr>
            <w:tcW w:type="dxa" w:w="244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Audit engagement signed. All critical test paths green.</w:t>
            </w:r>
          </w:p>
        </w:tc>
      </w:tr>
      <w:tr>
        <w:tc>
          <w:tcPr>
            <w:tcW w:type="dxa" w:w="187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Sprint 6</w:t>
              <w:br/>
              <w:t>Audit</w:t>
            </w:r>
          </w:p>
        </w:tc>
        <w:tc>
          <w:tcPr>
            <w:tcW w:type="dxa" w:w="1584"/>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3 weeks</w:t>
            </w:r>
          </w:p>
        </w:tc>
        <w:tc>
          <w:tcPr>
            <w:tcW w:type="dxa" w:w="3456"/>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External security audit. Bug fixes from audit findings.</w:t>
            </w:r>
          </w:p>
        </w:tc>
        <w:tc>
          <w:tcPr>
            <w:tcW w:type="dxa" w:w="2448"/>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No critical or high severity findings unresolved.</w:t>
            </w:r>
          </w:p>
        </w:tc>
      </w:tr>
      <w:tr>
        <w:tc>
          <w:tcPr>
            <w:tcW w:type="dxa" w:w="187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Sprint 7</w:t>
              <w:br/>
              <w:t>Mainnet</w:t>
            </w:r>
          </w:p>
        </w:tc>
        <w:tc>
          <w:tcPr>
            <w:tcW w:type="dxa" w:w="1584"/>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1 week</w:t>
            </w:r>
          </w:p>
        </w:tc>
        <w:tc>
          <w:tcPr>
            <w:tcW w:type="dxa" w:w="3456"/>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Mainnet deployment. Gradual rollout. SIINDEX monitoring live.</w:t>
            </w:r>
          </w:p>
        </w:tc>
        <w:tc>
          <w:tcPr>
            <w:tcW w:type="dxa" w:w="244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First 100 real users onboarded. Treasury receiving Civilisation Fees.</w:t>
            </w:r>
          </w:p>
        </w:tc>
      </w:tr>
    </w:tbl>
    <w:p>
      <w:pPr>
        <w:spacing w:after="120"/>
      </w:pPr>
    </w:p>
    <w:p>
      <w:pPr>
        <w:spacing w:before="0" w:after="120"/>
      </w:pPr>
      <w:r>
        <w:rPr>
          <w:b/>
          <w:i w:val="0"/>
          <w:color w:val="FFB800"/>
          <w:sz w:val="20"/>
        </w:rPr>
        <w:t>Total estimated Wave 2 duration: 13 weeks from sprint start.</w:t>
      </w:r>
    </w:p>
    <w:p>
      <w:r>
        <w:br w:type="page"/>
      </w:r>
    </w:p>
    <w:p>
      <w:pPr>
        <w:spacing w:before="320" w:after="80"/>
        <w:pBdr>
          <w:bottom w:val="single" w:sz="6" w:space="1" w:color="00D4FF"/>
        </w:pBdr>
      </w:pPr>
      <w:r>
        <w:rPr>
          <w:b/>
          <w:i w:val="0"/>
          <w:color w:val="00D4FF"/>
          <w:sz w:val="32"/>
        </w:rPr>
        <w:t>12.  Budget Estimate</w:t>
      </w:r>
    </w:p>
    <w:tbl>
      <w:tblPr>
        <w:tblW w:type="auto" w:w="0"/>
        <w:jc w:val="left"/>
        <w:tblLook w:firstColumn="1" w:firstRow="1" w:lastColumn="0" w:lastRow="0" w:noHBand="0" w:noVBand="1" w:val="04A0"/>
      </w:tblPr>
      <w:tblGrid>
        <w:gridCol w:w="3106"/>
        <w:gridCol w:w="3106"/>
        <w:gridCol w:w="3106"/>
      </w:tblGrid>
      <w:tr>
        <w:tc>
          <w:tcPr>
            <w:tcW w:type="dxa" w:w="4608"/>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Item</w:t>
            </w:r>
          </w:p>
        </w:tc>
        <w:tc>
          <w:tcPr>
            <w:tcW w:type="dxa" w:w="2592"/>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Est. Cost (AUD)</w:t>
            </w:r>
          </w:p>
        </w:tc>
        <w:tc>
          <w:tcPr>
            <w:tcW w:type="dxa" w:w="2160"/>
            <w:shd w:val="clear" w:color="auto" w:fill="1E2040"/>
            <w:tcBorders>
              <w:top w:val="single" w:sz="4" w:space="0" w:color="00D4FF"/>
              <w:left w:val="single" w:sz="4" w:space="0" w:color="00D4FF"/>
              <w:bottom w:val="single" w:sz="4" w:space="0" w:color="00D4FF"/>
              <w:right w:val="single" w:sz="4" w:space="0" w:color="00D4FF"/>
            </w:tcBorders>
          </w:tcPr>
          <w:p>
            <w:r>
              <w:rPr>
                <w:b/>
                <w:color w:val="00D4FF"/>
                <w:sz w:val="18"/>
              </w:rPr>
              <w:t>Notes</w:t>
            </w:r>
          </w:p>
        </w:tc>
      </w:tr>
      <w:tr>
        <w:tc>
          <w:tcPr>
            <w:tcW w:type="dxa" w:w="460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2x Senior Solana Engineers (13 weeks)</w:t>
            </w:r>
          </w:p>
        </w:tc>
        <w:tc>
          <w:tcPr>
            <w:tcW w:type="dxa" w:w="259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A$78,000–A$130,000</w:t>
            </w:r>
          </w:p>
        </w:tc>
        <w:tc>
          <w:tcPr>
            <w:tcW w:type="dxa" w:w="216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A$1,500–A$2,500/wk each</w:t>
            </w:r>
          </w:p>
        </w:tc>
      </w:tr>
      <w:tr>
        <w:tc>
          <w:tcPr>
            <w:tcW w:type="dxa" w:w="4608"/>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1x Backend Engineer (13 weeks)</w:t>
            </w:r>
          </w:p>
        </w:tc>
        <w:tc>
          <w:tcPr>
            <w:tcW w:type="dxa" w:w="259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A$32,500–A$52,000</w:t>
            </w:r>
          </w:p>
        </w:tc>
        <w:tc>
          <w:tcPr>
            <w:tcW w:type="dxa" w:w="216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A$2,500–A$4,000/wk</w:t>
            </w:r>
          </w:p>
        </w:tc>
      </w:tr>
      <w:tr>
        <w:tc>
          <w:tcPr>
            <w:tcW w:type="dxa" w:w="460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1x QA Engineer (13 weeks)</w:t>
            </w:r>
          </w:p>
        </w:tc>
        <w:tc>
          <w:tcPr>
            <w:tcW w:type="dxa" w:w="259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A$19,500–A$32,500</w:t>
            </w:r>
          </w:p>
        </w:tc>
        <w:tc>
          <w:tcPr>
            <w:tcW w:type="dxa" w:w="216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A$1,500–A$2,500/wk</w:t>
            </w:r>
          </w:p>
        </w:tc>
      </w:tr>
      <w:tr>
        <w:tc>
          <w:tcPr>
            <w:tcW w:type="dxa" w:w="4608"/>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Security Audit (OtterSec / Neodyme)</w:t>
            </w:r>
          </w:p>
        </w:tc>
        <w:tc>
          <w:tcPr>
            <w:tcW w:type="dxa" w:w="259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A$60,000–A$120,000</w:t>
            </w:r>
          </w:p>
        </w:tc>
        <w:tc>
          <w:tcPr>
            <w:tcW w:type="dxa" w:w="216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5 programs, full scope</w:t>
            </w:r>
          </w:p>
        </w:tc>
      </w:tr>
      <w:tr>
        <w:tc>
          <w:tcPr>
            <w:tcW w:type="dxa" w:w="460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Helius RPC (12 months)</w:t>
            </w:r>
          </w:p>
        </w:tc>
        <w:tc>
          <w:tcPr>
            <w:tcW w:type="dxa" w:w="259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A$3,600–A$9,600</w:t>
            </w:r>
          </w:p>
        </w:tc>
        <w:tc>
          <w:tcPr>
            <w:tcW w:type="dxa" w:w="216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Growth or Business plan</w:t>
            </w:r>
          </w:p>
        </w:tc>
      </w:tr>
      <w:tr>
        <w:tc>
          <w:tcPr>
            <w:tcW w:type="dxa" w:w="4608"/>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Pinata IPFS Storage (12 months)</w:t>
            </w:r>
          </w:p>
        </w:tc>
        <w:tc>
          <w:tcPr>
            <w:tcW w:type="dxa" w:w="259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A$600–A$1,800</w:t>
            </w:r>
          </w:p>
        </w:tc>
        <w:tc>
          <w:tcPr>
            <w:tcW w:type="dxa" w:w="216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10M–50M receipts/yr</w:t>
            </w:r>
          </w:p>
        </w:tc>
      </w:tr>
      <w:tr>
        <w:tc>
          <w:tcPr>
            <w:tcW w:type="dxa" w:w="460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Devnet + Mainnet SOL (deployment)</w:t>
            </w:r>
          </w:p>
        </w:tc>
        <w:tc>
          <w:tcPr>
            <w:tcW w:type="dxa" w:w="259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A$500–A$2,000</w:t>
            </w:r>
          </w:p>
        </w:tc>
        <w:tc>
          <w:tcPr>
            <w:tcW w:type="dxa" w:w="216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Program deploys + Merkle trees</w:t>
            </w:r>
          </w:p>
        </w:tc>
      </w:tr>
      <w:tr>
        <w:tc>
          <w:tcPr>
            <w:tcW w:type="dxa" w:w="4608"/>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Stripe / Banxa Integration</w:t>
            </w:r>
          </w:p>
        </w:tc>
        <w:tc>
          <w:tcPr>
            <w:tcW w:type="dxa" w:w="2592"/>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A$5,000–A$15,000</w:t>
            </w:r>
          </w:p>
        </w:tc>
        <w:tc>
          <w:tcPr>
            <w:tcW w:type="dxa" w:w="2160"/>
            <w:shd w:val="clear" w:color="auto" w:fill="131428"/>
            <w:tcBorders>
              <w:top w:val="single" w:sz="4" w:space="0" w:color="2A2C44"/>
              <w:left w:val="single" w:sz="4" w:space="0" w:color="2A2C44"/>
              <w:bottom w:val="single" w:sz="4" w:space="0" w:color="2A2C44"/>
              <w:right w:val="single" w:sz="4" w:space="0" w:color="2A2C44"/>
            </w:tcBorders>
          </w:tcPr>
          <w:p>
            <w:r>
              <w:rPr>
                <w:color w:val="CCCCCC"/>
                <w:sz w:val="18"/>
              </w:rPr>
              <w:t>AUD → USDC payment processing setup</w:t>
            </w:r>
          </w:p>
        </w:tc>
      </w:tr>
      <w:tr>
        <w:tc>
          <w:tcPr>
            <w:tcW w:type="dxa" w:w="4608"/>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Contingency (15%)</w:t>
            </w:r>
          </w:p>
        </w:tc>
        <w:tc>
          <w:tcPr>
            <w:tcW w:type="dxa" w:w="2592"/>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A$30,000–A$54,000</w:t>
            </w:r>
          </w:p>
        </w:tc>
        <w:tc>
          <w:tcPr>
            <w:tcW w:type="dxa" w:w="2160"/>
            <w:shd w:val="clear" w:color="auto" w:fill="0E0F1A"/>
            <w:tcBorders>
              <w:top w:val="single" w:sz="4" w:space="0" w:color="2A2C44"/>
              <w:left w:val="single" w:sz="4" w:space="0" w:color="2A2C44"/>
              <w:bottom w:val="single" w:sz="4" w:space="0" w:color="2A2C44"/>
              <w:right w:val="single" w:sz="4" w:space="0" w:color="2A2C44"/>
            </w:tcBorders>
          </w:tcPr>
          <w:p>
            <w:r>
              <w:rPr>
                <w:color w:val="CCCCCC"/>
                <w:sz w:val="18"/>
              </w:rPr>
              <w:t>Scope changes, audit re-tests</w:t>
            </w:r>
          </w:p>
        </w:tc>
      </w:tr>
    </w:tbl>
    <w:p>
      <w:pPr>
        <w:spacing w:after="120"/>
      </w:pPr>
    </w:p>
    <w:p>
      <w:pPr>
        <w:spacing w:before="80" w:after="120"/>
      </w:pPr>
      <w:r>
        <w:rPr>
          <w:b/>
          <w:i w:val="0"/>
          <w:color w:val="FFB800"/>
          <w:sz w:val="22"/>
        </w:rPr>
        <w:t>Total Wave 2 Budget Range: A$230,000 – A$417,000</w:t>
      </w:r>
    </w:p>
    <w:p>
      <w:pPr>
        <w:spacing w:before="0" w:after="120"/>
      </w:pPr>
      <w:r>
        <w:rPr>
          <w:b w:val="0"/>
          <w:i/>
          <w:color w:val="CCCCCC"/>
          <w:sz w:val="18"/>
        </w:rPr>
        <w:t>Note: Costs can be reduced significantly with a remote-first team or equity-partial compensation.</w:t>
      </w:r>
    </w:p>
    <w:p>
      <w:r>
        <w:br w:type="page"/>
      </w:r>
    </w:p>
    <w:p>
      <w:pPr>
        <w:spacing w:before="320" w:after="80"/>
        <w:pBdr>
          <w:bottom w:val="single" w:sz="6" w:space="1" w:color="00D4FF"/>
        </w:pBdr>
      </w:pPr>
      <w:r>
        <w:rPr>
          <w:b/>
          <w:i w:val="0"/>
          <w:color w:val="00D4FF"/>
          <w:sz w:val="32"/>
        </w:rPr>
        <w:t>13.  SIINDEX COO — Wave 2 Agent Roles</w:t>
      </w:r>
    </w:p>
    <w:p>
      <w:pPr>
        <w:spacing w:before="0" w:after="120"/>
      </w:pPr>
      <w:r>
        <w:rPr>
          <w:b w:val="0"/>
          <w:i w:val="0"/>
          <w:sz w:val="21"/>
        </w:rPr>
        <w:t>SIINDEX is the sovereign AI COO of IN$DEX. She runs a swarm of specialist agents. All significant decisions require AJ Henry approval. The following Wave 2 capabilities must be built into the backend to support SIINDEX operations:</w:t>
      </w:r>
    </w:p>
    <w:p>
      <w:pPr>
        <w:spacing w:before="240" w:after="60"/>
      </w:pPr>
      <w:r>
        <w:rPr>
          <w:b/>
          <w:i w:val="0"/>
          <w:color w:val="FFB800"/>
          <w:sz w:val="26"/>
        </w:rPr>
        <w:t>13.1  Security Agent</w:t>
      </w:r>
    </w:p>
    <w:p>
      <w:pPr>
        <w:pStyle w:val="ListBullet"/>
        <w:spacing w:after="40" w:before="0"/>
      </w:pPr>
      <w:r>
        <w:rPr>
          <w:sz w:val="20"/>
        </w:rPr>
        <w:t>Real-time monitoring of all on-chain wallet activity via Helius webhooks.</w:t>
      </w:r>
    </w:p>
    <w:p>
      <w:pPr>
        <w:pStyle w:val="ListBullet"/>
        <w:spacing w:after="40" w:before="0"/>
      </w:pPr>
      <w:r>
        <w:rPr>
          <w:sz w:val="20"/>
        </w:rPr>
        <w:t>Anomaly detection: unusual transaction patterns, large withdrawals, rapid listing changes.</w:t>
      </w:r>
    </w:p>
    <w:p>
      <w:pPr>
        <w:pStyle w:val="ListBullet"/>
        <w:spacing w:after="40" w:before="0"/>
      </w:pPr>
      <w:r>
        <w:rPr>
          <w:sz w:val="20"/>
        </w:rPr>
        <w:t>Auto-flag suspicious wallets to AJ Henry for review before any freeze action.</w:t>
      </w:r>
    </w:p>
    <w:p>
      <w:pPr>
        <w:pStyle w:val="ListBullet"/>
        <w:spacing w:after="40" w:before="0"/>
      </w:pPr>
      <w:r>
        <w:rPr>
          <w:sz w:val="20"/>
        </w:rPr>
        <w:t>API endpoint: POST /siindex/security/flag { wallet, reason, severity }</w:t>
      </w:r>
    </w:p>
    <w:p>
      <w:pPr>
        <w:spacing w:before="240" w:after="60"/>
      </w:pPr>
      <w:r>
        <w:rPr>
          <w:b/>
          <w:i w:val="0"/>
          <w:color w:val="FFB800"/>
          <w:sz w:val="26"/>
        </w:rPr>
        <w:t>13.2  Dispute Arbiter Agent</w:t>
      </w:r>
    </w:p>
    <w:p>
      <w:pPr>
        <w:pStyle w:val="ListBullet"/>
        <w:spacing w:after="40" w:before="0"/>
      </w:pPr>
      <w:r>
        <w:rPr>
          <w:sz w:val="20"/>
        </w:rPr>
        <w:t>SIINDEX reviews open disputes, collects evidence from both parties.</w:t>
      </w:r>
    </w:p>
    <w:p>
      <w:pPr>
        <w:pStyle w:val="ListBullet"/>
        <w:spacing w:after="40" w:before="0"/>
      </w:pPr>
      <w:r>
        <w:rPr>
          <w:sz w:val="20"/>
        </w:rPr>
        <w:t>Presents recommendation to AJ Henry: { dispute_id, recommended_resolution, confidence, reasoning }</w:t>
      </w:r>
    </w:p>
    <w:p>
      <w:pPr>
        <w:pStyle w:val="ListBullet"/>
        <w:spacing w:after="40" w:before="0"/>
      </w:pPr>
      <w:r>
        <w:rPr>
          <w:sz w:val="20"/>
        </w:rPr>
        <w:t>AJ approves or overrides. SIINDEX executes resolve_dispute() on approval.</w:t>
      </w:r>
    </w:p>
    <w:p>
      <w:pPr>
        <w:pStyle w:val="ListBullet"/>
        <w:spacing w:after="40" w:before="0"/>
      </w:pPr>
      <w:r>
        <w:rPr>
          <w:sz w:val="20"/>
        </w:rPr>
        <w:t>All dispute decisions logged permanently with reasoning — auditable trail.</w:t>
      </w:r>
    </w:p>
    <w:p>
      <w:pPr>
        <w:spacing w:before="240" w:after="60"/>
      </w:pPr>
      <w:r>
        <w:rPr>
          <w:b/>
          <w:i w:val="0"/>
          <w:color w:val="FFB800"/>
          <w:sz w:val="26"/>
        </w:rPr>
        <w:t>13.3  Treasury Agent</w:t>
      </w:r>
    </w:p>
    <w:p>
      <w:pPr>
        <w:pStyle w:val="ListBullet"/>
        <w:spacing w:after="40" w:before="0"/>
      </w:pPr>
      <w:r>
        <w:rPr>
          <w:sz w:val="20"/>
        </w:rPr>
        <w:t>Daily Civilisation Fee report: fees collected, burn amount, yield pool allocation.</w:t>
      </w:r>
    </w:p>
    <w:p>
      <w:pPr>
        <w:pStyle w:val="ListBullet"/>
        <w:spacing w:after="40" w:before="0"/>
      </w:pPr>
      <w:r>
        <w:rPr>
          <w:sz w:val="20"/>
        </w:rPr>
        <w:t>Weekly INDX yield distribution trigger: SIINDEX calculates, presents to AJ, executes on approval.</w:t>
      </w:r>
    </w:p>
    <w:p>
      <w:pPr>
        <w:pStyle w:val="ListBullet"/>
        <w:spacing w:after="40" w:before="0"/>
      </w:pPr>
      <w:r>
        <w:rPr>
          <w:sz w:val="20"/>
        </w:rPr>
        <w:t>API endpoint: GET /siindex/treasury/daily-report returns JSON for SIINDEX Daily Brief.</w:t>
      </w:r>
    </w:p>
    <w:p>
      <w:pPr>
        <w:spacing w:before="240" w:after="60"/>
      </w:pPr>
      <w:r>
        <w:rPr>
          <w:b/>
          <w:i w:val="0"/>
          <w:color w:val="FFB800"/>
          <w:sz w:val="26"/>
        </w:rPr>
        <w:t>13.4  Governance Agent</w:t>
      </w:r>
    </w:p>
    <w:p>
      <w:pPr>
        <w:pStyle w:val="ListBullet"/>
        <w:spacing w:after="40" w:before="0"/>
      </w:pPr>
      <w:r>
        <w:rPr>
          <w:sz w:val="20"/>
        </w:rPr>
        <w:t>Monitors active proposals, participation rates, potential manipulation.</w:t>
      </w:r>
    </w:p>
    <w:p>
      <w:pPr>
        <w:pStyle w:val="ListBullet"/>
        <w:spacing w:after="40" w:before="0"/>
      </w:pPr>
      <w:r>
        <w:rPr>
          <w:sz w:val="20"/>
        </w:rPr>
        <w:t>Surfaces proposals requiring veto consideration to AJ Henry before 24h window expires.</w:t>
      </w:r>
    </w:p>
    <w:p>
      <w:pPr>
        <w:pStyle w:val="ListBullet"/>
        <w:spacing w:after="40" w:before="0"/>
      </w:pPr>
      <w:r>
        <w:rPr>
          <w:sz w:val="20"/>
        </w:rPr>
        <w:t>Sends GVE reward distribution for AJ approval after each proposal closes.</w:t>
      </w:r>
    </w:p>
    <w:p>
      <w:r>
        <w:br w:type="page"/>
      </w:r>
    </w:p>
    <w:p>
      <w:pPr>
        <w:spacing w:before="320" w:after="80"/>
        <w:pBdr>
          <w:bottom w:val="single" w:sz="6" w:space="1" w:color="00D4FF"/>
        </w:pBdr>
      </w:pPr>
      <w:r>
        <w:rPr>
          <w:b/>
          <w:i w:val="0"/>
          <w:color w:val="00D4FF"/>
          <w:sz w:val="32"/>
        </w:rPr>
        <w:t>14.  Getting Started — Developer Checklist</w:t>
      </w:r>
    </w:p>
    <w:p>
      <w:pPr>
        <w:spacing w:before="0" w:after="120"/>
      </w:pPr>
      <w:r>
        <w:rPr>
          <w:b w:val="0"/>
          <w:i w:val="0"/>
          <w:sz w:val="20"/>
        </w:rPr>
        <w:t>Complete in order before writing a single line of program code:</w:t>
      </w:r>
    </w:p>
    <w:p>
      <w:pPr>
        <w:spacing w:before="160" w:after="40"/>
      </w:pPr>
      <w:r>
        <w:rPr>
          <w:b/>
          <w:i w:val="0"/>
          <w:color w:val="00E5A0"/>
          <w:sz w:val="22"/>
        </w:rPr>
        <w:t>Environment Setup</w:t>
      </w:r>
    </w:p>
    <w:p>
      <w:pPr>
        <w:pStyle w:val="ListBullet"/>
        <w:spacing w:after="40" w:before="0"/>
      </w:pPr>
      <w:r>
        <w:rPr>
          <w:sz w:val="20"/>
        </w:rPr>
        <w:t>Install Rust (stable), Solana CLI 1.18+, Anchor CLI 0.30+</w:t>
      </w:r>
    </w:p>
    <w:p>
      <w:pPr>
        <w:pStyle w:val="ListBullet"/>
        <w:spacing w:after="40" w:before="0"/>
      </w:pPr>
      <w:r>
        <w:rPr>
          <w:sz w:val="20"/>
        </w:rPr>
        <w:t>Configure Devnet: solana config set --url devnet</w:t>
      </w:r>
    </w:p>
    <w:p>
      <w:pPr>
        <w:pStyle w:val="ListBullet"/>
        <w:spacing w:after="40" w:before="0"/>
      </w:pPr>
      <w:r>
        <w:rPr>
          <w:sz w:val="20"/>
        </w:rPr>
        <w:t>Fund devnet wallet: solana airdrop 5</w:t>
      </w:r>
    </w:p>
    <w:p>
      <w:pPr>
        <w:pStyle w:val="ListBullet"/>
        <w:spacing w:after="40" w:before="0"/>
      </w:pPr>
      <w:r>
        <w:rPr>
          <w:sz w:val="20"/>
        </w:rPr>
        <w:t>Clone IN$DEX monorepo (private — request access from AJ Henry)</w:t>
      </w:r>
    </w:p>
    <w:p>
      <w:pPr>
        <w:spacing w:before="160" w:after="40"/>
      </w:pPr>
      <w:r>
        <w:rPr>
          <w:b/>
          <w:i w:val="0"/>
          <w:color w:val="00E5A0"/>
          <w:sz w:val="22"/>
        </w:rPr>
        <w:t>Program Scaffolding</w:t>
      </w:r>
    </w:p>
    <w:p>
      <w:pPr>
        <w:pStyle w:val="ListBullet"/>
        <w:spacing w:after="40" w:before="0"/>
      </w:pPr>
      <w:r>
        <w:rPr>
          <w:sz w:val="20"/>
        </w:rPr>
        <w:t>anchor init indx-programs --javascript (use TypeScript template)</w:t>
      </w:r>
    </w:p>
    <w:p>
      <w:pPr>
        <w:pStyle w:val="ListBullet"/>
        <w:spacing w:after="40" w:before="0"/>
      </w:pPr>
      <w:r>
        <w:rPr>
          <w:sz w:val="20"/>
        </w:rPr>
        <w:t>Create 5 programs: escrow, token, governance, nft, identity</w:t>
      </w:r>
    </w:p>
    <w:p>
      <w:pPr>
        <w:pStyle w:val="ListBullet"/>
        <w:spacing w:after="40" w:before="0"/>
      </w:pPr>
      <w:r>
        <w:rPr>
          <w:sz w:val="20"/>
        </w:rPr>
        <w:t>Set up Anchor.toml with all 5 program IDs (generate with solana-keygen)</w:t>
      </w:r>
    </w:p>
    <w:p>
      <w:pPr>
        <w:pStyle w:val="ListBullet"/>
        <w:spacing w:after="40" w:before="0"/>
      </w:pPr>
      <w:r>
        <w:rPr>
          <w:sz w:val="20"/>
        </w:rPr>
        <w:t>Write skeleton IDL for each program before implementation</w:t>
      </w:r>
    </w:p>
    <w:p>
      <w:pPr>
        <w:spacing w:before="160" w:after="40"/>
      </w:pPr>
      <w:r>
        <w:rPr>
          <w:b/>
          <w:i w:val="0"/>
          <w:color w:val="00E5A0"/>
          <w:sz w:val="22"/>
        </w:rPr>
        <w:t>Test Suite</w:t>
      </w:r>
    </w:p>
    <w:p>
      <w:pPr>
        <w:pStyle w:val="ListBullet"/>
        <w:spacing w:after="40" w:before="0"/>
      </w:pPr>
      <w:r>
        <w:rPr>
          <w:sz w:val="20"/>
        </w:rPr>
        <w:t>Set up Bankrun or solana-program-test for fast unit tests</w:t>
      </w:r>
    </w:p>
    <w:p>
      <w:pPr>
        <w:pStyle w:val="ListBullet"/>
        <w:spacing w:after="40" w:before="0"/>
      </w:pPr>
      <w:r>
        <w:rPr>
          <w:sz w:val="20"/>
        </w:rPr>
        <w:t>Write test stubs for every instruction before implementation</w:t>
      </w:r>
    </w:p>
    <w:p>
      <w:pPr>
        <w:pStyle w:val="ListBullet"/>
        <w:spacing w:after="40" w:before="0"/>
      </w:pPr>
      <w:r>
        <w:rPr>
          <w:sz w:val="20"/>
        </w:rPr>
        <w:t>Coverage target: &gt;80% line coverage before audit</w:t>
      </w:r>
    </w:p>
    <w:p>
      <w:pPr>
        <w:pStyle w:val="ListBullet"/>
        <w:spacing w:after="40" w:before="0"/>
      </w:pPr>
      <w:r>
        <w:rPr>
          <w:sz w:val="20"/>
        </w:rPr>
        <w:t>CI: GitHub Actions with anchor build + anchor test on every PR</w:t>
      </w:r>
    </w:p>
    <w:p>
      <w:pPr>
        <w:spacing w:before="160" w:after="40"/>
      </w:pPr>
      <w:r>
        <w:rPr>
          <w:b/>
          <w:i w:val="0"/>
          <w:color w:val="00E5A0"/>
          <w:sz w:val="22"/>
        </w:rPr>
        <w:t>Backend Setup</w:t>
      </w:r>
    </w:p>
    <w:p>
      <w:pPr>
        <w:pStyle w:val="ListBullet"/>
        <w:spacing w:after="40" w:before="0"/>
      </w:pPr>
      <w:r>
        <w:rPr>
          <w:sz w:val="20"/>
        </w:rPr>
        <w:t>Node.js 20+ + TypeScript 5+ + Fastify 4+</w:t>
      </w:r>
    </w:p>
    <w:p>
      <w:pPr>
        <w:pStyle w:val="ListBullet"/>
        <w:spacing w:after="40" w:before="0"/>
      </w:pPr>
      <w:r>
        <w:rPr>
          <w:sz w:val="20"/>
        </w:rPr>
        <w:t>@solana/web3.js v2 (latest) — not v1</w:t>
      </w:r>
    </w:p>
    <w:p>
      <w:pPr>
        <w:pStyle w:val="ListBullet"/>
        <w:spacing w:after="40" w:before="0"/>
      </w:pPr>
      <w:r>
        <w:rPr>
          <w:sz w:val="20"/>
        </w:rPr>
        <w:t>@metaplex-foundation/umi for compressed NFT operations</w:t>
      </w:r>
    </w:p>
    <w:p>
      <w:pPr>
        <w:pStyle w:val="ListBullet"/>
        <w:spacing w:after="40" w:before="0"/>
      </w:pPr>
      <w:r>
        <w:rPr>
          <w:sz w:val="20"/>
        </w:rPr>
        <w:t>@sqds/multisig for Squads Protocol Grid Account management</w:t>
      </w:r>
    </w:p>
    <w:p/>
    <w:p>
      <w:pPr>
        <w:spacing w:before="240" w:after="60"/>
      </w:pPr>
      <w:r>
        <w:rPr>
          <w:b/>
          <w:i w:val="0"/>
          <w:color w:val="FFB800"/>
          <w:sz w:val="26"/>
        </w:rPr>
        <w:t>Key Contacts</w:t>
      </w:r>
    </w:p>
    <w:tbl>
      <w:tblPr>
        <w:tblW w:type="auto" w:w="0"/>
        <w:jc w:val="left"/>
        <w:tblLook w:firstColumn="1" w:firstRow="1" w:lastColumn="0" w:lastRow="0" w:noHBand="0" w:noVBand="1" w:val="04A0"/>
      </w:tblPr>
      <w:tblGrid>
        <w:gridCol w:w="4658"/>
        <w:gridCol w:w="4658"/>
      </w:tblGrid>
      <w:tr>
        <w:tc>
          <w:tcPr>
            <w:tcW w:type="dxa" w:w="3168"/>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Project Lead / Founder</w:t>
            </w:r>
          </w:p>
        </w:tc>
        <w:tc>
          <w:tcPr>
            <w:tcW w:type="dxa" w:w="6192"/>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AJ Henry — all strategic decisions routed through AJ</w:t>
            </w:r>
          </w:p>
        </w:tc>
      </w:tr>
      <w:tr>
        <w:tc>
          <w:tcPr>
            <w:tcW w:type="dxa" w:w="3168"/>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Approvals Authority</w:t>
            </w:r>
          </w:p>
        </w:tc>
        <w:tc>
          <w:tcPr>
            <w:tcW w:type="dxa" w:w="6192"/>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SIINDEX (AI COO) surfaces decisions — AJ Henry approves</w:t>
            </w:r>
          </w:p>
        </w:tc>
      </w:tr>
      <w:tr>
        <w:tc>
          <w:tcPr>
            <w:tcW w:type="dxa" w:w="3168"/>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Smart Contract Queries</w:t>
            </w:r>
          </w:p>
        </w:tc>
        <w:tc>
          <w:tcPr>
            <w:tcW w:type="dxa" w:w="6192"/>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Raise via GitHub Issues in monorepo — tag: smart-contract</w:t>
            </w:r>
          </w:p>
        </w:tc>
      </w:tr>
      <w:tr>
        <w:tc>
          <w:tcPr>
            <w:tcW w:type="dxa" w:w="3168"/>
            <w:shd w:val="clear" w:color="auto" w:fill="1A1C2E"/>
            <w:tcBorders>
              <w:top w:val="single" w:sz="4" w:space="0" w:color="333355"/>
              <w:left w:val="single" w:sz="4" w:space="0" w:color="333355"/>
              <w:bottom w:val="single" w:sz="4" w:space="0" w:color="333355"/>
              <w:right w:val="single" w:sz="4" w:space="0" w:color="333355"/>
            </w:tcBorders>
            <w:vAlign w:val="center"/>
          </w:tcPr>
          <w:p>
            <w:r>
              <w:rPr>
                <w:b/>
                <w:color w:val="00D4FF"/>
                <w:sz w:val="18"/>
              </w:rPr>
              <w:t>Security Issues</w:t>
            </w:r>
          </w:p>
        </w:tc>
        <w:tc>
          <w:tcPr>
            <w:tcW w:type="dxa" w:w="6192"/>
            <w:shd w:val="clear" w:color="auto" w:fill="0E0F1A"/>
            <w:tcBorders>
              <w:top w:val="single" w:sz="4" w:space="0" w:color="333355"/>
              <w:left w:val="single" w:sz="4" w:space="0" w:color="333355"/>
              <w:bottom w:val="single" w:sz="4" w:space="0" w:color="333355"/>
              <w:right w:val="single" w:sz="4" w:space="0" w:color="333355"/>
            </w:tcBorders>
          </w:tcPr>
          <w:p>
            <w:r>
              <w:rPr>
                <w:color w:val="CCCCCC"/>
                <w:sz w:val="18"/>
              </w:rPr>
              <w:t>Direct to AJ Henry only — do NOT create public GitHub issues</w:t>
            </w:r>
          </w:p>
        </w:tc>
      </w:tr>
    </w:tbl>
    <w:p>
      <w:pPr>
        <w:spacing w:after="80"/>
      </w:pPr>
    </w:p>
    <w:p/>
    <w:p>
      <w:pPr>
        <w:jc w:val="center"/>
      </w:pPr>
      <w:r>
        <w:rPr>
          <w:i/>
          <w:color w:val="444455"/>
          <w:sz w:val="16"/>
        </w:rPr>
        <w:t>IN$DEX Wave 2 Developer Brief v1.0  •  Image Nation Decentralised Exchange  •  CONFIDENTIAL</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