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IN$DEX</w:t>
      </w:r>
    </w:p>
    <w:p>
      <w:pPr>
        <w:pStyle w:val="Subtitle"/>
      </w:pPr>
      <w:r>
        <w:t xml:space="preserve">A</w:t>
      </w:r>
      <w:r>
        <w:t xml:space="preserve"> </w:t>
      </w:r>
      <w:r>
        <w:t xml:space="preserve">Sovereign</w:t>
      </w:r>
      <w:r>
        <w:t xml:space="preserve"> </w:t>
      </w:r>
      <w:r>
        <w:t xml:space="preserve">Digital</w:t>
      </w:r>
      <w:r>
        <w:t xml:space="preserve"> </w:t>
      </w:r>
      <w:r>
        <w:t xml:space="preserve">Civilisation</w:t>
      </w:r>
    </w:p>
    <w:p>
      <w:pPr>
        <w:pStyle w:val="Author"/>
      </w:pPr>
      <w:r>
        <w:t xml:space="preserve">Arthur</w:t>
      </w:r>
      <w:r>
        <w:t xml:space="preserve"> </w:t>
      </w:r>
      <w:r>
        <w:t xml:space="preserve">John</w:t>
      </w:r>
      <w:r>
        <w:t xml:space="preserve"> </w:t>
      </w:r>
      <w:r>
        <w:t xml:space="preserve">Henry,</w:t>
      </w:r>
      <w:r>
        <w:t xml:space="preserve"> </w:t>
      </w:r>
      <w:r>
        <w:t xml:space="preserve">Founder</w:t>
      </w:r>
    </w:p>
    <w:p>
      <w:pPr>
        <w:pStyle w:val="Date"/>
      </w:pPr>
      <w:r>
        <w:t xml:space="preserve">Whitepaper</w:t>
      </w:r>
      <w:r>
        <w:t xml:space="preserve"> </w:t>
      </w:r>
      <w:r>
        <w:t xml:space="preserve">v2.0:</w:t>
      </w:r>
      <w:r>
        <w:t xml:space="preserve"> </w:t>
      </w:r>
      <w:r>
        <w:t xml:space="preserve">Partner</w:t>
      </w:r>
      <w:r>
        <w:t xml:space="preserve"> </w:t>
      </w:r>
      <w:r>
        <w:t xml:space="preserve">and</w:t>
      </w:r>
      <w:r>
        <w:t xml:space="preserve"> </w:t>
      </w:r>
      <w:r>
        <w:t xml:space="preserve">Prelaunch</w:t>
      </w:r>
      <w:r>
        <w:t xml:space="preserve"> </w:t>
      </w:r>
      <w:r>
        <w:t xml:space="preserve">Edition</w:t>
      </w:r>
      <w:r>
        <w:t xml:space="preserve"> </w:t>
      </w:r>
      <w:r>
        <w:t xml:space="preserve">|</w:t>
      </w:r>
      <w:r>
        <w:t xml:space="preserve"> </w:t>
      </w:r>
      <w:r>
        <w:t xml:space="preserve">18</w:t>
      </w:r>
      <w:r>
        <w:t xml:space="preserve"> </w:t>
      </w:r>
      <w:r>
        <w:t xml:space="preserve">July</w:t>
      </w:r>
      <w:r>
        <w:t xml:space="preserve"> </w:t>
      </w:r>
      <w:r>
        <w:t xml:space="preserve">2026</w:t>
      </w:r>
    </w:p>
    <w:p>
      <w:pPr>
        <w:pStyle w:val="FirstParagraph"/>
      </w:pPr>
      <w:r>
        <w:t xml:space="preserve">Voice-first access, identity, commerce, opportunity and trust. Pacific first, globally interoperable.</w:t>
      </w:r>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t xml:space="preserve">Document</w:t>
            </w:r>
          </w:p>
        </w:tc>
        <w:tc>
          <w:tcPr>
            <w:tcW w:type="dxa" w:w="4680"/>
            <w:tcBorders>
              <w:bottom w:val="single"/>
            </w:tcBorders>
            <w:vAlign w:val="bottom"/>
          </w:tcPr>
          <w:p>
            <w:pPr>
              <w:pStyle w:val="Compact"/>
              <w:jc w:val="left"/>
            </w:pPr>
            <w:r>
              <w:t xml:space="preserve">Whitepaper v2.0: Partner and Prelaunch Edition</w:t>
            </w:r>
          </w:p>
        </w:tc>
      </w:tr>
      <w:tr>
        <w:tc>
          <w:tcPr>
            <w:tcW w:type="dxa" w:w="4680"/>
          </w:tcPr>
          <w:p>
            <w:pPr>
              <w:pStyle w:val="Compact"/>
              <w:jc w:val="left"/>
            </w:pPr>
            <w:r>
              <w:t xml:space="preserve">Founder</w:t>
            </w:r>
          </w:p>
        </w:tc>
        <w:tc>
          <w:tcPr>
            <w:tcW w:type="dxa" w:w="4680"/>
          </w:tcPr>
          <w:p>
            <w:pPr>
              <w:pStyle w:val="Compact"/>
              <w:jc w:val="left"/>
            </w:pPr>
            <w:r>
              <w:t xml:space="preserve">Arthur John Henry</w:t>
            </w:r>
          </w:p>
        </w:tc>
      </w:tr>
      <w:tr>
        <w:tc>
          <w:tcPr>
            <w:tcW w:type="dxa" w:w="4680"/>
          </w:tcPr>
          <w:p>
            <w:pPr>
              <w:pStyle w:val="Compact"/>
              <w:jc w:val="left"/>
            </w:pPr>
            <w:r>
              <w:t xml:space="preserve">System Executive</w:t>
            </w:r>
          </w:p>
        </w:tc>
        <w:tc>
          <w:tcPr>
            <w:tcW w:type="dxa" w:w="4680"/>
          </w:tcPr>
          <w:p>
            <w:pPr>
              <w:pStyle w:val="Compact"/>
              <w:jc w:val="left"/>
            </w:pPr>
            <w:r>
              <w:t xml:space="preserve">SIINDEX: Synthetic Executive Operating System</w:t>
            </w:r>
          </w:p>
        </w:tc>
      </w:tr>
      <w:tr>
        <w:tc>
          <w:tcPr>
            <w:tcW w:type="dxa" w:w="4680"/>
          </w:tcPr>
          <w:p>
            <w:pPr>
              <w:pStyle w:val="Compact"/>
              <w:jc w:val="left"/>
            </w:pPr>
            <w:r>
              <w:t xml:space="preserve">Date</w:t>
            </w:r>
          </w:p>
        </w:tc>
        <w:tc>
          <w:tcPr>
            <w:tcW w:type="dxa" w:w="4680"/>
          </w:tcPr>
          <w:p>
            <w:pPr>
              <w:pStyle w:val="Compact"/>
              <w:jc w:val="left"/>
            </w:pPr>
            <w:r>
              <w:t xml:space="preserve">18 July 2026</w:t>
            </w:r>
          </w:p>
        </w:tc>
      </w:tr>
    </w:tbl>
    <w:p>
      <w:pPr>
        <w:pStyle w:val="BodyText"/>
      </w:pPr>
      <w:r>
        <w:rPr>
          <w:i/>
        </w:rPr>
        <w:t xml:space="preserve">“</w:t>
      </w:r>
      <w:r>
        <w:rPr>
          <w:i/>
        </w:rPr>
        <w:t xml:space="preserve">Blockchain is not the product. The wallet is not the product. The token is not the product. The exchange is not the product. The marketplace is not the product. The civilisation is the product.</w:t>
      </w:r>
      <w:r>
        <w:rPr>
          <w:i/>
        </w:rPr>
        <w:t xml:space="preserve">”</w:t>
      </w:r>
      <w:r>
        <w:t xml:space="preserve"> </w:t>
      </w:r>
      <w:r>
        <w:t xml:space="preserve">— Arthur John Henry, Founder</w:t>
      </w:r>
    </w:p>
    <w:p>
      <w:pPr>
        <w:pStyle w:val="Heading1"/>
      </w:pPr>
      <w:bookmarkStart w:id="20" w:name="important-notice"/>
      <w:r>
        <w:t xml:space="preserve">Important Notice</w:t>
      </w:r>
      <w:bookmarkEnd w:id="20"/>
    </w:p>
    <w:tbl>
      <w:tblPr>
        <w:tblStyle w:val="Table"/>
        <w:tblW w:type="dxa" w:w="9360"/>
        <w:tblLook w:firstRow="1"/>
        <w:tblLayout w:type="fixed"/>
      </w:tblPr>
      <w:tblGrid>
        <w:gridCol w:w="576"/>
        <w:gridCol w:w="8784"/>
      </w:tblGrid>
      <w:tr>
        <w:trPr>
          <w:cnfStyle w:firstRow="1"/>
        </w:trPr>
        <w:tc>
          <w:tcPr>
            <w:tcW w:type="dxa" w:w="576"/>
            <w:tcBorders>
              <w:bottom w:val="single"/>
            </w:tcBorders>
            <w:vAlign w:val="bottom"/>
          </w:tcPr>
          <w:p/>
        </w:tc>
        <w:tc>
          <w:tcPr>
            <w:tcW w:type="dxa" w:w="8784"/>
            <w:tcBorders>
              <w:bottom w:val="single"/>
            </w:tcBorders>
            <w:vAlign w:val="bottom"/>
          </w:tcPr>
          <w:p>
            <w:pPr>
              <w:pStyle w:val="Compact"/>
              <w:jc w:val="left"/>
            </w:pPr>
            <w:r>
              <w:rPr>
                <w:b/>
              </w:rPr>
              <w:t xml:space="preserve">Purpose of this document:</w:t>
            </w:r>
            <w:r>
              <w:t xml:space="preserve"> </w:t>
            </w:r>
            <w:r>
              <w:t xml:space="preserve">This whitepaper explains the IN$DEX vision, target architecture, current development stage, proposed pilot model and partnership approach. It replaces the public-facing parts of Whitepaper v1.0. The internal build history remains a separate private Reality Ledger.</w:t>
            </w:r>
          </w:p>
        </w:tc>
      </w:tr>
    </w:tbl>
    <w:p>
      <w:pPr>
        <w:pStyle w:val="BodyText"/>
      </w:pPr>
      <w:r>
        <w:t xml:space="preserve">This document is not a prospectus, product disclosure statement, financial services guide, offer, invitation, recommendation, or promise of financial return. It does not offer INDX tokens, staking, yield, lending, insurance, custody, remittance, card, banking, telecommunications, or investment products.</w:t>
      </w:r>
    </w:p>
    <w:p>
      <w:pPr>
        <w:pStyle w:val="BodyText"/>
      </w:pPr>
      <w:r>
        <w:t xml:space="preserve">Any regulated service described in this paper will be delivered only after legal classification, required registration or licensing, partner approval, security testing, consumer disclosure and controlled pilot verification. Dates are targets. Product states are evidence classifications, not marketing claims.</w:t>
      </w:r>
    </w:p>
    <w:p>
      <w:pPr>
        <w:pStyle w:val="BodyText"/>
      </w:pPr>
      <w:r>
        <w:t xml:space="preserve">IN$DEX currently operates through Arthur Henry as a sole trader while the appropriate company, intellectual-property and contracting structure is being reviewed. Applications relating to Australian virtual-asset and remittance regulation were submitted to AUSTRAC on 17 July 2026. Assessment remains pending. AUSTRAC acknowledged a related enquiry under reference I-475061. Submission is not approval.</w:t>
      </w:r>
    </w:p>
    <w:tbl>
      <w:tblPr>
        <w:tblStyle w:val="Table"/>
        <w:tblW w:type="dxa" w:w="9360"/>
        <w:tblLook w:firstRow="1"/>
        <w:tblLayout w:type="fixed"/>
      </w:tblPr>
      <w:tblGrid>
        <w:gridCol w:w="576"/>
        <w:gridCol w:w="8784"/>
      </w:tblGrid>
      <w:tr>
        <w:trPr>
          <w:cnfStyle w:firstRow="1"/>
        </w:trPr>
        <w:tc>
          <w:tcPr>
            <w:tcW w:type="dxa" w:w="576"/>
            <w:tcBorders>
              <w:bottom w:val="single"/>
            </w:tcBorders>
            <w:vAlign w:val="bottom"/>
          </w:tcPr>
          <w:p/>
        </w:tc>
        <w:tc>
          <w:tcPr>
            <w:tcW w:type="dxa" w:w="8784"/>
            <w:tcBorders>
              <w:bottom w:val="single"/>
            </w:tcBorders>
            <w:vAlign w:val="bottom"/>
          </w:tcPr>
          <w:p>
            <w:pPr>
              <w:pStyle w:val="Compact"/>
              <w:jc w:val="left"/>
            </w:pPr>
            <w:r>
              <w:rPr>
                <w:b/>
              </w:rPr>
              <w:t xml:space="preserve">Public truth rule:</w:t>
            </w:r>
            <w:r>
              <w:t xml:space="preserve"> </w:t>
            </w:r>
            <w:r>
              <w:t xml:space="preserve">A screen is not a service. A commit is not a deployment. A submitted application is not approval. A provider under research is not a partner. A model score is not proof. IN$DEX will describe every material capability by its verified state.</w:t>
            </w:r>
          </w:p>
        </w:tc>
      </w:tr>
    </w:tbl>
    <w:p>
      <w:pPr>
        <w:pStyle w:val="Heading1"/>
      </w:pPr>
      <w:bookmarkStart w:id="21" w:name="contents"/>
      <w:r>
        <w:t xml:space="preserve">Contents</w:t>
      </w:r>
      <w:bookmarkEnd w:id="21"/>
    </w:p>
    <w:p>
      <w:pPr>
        <w:numPr>
          <w:ilvl w:val="1"/>
          <w:numId w:val="1002"/>
        </w:numPr>
        <w:pStyle w:val="Compact"/>
      </w:pPr>
      <w:r>
        <w:t xml:space="preserve">Executive Summary</w:t>
      </w:r>
    </w:p>
    <w:p>
      <w:pPr>
        <w:numPr>
          <w:ilvl w:val="1"/>
          <w:numId w:val="1003"/>
        </w:numPr>
        <w:pStyle w:val="Compact"/>
      </w:pPr>
      <w:r>
        <w:t xml:space="preserve">The Problem</w:t>
      </w:r>
    </w:p>
    <w:p>
      <w:pPr>
        <w:numPr>
          <w:ilvl w:val="1"/>
          <w:numId w:val="1004"/>
        </w:numPr>
        <w:pStyle w:val="Compact"/>
      </w:pPr>
      <w:r>
        <w:t xml:space="preserve">The Pacific-First Opportunity</w:t>
      </w:r>
    </w:p>
    <w:p>
      <w:pPr>
        <w:numPr>
          <w:ilvl w:val="1"/>
          <w:numId w:val="1005"/>
        </w:numPr>
        <w:pStyle w:val="Compact"/>
      </w:pPr>
      <w:r>
        <w:t xml:space="preserve">The IN$DEX Vision</w:t>
      </w:r>
    </w:p>
    <w:p>
      <w:pPr>
        <w:numPr>
          <w:ilvl w:val="1"/>
          <w:numId w:val="1006"/>
        </w:numPr>
        <w:pStyle w:val="Compact"/>
      </w:pPr>
      <w:r>
        <w:t xml:space="preserve">What IN$DEX Is and Is Not</w:t>
      </w:r>
    </w:p>
    <w:p>
      <w:pPr>
        <w:numPr>
          <w:ilvl w:val="1"/>
          <w:numId w:val="1007"/>
        </w:numPr>
        <w:pStyle w:val="Compact"/>
      </w:pPr>
      <w:r>
        <w:t xml:space="preserve">The Citizen Experience</w:t>
      </w:r>
    </w:p>
    <w:p>
      <w:pPr>
        <w:numPr>
          <w:ilvl w:val="1"/>
          <w:numId w:val="1008"/>
        </w:numPr>
        <w:pStyle w:val="Compact"/>
      </w:pPr>
      <w:r>
        <w:t xml:space="preserve">SIINDEX</w:t>
      </w:r>
    </w:p>
    <w:p>
      <w:pPr>
        <w:numPr>
          <w:ilvl w:val="1"/>
          <w:numId w:val="1009"/>
        </w:numPr>
        <w:pStyle w:val="Compact"/>
      </w:pPr>
      <w:r>
        <w:t xml:space="preserve">System Architecture</w:t>
      </w:r>
    </w:p>
    <w:p>
      <w:pPr>
        <w:numPr>
          <w:ilvl w:val="1"/>
          <w:numId w:val="1010"/>
        </w:numPr>
        <w:pStyle w:val="Compact"/>
      </w:pPr>
      <w:r>
        <w:t xml:space="preserve">Identity, Credentials and the Grid Account</w:t>
      </w:r>
    </w:p>
    <w:p>
      <w:pPr>
        <w:numPr>
          <w:ilvl w:val="1"/>
          <w:numId w:val="1011"/>
        </w:numPr>
        <w:pStyle w:val="Compact"/>
      </w:pPr>
      <w:r>
        <w:t xml:space="preserve">Trust, Consent, Receipts and Recovery</w:t>
      </w:r>
    </w:p>
    <w:p>
      <w:pPr>
        <w:numPr>
          <w:ilvl w:val="1"/>
          <w:numId w:val="1012"/>
        </w:numPr>
        <w:pStyle w:val="Compact"/>
      </w:pPr>
      <w:r>
        <w:t xml:space="preserve">Financial Access and Regulated Provider Rails</w:t>
      </w:r>
    </w:p>
    <w:p>
      <w:pPr>
        <w:numPr>
          <w:ilvl w:val="1"/>
          <w:numId w:val="1013"/>
        </w:numPr>
        <w:pStyle w:val="Compact"/>
      </w:pPr>
      <w:r>
        <w:t xml:space="preserve">Commerce, Work and Opportunity</w:t>
      </w:r>
    </w:p>
    <w:p>
      <w:pPr>
        <w:numPr>
          <w:ilvl w:val="1"/>
          <w:numId w:val="1014"/>
        </w:numPr>
        <w:pStyle w:val="Compact"/>
      </w:pPr>
      <w:r>
        <w:t xml:space="preserve">Learning and Institutional Services</w:t>
      </w:r>
    </w:p>
    <w:p>
      <w:pPr>
        <w:numPr>
          <w:ilvl w:val="1"/>
          <w:numId w:val="1015"/>
        </w:numPr>
        <w:pStyle w:val="Compact"/>
      </w:pPr>
      <w:r>
        <w:t xml:space="preserve">Cultural Sovereignty</w:t>
      </w:r>
    </w:p>
    <w:p>
      <w:pPr>
        <w:numPr>
          <w:ilvl w:val="1"/>
          <w:numId w:val="1016"/>
        </w:numPr>
        <w:pStyle w:val="Compact"/>
      </w:pPr>
      <w:r>
        <w:t xml:space="preserve">Connectivity and Offline Continuity</w:t>
      </w:r>
    </w:p>
    <w:p>
      <w:pPr>
        <w:numPr>
          <w:ilvl w:val="1"/>
          <w:numId w:val="1017"/>
        </w:numPr>
        <w:pStyle w:val="Compact"/>
      </w:pPr>
      <w:r>
        <w:t xml:space="preserve">Data Sovereignty and Privacy</w:t>
      </w:r>
    </w:p>
    <w:p>
      <w:pPr>
        <w:numPr>
          <w:ilvl w:val="1"/>
          <w:numId w:val="1018"/>
        </w:numPr>
        <w:pStyle w:val="Compact"/>
      </w:pPr>
      <w:r>
        <w:t xml:space="preserve">Governance and Human Accountability</w:t>
      </w:r>
    </w:p>
    <w:p>
      <w:pPr>
        <w:numPr>
          <w:ilvl w:val="1"/>
          <w:numId w:val="1019"/>
        </w:numPr>
        <w:pStyle w:val="Compact"/>
      </w:pPr>
      <w:r>
        <w:t xml:space="preserve">INDX Token Design Boundary</w:t>
      </w:r>
    </w:p>
    <w:p>
      <w:pPr>
        <w:numPr>
          <w:ilvl w:val="1"/>
          <w:numId w:val="1020"/>
        </w:numPr>
        <w:pStyle w:val="Compact"/>
      </w:pPr>
      <w:r>
        <w:t xml:space="preserve">Business and Economic Model</w:t>
      </w:r>
    </w:p>
    <w:p>
      <w:pPr>
        <w:numPr>
          <w:ilvl w:val="1"/>
          <w:numId w:val="1021"/>
        </w:numPr>
        <w:pStyle w:val="Compact"/>
      </w:pPr>
      <w:r>
        <w:t xml:space="preserve">Partnership Model</w:t>
      </w:r>
    </w:p>
    <w:p>
      <w:pPr>
        <w:numPr>
          <w:ilvl w:val="1"/>
          <w:numId w:val="1022"/>
        </w:numPr>
        <w:pStyle w:val="Compact"/>
      </w:pPr>
      <w:r>
        <w:t xml:space="preserve">Pilot Strategy</w:t>
      </w:r>
    </w:p>
    <w:p>
      <w:pPr>
        <w:numPr>
          <w:ilvl w:val="1"/>
          <w:numId w:val="1023"/>
        </w:numPr>
        <w:pStyle w:val="Compact"/>
      </w:pPr>
      <w:r>
        <w:t xml:space="preserve">Product Reality Snapshot</w:t>
      </w:r>
    </w:p>
    <w:p>
      <w:pPr>
        <w:numPr>
          <w:ilvl w:val="1"/>
          <w:numId w:val="1024"/>
        </w:numPr>
        <w:pStyle w:val="Compact"/>
      </w:pPr>
      <w:r>
        <w:t xml:space="preserve">Security and Operational Resilience</w:t>
      </w:r>
    </w:p>
    <w:p>
      <w:pPr>
        <w:numPr>
          <w:ilvl w:val="1"/>
          <w:numId w:val="1025"/>
        </w:numPr>
        <w:pStyle w:val="Compact"/>
      </w:pPr>
      <w:r>
        <w:t xml:space="preserve">Compliance and Legal Readiness</w:t>
      </w:r>
    </w:p>
    <w:p>
      <w:pPr>
        <w:numPr>
          <w:ilvl w:val="1"/>
          <w:numId w:val="1026"/>
        </w:numPr>
        <w:pStyle w:val="Compact"/>
      </w:pPr>
      <w:r>
        <w:t xml:space="preserve">Impact Measurement</w:t>
      </w:r>
    </w:p>
    <w:p>
      <w:pPr>
        <w:numPr>
          <w:ilvl w:val="1"/>
          <w:numId w:val="1027"/>
        </w:numPr>
        <w:pStyle w:val="Compact"/>
      </w:pPr>
      <w:r>
        <w:t xml:space="preserve">Risks and Mitigations</w:t>
      </w:r>
    </w:p>
    <w:p>
      <w:pPr>
        <w:numPr>
          <w:ilvl w:val="1"/>
          <w:numId w:val="1028"/>
        </w:numPr>
        <w:pStyle w:val="Compact"/>
      </w:pPr>
      <w:r>
        <w:t xml:space="preserve">Team and Accountability</w:t>
      </w:r>
    </w:p>
    <w:p>
      <w:pPr>
        <w:numPr>
          <w:ilvl w:val="1"/>
          <w:numId w:val="1029"/>
        </w:numPr>
        <w:pStyle w:val="Compact"/>
      </w:pPr>
      <w:r>
        <w:t xml:space="preserve">Evidence-Gated Roadmap</w:t>
      </w:r>
    </w:p>
    <w:p>
      <w:pPr>
        <w:numPr>
          <w:ilvl w:val="1"/>
          <w:numId w:val="1030"/>
        </w:numPr>
        <w:pStyle w:val="Compact"/>
      </w:pPr>
      <w:r>
        <w:t xml:space="preserve">Partnership Invitation</w:t>
      </w:r>
    </w:p>
    <w:p>
      <w:pPr>
        <w:numPr>
          <w:ilvl w:val="0"/>
          <w:numId w:val="1001"/>
        </w:numPr>
        <w:pStyle w:val="Compact"/>
      </w:pPr>
      <w:r>
        <w:t xml:space="preserve">Appendices and Sources</w:t>
      </w:r>
    </w:p>
    <w:p>
      <w:pPr>
        <w:pStyle w:val="Heading1"/>
      </w:pPr>
      <w:bookmarkStart w:id="22" w:name="founder-letter"/>
      <w:r>
        <w:t xml:space="preserve">Founder Letter</w:t>
      </w:r>
      <w:bookmarkEnd w:id="22"/>
    </w:p>
    <w:p>
      <w:pPr>
        <w:pStyle w:val="FirstParagraph"/>
      </w:pPr>
      <w:r>
        <w:t xml:space="preserve">IN$DEX began with a simple real-world failure. A person wanted to buy something. A seller had value to offer. The transaction failed because the existing system did not fit the people standing in front of it.</w:t>
      </w:r>
    </w:p>
    <w:p>
      <w:pPr>
        <w:pStyle w:val="BodyText"/>
      </w:pPr>
      <w:r>
        <w:t xml:space="preserve">Across the Pacific and many other communities, the problem is rarely a lack of intelligence, effort or ambition. The problem is fragmented access. A person may have a phone but no usable financial account. They may have skills but no recognised credential. They may sell a product but lack digital payments, a trusted identity, affordable connectivity, market access, or protection from scams. Every service sends them to another app, another form, another password and another institution that may not understand their reality.</w:t>
      </w:r>
    </w:p>
    <w:p>
      <w:pPr>
        <w:pStyle w:val="BodyText"/>
      </w:pPr>
      <w:r>
        <w:t xml:space="preserve">IN$DEX is designed as a sovereign digital civilisation because isolated tools do not solve a connected life. Banking is an entry point, not the end. Citizens need identity, learning, work, commerce, payments, reputation, protection, recovery, governance, cultural rights, portability and the right to leave.</w:t>
      </w:r>
    </w:p>
    <w:p>
      <w:pPr>
        <w:pStyle w:val="BodyText"/>
      </w:pPr>
      <w:r>
        <w:t xml:space="preserve">The first whitepaper tried to describe the whole civilisation at once. It mixed long-term vision with launch claims, token targets, unfinished prototypes and internal build notes. This rewrite is more disciplined. It preserves the full mission while separating what exists now, what requires a partner, what requires legal approval, what belongs in a pilot and what remains long-term architecture.</w:t>
      </w:r>
    </w:p>
    <w:p>
      <w:pPr>
        <w:pStyle w:val="BodyText"/>
      </w:pPr>
      <w:r>
        <w:t xml:space="preserve">Our next step is not to claim scale. It is to prove usefulness. Before expansion, IN$DEX must show that one founder, one citizen, one merchant and one partner can complete a real objective safely, understand what happened, recover from failure and leave with portable proof.</w:t>
      </w:r>
    </w:p>
    <w:p>
      <w:pPr>
        <w:pStyle w:val="BodyText"/>
      </w:pPr>
      <w:r>
        <w:t xml:space="preserve">That is how a civilisation earns trust.</w:t>
      </w:r>
    </w:p>
    <w:p>
      <w:pPr>
        <w:pStyle w:val="BodyText"/>
      </w:pPr>
      <w:r>
        <w:t xml:space="preserve">Arthur John Henry</w:t>
      </w:r>
      <w:r>
        <w:t xml:space="preserve"> </w:t>
      </w:r>
      <w:r>
        <w:t xml:space="preserve">Founder, IN$DEX</w:t>
      </w:r>
    </w:p>
    <w:p>
      <w:pPr>
        <w:pStyle w:val="Heading1"/>
      </w:pPr>
      <w:bookmarkStart w:id="23" w:name="executive-summary"/>
      <w:r>
        <w:t xml:space="preserve">1. Executive Summary</w:t>
      </w:r>
      <w:bookmarkEnd w:id="23"/>
    </w:p>
    <w:p>
      <w:pPr>
        <w:pStyle w:val="FirstParagraph"/>
      </w:pPr>
      <w:r>
        <w:rPr>
          <w:i/>
        </w:rPr>
        <w:t xml:space="preserve">The civilisation is the product. Verified citizen usefulness is the path to it.</w:t>
      </w:r>
    </w:p>
    <w:p>
      <w:pPr>
        <w:pStyle w:val="BodyText"/>
      </w:pPr>
      <w:r>
        <w:t xml:space="preserve">IN$DEX is a voice-first, Pacific-first sovereign service and trust layer. It is designed to help citizens navigate identity, payments, commerce, learning, work, connectivity, digital ownership and protection through one consistent relationship with SIINDEX.</w:t>
      </w:r>
    </w:p>
    <w:p>
      <w:pPr>
        <w:pStyle w:val="BodyText"/>
      </w:pPr>
      <w:r>
        <w:t xml:space="preserve">The global need remains large. The World Bank reports that 1.3 billion adults still lack a financial account, while about 900 million unbanked adults own a mobile phone and 530 million own a smartphone. Access alone is not enough. People also need safe identity, understandable services, consumer protection, affordable connectivity and confidence that they can recover when something goes wrong.[1]</w:t>
      </w:r>
    </w:p>
    <w:p>
      <w:pPr>
        <w:pStyle w:val="BodyText"/>
      </w:pPr>
      <w:r>
        <w:t xml:space="preserve">The Pacific creates a clear place to begin. More than half of the Pacific Islands population remains unconnected to mobile internet. Australia’s PALM workforce sends substantial income home to families and communities, yet remittance costs, fragmented services, digital literacy and trust remain persistent barriers.[2][3]</w:t>
      </w:r>
    </w:p>
    <w:p>
      <w:pPr>
        <w:pStyle w:val="BodyText"/>
      </w:pPr>
      <w:r>
        <w:t xml:space="preserve">IN$DEX addresses this through a citizen-controlled architecture:</w:t>
      </w:r>
    </w:p>
    <w:p>
      <w:pPr>
        <w:numPr>
          <w:ilvl w:val="0"/>
          <w:numId w:val="1031"/>
        </w:numPr>
        <w:pStyle w:val="Compact"/>
      </w:pPr>
      <w:r>
        <w:t xml:space="preserve">A single voice-first entry point through SIINDEX.</w:t>
      </w:r>
    </w:p>
    <w:p>
      <w:pPr>
        <w:numPr>
          <w:ilvl w:val="0"/>
          <w:numId w:val="1031"/>
        </w:numPr>
        <w:pStyle w:val="Compact"/>
      </w:pPr>
      <w:r>
        <w:t xml:space="preserve">A portable identity and credential layer that is not tied permanently to one phone number, wallet, bank or provider.</w:t>
      </w:r>
    </w:p>
    <w:p>
      <w:pPr>
        <w:numPr>
          <w:ilvl w:val="0"/>
          <w:numId w:val="1031"/>
        </w:numPr>
        <w:pStyle w:val="Compact"/>
      </w:pPr>
      <w:r>
        <w:t xml:space="preserve">A trust layer that explains costs, risk, evidence, permissions and provider responsibility before consequential action.</w:t>
      </w:r>
    </w:p>
    <w:p>
      <w:pPr>
        <w:numPr>
          <w:ilvl w:val="0"/>
          <w:numId w:val="1031"/>
        </w:numPr>
        <w:pStyle w:val="Compact"/>
      </w:pPr>
      <w:r>
        <w:t xml:space="preserve">A service orchestration layer that prepares work, requests approval and routes authorised actions to licensed or accountable providers.</w:t>
      </w:r>
    </w:p>
    <w:p>
      <w:pPr>
        <w:numPr>
          <w:ilvl w:val="0"/>
          <w:numId w:val="1031"/>
        </w:numPr>
        <w:pStyle w:val="Compact"/>
      </w:pPr>
      <w:r>
        <w:t xml:space="preserve">Portable receipts that prove what was requested, approved, performed, verified, corrected or disputed.</w:t>
      </w:r>
    </w:p>
    <w:p>
      <w:pPr>
        <w:numPr>
          <w:ilvl w:val="0"/>
          <w:numId w:val="1031"/>
        </w:numPr>
        <w:pStyle w:val="Compact"/>
      </w:pPr>
      <w:r>
        <w:t xml:space="preserve">Provider substitution and exit, so a citizen can change banks, wallets, models, telecom networks or service partners without losing their relationship history.</w:t>
      </w:r>
    </w:p>
    <w:p>
      <w:pPr>
        <w:numPr>
          <w:ilvl w:val="0"/>
          <w:numId w:val="1031"/>
        </w:numPr>
        <w:pStyle w:val="Compact"/>
      </w:pPr>
      <w:r>
        <w:t xml:space="preserve">Human accountability for legal, regulated, cultural, child-safety and governance decisions.</w:t>
      </w:r>
    </w:p>
    <w:p>
      <w:pPr>
        <w:pStyle w:val="FirstParagraph"/>
      </w:pPr>
      <w:r>
        <w:t xml:space="preserve">SIINDEX is not positioned as a chatbot. She is the Synthetic Executive Operating System of IN$DEX. SIINDEX interprets objectives, prepares options, coordinates approved workflows, monitors evidence and produces decision-ready briefings. She does not receive unrestricted authority. High-impact actions require explicit mandates, bounded tools, approval, verification and receipts.</w:t>
      </w:r>
    </w:p>
    <w:p>
      <w:pPr>
        <w:pStyle w:val="BodyText"/>
      </w:pPr>
      <w:r>
        <w:t xml:space="preserve">IN$DEX will enter prelaunch through controlled demonstrations and partnerships, not a simultaneous global release of every proposed product. The initial focus is four golden paths: founder executive operation, controlled citizen access, merchant opportunity creation, and trust-consent-receipt protection. Financial transfers, cards, custody, lending, insurance, staking, telecom provisioning and other regulated services remain partner and approval dependent.</w:t>
      </w:r>
    </w:p>
    <w:tbl>
      <w:tblPr>
        <w:tblStyle w:val="Table"/>
        <w:tblW w:type="dxa" w:w="9360"/>
        <w:tblLook w:firstRow="1"/>
        <w:tblLayout w:type="fixed"/>
      </w:tblPr>
      <w:tblGrid>
        <w:gridCol w:w="576"/>
        <w:gridCol w:w="8784"/>
      </w:tblGrid>
      <w:tr>
        <w:trPr>
          <w:cnfStyle w:firstRow="1"/>
        </w:trPr>
        <w:tc>
          <w:tcPr>
            <w:tcW w:type="dxa" w:w="576"/>
            <w:tcBorders>
              <w:bottom w:val="single"/>
            </w:tcBorders>
            <w:vAlign w:val="bottom"/>
          </w:tcPr>
          <w:p/>
        </w:tc>
        <w:tc>
          <w:tcPr>
            <w:tcW w:type="dxa" w:w="8784"/>
            <w:tcBorders>
              <w:bottom w:val="single"/>
            </w:tcBorders>
            <w:vAlign w:val="bottom"/>
          </w:tcPr>
          <w:p>
            <w:pPr>
              <w:pStyle w:val="Compact"/>
              <w:jc w:val="left"/>
            </w:pPr>
            <w:r>
              <w:rPr>
                <w:b/>
              </w:rPr>
              <w:t xml:space="preserve">One-sentence position:</w:t>
            </w:r>
            <w:r>
              <w:t xml:space="preserve"> </w:t>
            </w:r>
            <w:r>
              <w:t xml:space="preserve">IN$DEX is the citizen-controlled orchestration layer between people and the institutions, providers and digital rails they need to build a sovereign life.</w:t>
            </w:r>
          </w:p>
        </w:tc>
      </w:tr>
    </w:tbl>
    <w:p>
      <w:pPr>
        <w:pStyle w:val="Heading1"/>
      </w:pPr>
      <w:bookmarkStart w:id="24" w:name="the-problem"/>
      <w:r>
        <w:t xml:space="preserve">2. The Problem</w:t>
      </w:r>
      <w:bookmarkEnd w:id="24"/>
    </w:p>
    <w:p>
      <w:pPr>
        <w:pStyle w:val="Heading2"/>
      </w:pPr>
      <w:bookmarkStart w:id="25" w:name="access-is-fragmented"/>
      <w:r>
        <w:t xml:space="preserve">Access is fragmented</w:t>
      </w:r>
      <w:bookmarkEnd w:id="25"/>
    </w:p>
    <w:p>
      <w:pPr>
        <w:pStyle w:val="FirstParagraph"/>
      </w:pPr>
      <w:r>
        <w:t xml:space="preserve">A citizen does not experience identity, payments, education, work, connectivity and digital safety as separate industries. They experience one life. Yet each institution creates its own account, rules, passwords, forms, data store, risk model and support process.</w:t>
      </w:r>
    </w:p>
    <w:p>
      <w:pPr>
        <w:pStyle w:val="BodyText"/>
      </w:pPr>
      <w:r>
        <w:t xml:space="preserve">The result is exclusion through fragmentation. A person may possess a smartphone but still be blocked by documentation, language, cost, low digital confidence, poor connectivity, provider coverage, opaque fees, fraud risk or an inaccessible interface. The World Bank’s current digital public infrastructure work therefore treats identity, payments and trusted data exchange as connected foundations rather than isolated products.[4]</w:t>
      </w:r>
    </w:p>
    <w:p>
      <w:pPr>
        <w:pStyle w:val="Heading2"/>
      </w:pPr>
      <w:bookmarkStart w:id="26" w:name="trust-is-expensive"/>
      <w:r>
        <w:t xml:space="preserve">Trust is expensive</w:t>
      </w:r>
      <w:bookmarkEnd w:id="26"/>
    </w:p>
    <w:p>
      <w:pPr>
        <w:pStyle w:val="FirstParagraph"/>
      </w:pPr>
      <w:r>
        <w:t xml:space="preserve">People are asked to trust interfaces they cannot verify, providers they cannot replace, fees they cannot understand and automated decisions they cannot challenge. The burden of navigating risk falls on the citizen least equipped to absorb loss.</w:t>
      </w:r>
    </w:p>
    <w:p>
      <w:pPr>
        <w:pStyle w:val="BodyText"/>
      </w:pPr>
      <w:r>
        <w:t xml:space="preserve">Crypto products often add another layer of complexity: long addresses, irreversible transfers, asset volatility, fragmented bridges, unclear custody, fake support accounts and inaccessible recovery. Traditional institutions often add duplicate identity checks, restricted geography, slow approval and limited interoperability.</w:t>
      </w:r>
    </w:p>
    <w:p>
      <w:pPr>
        <w:pStyle w:val="Heading2"/>
      </w:pPr>
      <w:bookmarkStart w:id="27" w:name="opportunity-is-disconnected-from-proof"/>
      <w:r>
        <w:t xml:space="preserve">Opportunity is disconnected from proof</w:t>
      </w:r>
      <w:bookmarkEnd w:id="27"/>
    </w:p>
    <w:p>
      <w:pPr>
        <w:pStyle w:val="FirstParagraph"/>
      </w:pPr>
      <w:r>
        <w:t xml:space="preserve">A person may learn a skill, complete work, build a business or contribute to a community but still lack portable evidence. Qualifications, references, work history, licences and reputation remain trapped in separate systems. The citizen repeatedly proves the same facts and loses value when a platform closes or an employer changes.</w:t>
      </w:r>
    </w:p>
    <w:p>
      <w:pPr>
        <w:pStyle w:val="Heading2"/>
      </w:pPr>
      <w:bookmarkStart w:id="28" w:name="Xbeaf16112749bd9d7f621174011da3138108d00"/>
      <w:r>
        <w:t xml:space="preserve">Pacific communities face a compounding gap</w:t>
      </w:r>
      <w:bookmarkEnd w:id="28"/>
    </w:p>
    <w:p>
      <w:pPr>
        <w:pStyle w:val="FirstParagraph"/>
      </w:pPr>
      <w:r>
        <w:t xml:space="preserve">The Pacific combines strong community networks, cross-border family obligations, labour mobility, cultural wealth and entrepreneurial activity with high connectivity costs, small markets and limited service coverage. A product designed for dense Western markets may fail where connectivity is intermittent, support is distant and a family transaction carries cultural and economic importance far beyond its monetary amount.</w:t>
      </w:r>
    </w:p>
    <w:p>
      <w:pPr>
        <w:pStyle w:val="Heading1"/>
      </w:pPr>
      <w:bookmarkStart w:id="29" w:name="the-pacific-first-opportunity"/>
      <w:r>
        <w:t xml:space="preserve">3. The Pacific-First Opportunity</w:t>
      </w:r>
      <w:bookmarkEnd w:id="29"/>
    </w:p>
    <w:p>
      <w:pPr>
        <w:pStyle w:val="FirstParagraph"/>
      </w:pPr>
      <w:r>
        <w:t xml:space="preserve">Pacific first does not mean Pacific only. It means designing first for communities where fragmented infrastructure exposes weak assumptions. A system that works for low bandwidth, shared devices, multilingual families, small merchants, cross-border workers and community-based authority becomes more resilient everywhere.</w:t>
      </w:r>
    </w:p>
    <w:p>
      <w:pPr>
        <w:pStyle w:val="BodyText"/>
      </w:pPr>
      <w:r>
        <w:t xml:space="preserve">Three conditions make the Pacific an appropriate starting point:</w:t>
      </w:r>
    </w:p>
    <w:p>
      <w:pPr>
        <w:numPr>
          <w:ilvl w:val="0"/>
          <w:numId w:val="1032"/>
        </w:numPr>
        <w:pStyle w:val="Compact"/>
      </w:pPr>
      <w:r>
        <w:rPr>
          <w:b/>
        </w:rPr>
        <w:t xml:space="preserve">High mobile relevance.</w:t>
      </w:r>
      <w:r>
        <w:t xml:space="preserve"> </w:t>
      </w:r>
      <w:r>
        <w:t xml:space="preserve">Mobile access is already central to communication and commerce, even where account access or mobile internet use remains uneven.</w:t>
      </w:r>
    </w:p>
    <w:p>
      <w:pPr>
        <w:numPr>
          <w:ilvl w:val="0"/>
          <w:numId w:val="1032"/>
        </w:numPr>
        <w:pStyle w:val="Compact"/>
      </w:pPr>
      <w:r>
        <w:rPr>
          <w:b/>
        </w:rPr>
        <w:t xml:space="preserve">High cross-border family dependence.</w:t>
      </w:r>
      <w:r>
        <w:t xml:space="preserve"> </w:t>
      </w:r>
      <w:r>
        <w:t xml:space="preserve">PALM workers sent about A$556 million home in 2025, typically supporting education, housing and small enterprise.[3]</w:t>
      </w:r>
    </w:p>
    <w:p>
      <w:pPr>
        <w:numPr>
          <w:ilvl w:val="0"/>
          <w:numId w:val="1032"/>
        </w:numPr>
        <w:pStyle w:val="Compact"/>
      </w:pPr>
      <w:r>
        <w:rPr>
          <w:b/>
        </w:rPr>
        <w:t xml:space="preserve">High value from service coordination.</w:t>
      </w:r>
      <w:r>
        <w:t xml:space="preserve"> </w:t>
      </w:r>
      <w:r>
        <w:t xml:space="preserve">Identity, remittance, skills, employment, merchant tools, connectivity and family support are tightly connected.</w:t>
      </w:r>
    </w:p>
    <w:tbl>
      <w:tblPr>
        <w:tblStyle w:val="Table"/>
        <w:tblW w:type="dxa" w:w="9360"/>
        <w:tblLook w:firstRow="1"/>
        <w:tblLayout w:type="fixed"/>
      </w:tblPr>
      <w:tblGrid>
        <w:gridCol w:w="576"/>
        <w:gridCol w:w="8784"/>
      </w:tblGrid>
      <w:tr>
        <w:trPr>
          <w:cnfStyle w:firstRow="1"/>
        </w:trPr>
        <w:tc>
          <w:tcPr>
            <w:tcW w:type="dxa" w:w="576"/>
            <w:tcBorders>
              <w:bottom w:val="single"/>
            </w:tcBorders>
            <w:vAlign w:val="bottom"/>
          </w:tcPr>
          <w:p/>
        </w:tc>
        <w:tc>
          <w:tcPr>
            <w:tcW w:type="dxa" w:w="8784"/>
            <w:tcBorders>
              <w:bottom w:val="single"/>
            </w:tcBorders>
            <w:vAlign w:val="bottom"/>
          </w:tcPr>
          <w:p>
            <w:pPr>
              <w:pStyle w:val="Compact"/>
              <w:jc w:val="left"/>
            </w:pPr>
            <w:r>
              <w:rPr>
                <w:b/>
              </w:rPr>
              <w:t xml:space="preserve">Pacific-first design test:</w:t>
            </w:r>
            <w:r>
              <w:t xml:space="preserve"> </w:t>
            </w:r>
            <w:r>
              <w:t xml:space="preserve">Could an older citizen with moderate smartphone confidence, limited data, no crypto knowledge and no nearby specialist understand the next safe action? If not, the service is not ready.</w:t>
            </w:r>
          </w:p>
        </w:tc>
      </w:tr>
    </w:tbl>
    <w:p>
      <w:pPr>
        <w:pStyle w:val="Heading2"/>
      </w:pPr>
      <w:bookmarkStart w:id="30" w:name="the-first-partner-problem"/>
      <w:r>
        <w:t xml:space="preserve">The first partner problem</w:t>
      </w:r>
      <w:bookmarkEnd w:id="30"/>
    </w:p>
    <w:p>
      <w:pPr>
        <w:pStyle w:val="FirstParagraph"/>
      </w:pPr>
      <w:r>
        <w:t xml:space="preserve">The first credible IN$DEX partnership opportunity is not a token launch. It is a controlled service pilot for Pacific workers, families or micro-merchants that demonstrates clear information, fee transparency, scam protection, portable evidence and assisted access to an approved provider.</w:t>
      </w:r>
    </w:p>
    <w:p>
      <w:pPr>
        <w:pStyle w:val="BodyText"/>
      </w:pPr>
      <w:r>
        <w:t xml:space="preserve">For example, World Bank corridor data recorded an average total cost of 7.65% for a A$200 transfer from Australia to Tonga in the third quarter of 2025. A pilot can first help citizens compare costs, understand receiving options, prepare verified information and retain receipts. Live remittance execution begins only through a registered and approved provider.[5]</w:t>
      </w:r>
    </w:p>
    <w:p>
      <w:pPr>
        <w:pStyle w:val="Heading1"/>
      </w:pPr>
      <w:bookmarkStart w:id="31" w:name="the-index-vision"/>
      <w:r>
        <w:t xml:space="preserve">4. The IN$DEX Vision</w:t>
      </w:r>
      <w:bookmarkEnd w:id="31"/>
    </w:p>
    <w:p>
      <w:pPr>
        <w:pStyle w:val="FirstParagraph"/>
      </w:pPr>
      <w:r>
        <w:t xml:space="preserve">IN$DEX is a sovereign digital civilisation: a shared service environment where citizens can establish identity, learn, work, trade, receive opportunities, protect cultural assets, use financial services, govern defined community matters and leave with their records intact.</w:t>
      </w:r>
    </w:p>
    <w:p>
      <w:pPr>
        <w:pStyle w:val="BodyText"/>
      </w:pPr>
      <w:r>
        <w:t xml:space="preserve">Sovereignty does not mean isolation from law or institutions. It means that the citizen retains meaningful control when interacting with them.</w:t>
      </w:r>
    </w:p>
    <w:p>
      <w:pPr>
        <w:pStyle w:val="Heading2"/>
      </w:pPr>
      <w:bookmarkStart w:id="32" w:name="the-fourteen-sovereignty-outcomes"/>
      <w:r>
        <w:t xml:space="preserve">The fourteen sovereignty outcomes</w:t>
      </w:r>
      <w:bookmarkEnd w:id="32"/>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Outcome</w:t>
            </w:r>
          </w:p>
        </w:tc>
        <w:tc>
          <w:tcPr>
            <w:tcW w:type="dxa" w:w="4680"/>
            <w:tcBorders>
              <w:bottom w:val="single"/>
            </w:tcBorders>
            <w:vAlign w:val="bottom"/>
          </w:tcPr>
          <w:p>
            <w:pPr>
              <w:pStyle w:val="Compact"/>
              <w:jc w:val="left"/>
            </w:pPr>
            <w:r>
              <w:rPr>
                <w:b/>
              </w:rPr>
              <w:t xml:space="preserve">Meaning</w:t>
            </w:r>
          </w:p>
        </w:tc>
      </w:tr>
      <w:tr>
        <w:tc>
          <w:tcPr>
            <w:tcW w:type="dxa" w:w="4680"/>
          </w:tcPr>
          <w:p>
            <w:pPr>
              <w:pStyle w:val="Compact"/>
              <w:jc w:val="left"/>
            </w:pPr>
            <w:r>
              <w:t xml:space="preserve">Identity</w:t>
            </w:r>
          </w:p>
        </w:tc>
        <w:tc>
          <w:tcPr>
            <w:tcW w:type="dxa" w:w="4680"/>
          </w:tcPr>
          <w:p>
            <w:pPr>
              <w:pStyle w:val="Compact"/>
              <w:jc w:val="left"/>
            </w:pPr>
            <w:r>
              <w:t xml:space="preserve">Prove who you are at the assurance needed for the action.</w:t>
            </w:r>
          </w:p>
        </w:tc>
      </w:tr>
      <w:tr>
        <w:tc>
          <w:tcPr>
            <w:tcW w:type="dxa" w:w="4680"/>
          </w:tcPr>
          <w:p>
            <w:pPr>
              <w:pStyle w:val="Compact"/>
              <w:jc w:val="left"/>
            </w:pPr>
            <w:r>
              <w:t xml:space="preserve">Credentials</w:t>
            </w:r>
          </w:p>
        </w:tc>
        <w:tc>
          <w:tcPr>
            <w:tcW w:type="dxa" w:w="4680"/>
          </w:tcPr>
          <w:p>
            <w:pPr>
              <w:pStyle w:val="Compact"/>
              <w:jc w:val="left"/>
            </w:pPr>
            <w:r>
              <w:t xml:space="preserve">Receive and present portable evidence of qualifications, rights and achievements.</w:t>
            </w:r>
          </w:p>
        </w:tc>
      </w:tr>
      <w:tr>
        <w:tc>
          <w:tcPr>
            <w:tcW w:type="dxa" w:w="4680"/>
          </w:tcPr>
          <w:p>
            <w:pPr>
              <w:pStyle w:val="Compact"/>
              <w:jc w:val="left"/>
            </w:pPr>
            <w:r>
              <w:t xml:space="preserve">Learning</w:t>
            </w:r>
          </w:p>
        </w:tc>
        <w:tc>
          <w:tcPr>
            <w:tcW w:type="dxa" w:w="4680"/>
          </w:tcPr>
          <w:p>
            <w:pPr>
              <w:pStyle w:val="Compact"/>
              <w:jc w:val="left"/>
            </w:pPr>
            <w:r>
              <w:t xml:space="preserve">Access understandable, local and practical education.</w:t>
            </w:r>
          </w:p>
        </w:tc>
      </w:tr>
      <w:tr>
        <w:tc>
          <w:tcPr>
            <w:tcW w:type="dxa" w:w="4680"/>
          </w:tcPr>
          <w:p>
            <w:pPr>
              <w:pStyle w:val="Compact"/>
              <w:jc w:val="left"/>
            </w:pPr>
            <w:r>
              <w:t xml:space="preserve">Work</w:t>
            </w:r>
          </w:p>
        </w:tc>
        <w:tc>
          <w:tcPr>
            <w:tcW w:type="dxa" w:w="4680"/>
          </w:tcPr>
          <w:p>
            <w:pPr>
              <w:pStyle w:val="Compact"/>
              <w:jc w:val="left"/>
            </w:pPr>
            <w:r>
              <w:t xml:space="preserve">Find, prepare for and prove useful work.</w:t>
            </w:r>
          </w:p>
        </w:tc>
      </w:tr>
      <w:tr>
        <w:tc>
          <w:tcPr>
            <w:tcW w:type="dxa" w:w="4680"/>
          </w:tcPr>
          <w:p>
            <w:pPr>
              <w:pStyle w:val="Compact"/>
              <w:jc w:val="left"/>
            </w:pPr>
            <w:r>
              <w:t xml:space="preserve">Business</w:t>
            </w:r>
          </w:p>
        </w:tc>
        <w:tc>
          <w:tcPr>
            <w:tcW w:type="dxa" w:w="4680"/>
          </w:tcPr>
          <w:p>
            <w:pPr>
              <w:pStyle w:val="Compact"/>
              <w:jc w:val="left"/>
            </w:pPr>
            <w:r>
              <w:t xml:space="preserve">Create offers, listings, invoices, records and customer relationships.</w:t>
            </w:r>
          </w:p>
        </w:tc>
      </w:tr>
      <w:tr>
        <w:tc>
          <w:tcPr>
            <w:tcW w:type="dxa" w:w="4680"/>
          </w:tcPr>
          <w:p>
            <w:pPr>
              <w:pStyle w:val="Compact"/>
              <w:jc w:val="left"/>
            </w:pPr>
            <w:r>
              <w:t xml:space="preserve">Market access</w:t>
            </w:r>
          </w:p>
        </w:tc>
        <w:tc>
          <w:tcPr>
            <w:tcW w:type="dxa" w:w="4680"/>
          </w:tcPr>
          <w:p>
            <w:pPr>
              <w:pStyle w:val="Compact"/>
              <w:jc w:val="left"/>
            </w:pPr>
            <w:r>
              <w:t xml:space="preserve">Reach buyers and partners without surrendering ownership of the relationship.</w:t>
            </w:r>
          </w:p>
        </w:tc>
      </w:tr>
      <w:tr>
        <w:tc>
          <w:tcPr>
            <w:tcW w:type="dxa" w:w="4680"/>
          </w:tcPr>
          <w:p>
            <w:pPr>
              <w:pStyle w:val="Compact"/>
              <w:jc w:val="left"/>
            </w:pPr>
            <w:r>
              <w:t xml:space="preserve">Payments</w:t>
            </w:r>
          </w:p>
        </w:tc>
        <w:tc>
          <w:tcPr>
            <w:tcW w:type="dxa" w:w="4680"/>
          </w:tcPr>
          <w:p>
            <w:pPr>
              <w:pStyle w:val="Compact"/>
              <w:jc w:val="left"/>
            </w:pPr>
            <w:r>
              <w:t xml:space="preserve">Understand routes, costs, risk, status and recovery.</w:t>
            </w:r>
          </w:p>
        </w:tc>
      </w:tr>
      <w:tr>
        <w:tc>
          <w:tcPr>
            <w:tcW w:type="dxa" w:w="4680"/>
          </w:tcPr>
          <w:p>
            <w:pPr>
              <w:pStyle w:val="Compact"/>
              <w:jc w:val="left"/>
            </w:pPr>
            <w:r>
              <w:t xml:space="preserve">Ownership</w:t>
            </w:r>
          </w:p>
        </w:tc>
        <w:tc>
          <w:tcPr>
            <w:tcW w:type="dxa" w:w="4680"/>
          </w:tcPr>
          <w:p>
            <w:pPr>
              <w:pStyle w:val="Compact"/>
              <w:jc w:val="left"/>
            </w:pPr>
            <w:r>
              <w:t xml:space="preserve">Control assets, data, media and records within legal and technical limits.</w:t>
            </w:r>
          </w:p>
        </w:tc>
      </w:tr>
      <w:tr>
        <w:tc>
          <w:tcPr>
            <w:tcW w:type="dxa" w:w="4680"/>
          </w:tcPr>
          <w:p>
            <w:pPr>
              <w:pStyle w:val="Compact"/>
              <w:jc w:val="left"/>
            </w:pPr>
            <w:r>
              <w:t xml:space="preserve">Reputation</w:t>
            </w:r>
          </w:p>
        </w:tc>
        <w:tc>
          <w:tcPr>
            <w:tcW w:type="dxa" w:w="4680"/>
          </w:tcPr>
          <w:p>
            <w:pPr>
              <w:pStyle w:val="Compact"/>
              <w:jc w:val="left"/>
            </w:pPr>
            <w:r>
              <w:t xml:space="preserve">Carry evidence of completed work without opaque universal scoring.</w:t>
            </w:r>
          </w:p>
        </w:tc>
      </w:tr>
      <w:tr>
        <w:tc>
          <w:tcPr>
            <w:tcW w:type="dxa" w:w="4680"/>
          </w:tcPr>
          <w:p>
            <w:pPr>
              <w:pStyle w:val="Compact"/>
              <w:jc w:val="left"/>
            </w:pPr>
            <w:r>
              <w:t xml:space="preserve">Protection</w:t>
            </w:r>
          </w:p>
        </w:tc>
        <w:tc>
          <w:tcPr>
            <w:tcW w:type="dxa" w:w="4680"/>
          </w:tcPr>
          <w:p>
            <w:pPr>
              <w:pStyle w:val="Compact"/>
              <w:jc w:val="left"/>
            </w:pPr>
            <w:r>
              <w:t xml:space="preserve">Detect scams, explain risk, dispute actions and recover.</w:t>
            </w:r>
          </w:p>
        </w:tc>
      </w:tr>
      <w:tr>
        <w:tc>
          <w:tcPr>
            <w:tcW w:type="dxa" w:w="4680"/>
          </w:tcPr>
          <w:p>
            <w:pPr>
              <w:pStyle w:val="Compact"/>
              <w:jc w:val="left"/>
            </w:pPr>
            <w:r>
              <w:t xml:space="preserve">Governance</w:t>
            </w:r>
          </w:p>
        </w:tc>
        <w:tc>
          <w:tcPr>
            <w:tcW w:type="dxa" w:w="4680"/>
          </w:tcPr>
          <w:p>
            <w:pPr>
              <w:pStyle w:val="Compact"/>
              <w:jc w:val="left"/>
            </w:pPr>
            <w:r>
              <w:t xml:space="preserve">Participate in decisions appropriate to the subject and authority.</w:t>
            </w:r>
          </w:p>
        </w:tc>
      </w:tr>
      <w:tr>
        <w:tc>
          <w:tcPr>
            <w:tcW w:type="dxa" w:w="4680"/>
          </w:tcPr>
          <w:p>
            <w:pPr>
              <w:pStyle w:val="Compact"/>
              <w:jc w:val="left"/>
            </w:pPr>
            <w:r>
              <w:t xml:space="preserve">Culture</w:t>
            </w:r>
          </w:p>
        </w:tc>
        <w:tc>
          <w:tcPr>
            <w:tcW w:type="dxa" w:w="4680"/>
          </w:tcPr>
          <w:p>
            <w:pPr>
              <w:pStyle w:val="Compact"/>
              <w:jc w:val="left"/>
            </w:pPr>
            <w:r>
              <w:t xml:space="preserve">Protect attribution, permission, restriction and benefit sharing.</w:t>
            </w:r>
          </w:p>
        </w:tc>
      </w:tr>
      <w:tr>
        <w:tc>
          <w:tcPr>
            <w:tcW w:type="dxa" w:w="4680"/>
          </w:tcPr>
          <w:p>
            <w:pPr>
              <w:pStyle w:val="Compact"/>
              <w:jc w:val="left"/>
            </w:pPr>
            <w:r>
              <w:t xml:space="preserve">Portability</w:t>
            </w:r>
          </w:p>
        </w:tc>
        <w:tc>
          <w:tcPr>
            <w:tcW w:type="dxa" w:w="4680"/>
          </w:tcPr>
          <w:p>
            <w:pPr>
              <w:pStyle w:val="Compact"/>
              <w:jc w:val="left"/>
            </w:pPr>
            <w:r>
              <w:t xml:space="preserve">Export identity, credentials, content, receipts and relationships.</w:t>
            </w:r>
          </w:p>
        </w:tc>
      </w:tr>
      <w:tr>
        <w:tc>
          <w:tcPr>
            <w:tcW w:type="dxa" w:w="4680"/>
          </w:tcPr>
          <w:p>
            <w:pPr>
              <w:pStyle w:val="Compact"/>
              <w:jc w:val="left"/>
            </w:pPr>
            <w:r>
              <w:t xml:space="preserve">Exit</w:t>
            </w:r>
          </w:p>
        </w:tc>
        <w:tc>
          <w:tcPr>
            <w:tcW w:type="dxa" w:w="4680"/>
          </w:tcPr>
          <w:p>
            <w:pPr>
              <w:pStyle w:val="Compact"/>
              <w:jc w:val="left"/>
            </w:pPr>
            <w:r>
              <w:t xml:space="preserve">Leave a provider or IN$DEX without losing essential proof.</w:t>
            </w:r>
          </w:p>
        </w:tc>
      </w:tr>
    </w:tbl>
    <w:tbl>
      <w:tblPr>
        <w:tblStyle w:val="Table"/>
        <w:tblW w:type="dxa" w:w="9360"/>
        <w:tblLook w:firstRow="1"/>
        <w:tblLayout w:type="fixed"/>
      </w:tblPr>
      <w:tblGrid>
        <w:gridCol w:w="576"/>
        <w:gridCol w:w="8784"/>
      </w:tblGrid>
      <w:tr>
        <w:trPr>
          <w:cnfStyle w:firstRow="1"/>
        </w:trPr>
        <w:tc>
          <w:tcPr>
            <w:tcW w:type="dxa" w:w="576"/>
            <w:tcBorders>
              <w:bottom w:val="single"/>
            </w:tcBorders>
            <w:vAlign w:val="bottom"/>
          </w:tcPr>
          <w:p/>
        </w:tc>
        <w:tc>
          <w:tcPr>
            <w:tcW w:type="dxa" w:w="8784"/>
            <w:tcBorders>
              <w:bottom w:val="single"/>
            </w:tcBorders>
            <w:vAlign w:val="bottom"/>
          </w:tcPr>
          <w:p>
            <w:pPr>
              <w:pStyle w:val="Compact"/>
              <w:jc w:val="left"/>
            </w:pPr>
            <w:r>
              <w:rPr>
                <w:b/>
              </w:rPr>
              <w:t xml:space="preserve">Civilisation doctrine:</w:t>
            </w:r>
            <w:r>
              <w:t xml:space="preserve"> </w:t>
            </w:r>
            <w:r>
              <w:t xml:space="preserve">Blockchain, wallets, tokens, exchanges, marketplaces and models are infrastructure choices. They are not the citizen relationship and they are not the civilisation.</w:t>
            </w:r>
          </w:p>
        </w:tc>
      </w:tr>
    </w:tbl>
    <w:p>
      <w:pPr>
        <w:pStyle w:val="Heading1"/>
      </w:pPr>
      <w:bookmarkStart w:id="33" w:name="what-index-is-and-is-not"/>
      <w:r>
        <w:t xml:space="preserve">5. What IN$DEX Is and Is Not</w:t>
      </w:r>
      <w:bookmarkEnd w:id="33"/>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IN$DEX is</w:t>
            </w:r>
          </w:p>
        </w:tc>
        <w:tc>
          <w:tcPr>
            <w:tcW w:type="dxa" w:w="4680"/>
            <w:tcBorders>
              <w:bottom w:val="single"/>
            </w:tcBorders>
            <w:vAlign w:val="bottom"/>
          </w:tcPr>
          <w:p>
            <w:pPr>
              <w:pStyle w:val="Compact"/>
              <w:jc w:val="left"/>
            </w:pPr>
            <w:r>
              <w:rPr>
                <w:b/>
              </w:rPr>
              <w:t xml:space="preserve">IN$DEX is not</w:t>
            </w:r>
          </w:p>
        </w:tc>
      </w:tr>
      <w:tr>
        <w:tc>
          <w:tcPr>
            <w:tcW w:type="dxa" w:w="4680"/>
          </w:tcPr>
          <w:p>
            <w:pPr>
              <w:pStyle w:val="Compact"/>
              <w:jc w:val="left"/>
            </w:pPr>
            <w:r>
              <w:t xml:space="preserve">A citizen-controlled service and trust layer.</w:t>
            </w:r>
          </w:p>
        </w:tc>
        <w:tc>
          <w:tcPr>
            <w:tcW w:type="dxa" w:w="4680"/>
          </w:tcPr>
          <w:p>
            <w:pPr>
              <w:pStyle w:val="Compact"/>
              <w:jc w:val="left"/>
            </w:pPr>
            <w:r>
              <w:t xml:space="preserve">A claim to replace every bank, government or institution.</w:t>
            </w:r>
          </w:p>
        </w:tc>
      </w:tr>
      <w:tr>
        <w:tc>
          <w:tcPr>
            <w:tcW w:type="dxa" w:w="4680"/>
          </w:tcPr>
          <w:p>
            <w:pPr>
              <w:pStyle w:val="Compact"/>
              <w:jc w:val="left"/>
            </w:pPr>
            <w:r>
              <w:t xml:space="preserve">A voice-first orchestration environment.</w:t>
            </w:r>
          </w:p>
        </w:tc>
        <w:tc>
          <w:tcPr>
            <w:tcW w:type="dxa" w:w="4680"/>
          </w:tcPr>
          <w:p>
            <w:pPr>
              <w:pStyle w:val="Compact"/>
              <w:jc w:val="left"/>
            </w:pPr>
            <w:r>
              <w:t xml:space="preserve">An unrestricted autonomous agent.</w:t>
            </w:r>
          </w:p>
        </w:tc>
      </w:tr>
      <w:tr>
        <w:tc>
          <w:tcPr>
            <w:tcW w:type="dxa" w:w="4680"/>
          </w:tcPr>
          <w:p>
            <w:pPr>
              <w:pStyle w:val="Compact"/>
              <w:jc w:val="left"/>
            </w:pPr>
            <w:r>
              <w:t xml:space="preserve">A portable relationship and evidence system.</w:t>
            </w:r>
          </w:p>
        </w:tc>
        <w:tc>
          <w:tcPr>
            <w:tcW w:type="dxa" w:w="4680"/>
          </w:tcPr>
          <w:p>
            <w:pPr>
              <w:pStyle w:val="Compact"/>
              <w:jc w:val="left"/>
            </w:pPr>
            <w:r>
              <w:t xml:space="preserve">A permanent dependency on one wallet, blockchain, model or provider.</w:t>
            </w:r>
          </w:p>
        </w:tc>
      </w:tr>
      <w:tr>
        <w:tc>
          <w:tcPr>
            <w:tcW w:type="dxa" w:w="4680"/>
          </w:tcPr>
          <w:p>
            <w:pPr>
              <w:pStyle w:val="Compact"/>
              <w:jc w:val="left"/>
            </w:pPr>
            <w:r>
              <w:t xml:space="preserve">A platform for controlled pilots and interoperable services.</w:t>
            </w:r>
          </w:p>
        </w:tc>
        <w:tc>
          <w:tcPr>
            <w:tcW w:type="dxa" w:w="4680"/>
          </w:tcPr>
          <w:p>
            <w:pPr>
              <w:pStyle w:val="Compact"/>
              <w:jc w:val="left"/>
            </w:pPr>
            <w:r>
              <w:t xml:space="preserve">A promise that every proposed service is already live.</w:t>
            </w:r>
          </w:p>
        </w:tc>
      </w:tr>
      <w:tr>
        <w:tc>
          <w:tcPr>
            <w:tcW w:type="dxa" w:w="4680"/>
          </w:tcPr>
          <w:p>
            <w:pPr>
              <w:pStyle w:val="Compact"/>
              <w:jc w:val="left"/>
            </w:pPr>
            <w:r>
              <w:t xml:space="preserve">A Pacific-first architecture with global standards.</w:t>
            </w:r>
          </w:p>
        </w:tc>
        <w:tc>
          <w:tcPr>
            <w:tcW w:type="dxa" w:w="4680"/>
          </w:tcPr>
          <w:p>
            <w:pPr>
              <w:pStyle w:val="Compact"/>
              <w:jc w:val="left"/>
            </w:pPr>
            <w:r>
              <w:t xml:space="preserve">A universal anonymous financial account.</w:t>
            </w:r>
          </w:p>
        </w:tc>
      </w:tr>
      <w:tr>
        <w:tc>
          <w:tcPr>
            <w:tcW w:type="dxa" w:w="4680"/>
          </w:tcPr>
          <w:p>
            <w:pPr>
              <w:pStyle w:val="Compact"/>
              <w:jc w:val="left"/>
            </w:pPr>
            <w:r>
              <w:t xml:space="preserve">A long-term civilisation vision with staged delivery.</w:t>
            </w:r>
          </w:p>
        </w:tc>
        <w:tc>
          <w:tcPr>
            <w:tcW w:type="dxa" w:w="4680"/>
          </w:tcPr>
          <w:p>
            <w:pPr>
              <w:pStyle w:val="Compact"/>
              <w:jc w:val="left"/>
            </w:pPr>
            <w:r>
              <w:t xml:space="preserve">A token price or valuation campaign.</w:t>
            </w:r>
          </w:p>
        </w:tc>
      </w:tr>
    </w:tbl>
    <w:p>
      <w:pPr>
        <w:pStyle w:val="BodyText"/>
      </w:pPr>
      <w:r>
        <w:t xml:space="preserve">The long-term product is broad. The prelaunch product is narrow. IN$DEX will earn the right to expand by proving complete citizen journeys rather than publishing more feature screens.</w:t>
      </w:r>
    </w:p>
    <w:p>
      <w:pPr>
        <w:pStyle w:val="Heading1"/>
      </w:pPr>
      <w:bookmarkStart w:id="34" w:name="the-citizen-experience"/>
      <w:r>
        <w:t xml:space="preserve">6. The Citizen Experience</w:t>
      </w:r>
      <w:bookmarkEnd w:id="34"/>
    </w:p>
    <w:p>
      <w:pPr>
        <w:pStyle w:val="FirstParagraph"/>
      </w:pPr>
      <w:r>
        <w:rPr>
          <w:i/>
        </w:rPr>
        <w:t xml:space="preserve">Figure 1. The IN$DEX golden path.</w:t>
      </w:r>
    </w:p>
    <w:p>
      <w:pPr>
        <w:pStyle w:val="Heading2"/>
      </w:pPr>
      <w:bookmarkStart w:id="35" w:name="one-relationship-many-services"/>
      <w:r>
        <w:t xml:space="preserve">One relationship, many services</w:t>
      </w:r>
      <w:bookmarkEnd w:id="35"/>
    </w:p>
    <w:p>
      <w:pPr>
        <w:pStyle w:val="FirstParagraph"/>
      </w:pPr>
      <w:r>
        <w:t xml:space="preserve">A citizen should not need to understand the full architecture. They should be able to speak naturally:</w:t>
      </w:r>
    </w:p>
    <w:p>
      <w:pPr>
        <w:pStyle w:val="BodyText"/>
      </w:pPr>
      <w:r>
        <w:t xml:space="preserve">“</w:t>
      </w:r>
      <w:r>
        <w:t xml:space="preserve">Help me sell my food this weekend.</w:t>
      </w:r>
      <w:r>
        <w:t xml:space="preserve">”</w:t>
      </w:r>
      <w:r>
        <w:t xml:space="preserve"> </w:t>
      </w:r>
      <w:r>
        <w:t xml:space="preserve">“</w:t>
      </w:r>
      <w:r>
        <w:t xml:space="preserve">Show me the safest way to send support to my family.</w:t>
      </w:r>
      <w:r>
        <w:t xml:space="preserve">”</w:t>
      </w:r>
      <w:r>
        <w:t xml:space="preserve"> </w:t>
      </w:r>
      <w:r>
        <w:t xml:space="preserve">“</w:t>
      </w:r>
      <w:r>
        <w:t xml:space="preserve">Help me prove the course I finished.</w:t>
      </w:r>
      <w:r>
        <w:t xml:space="preserve">”</w:t>
      </w:r>
      <w:r>
        <w:t xml:space="preserve"> </w:t>
      </w:r>
      <w:r>
        <w:t xml:space="preserve">“</w:t>
      </w:r>
      <w:r>
        <w:t xml:space="preserve">Is this message really from IN$DEX?</w:t>
      </w:r>
      <w:r>
        <w:t xml:space="preserve">”</w:t>
      </w:r>
      <w:r>
        <w:t xml:space="preserve"> </w:t>
      </w:r>
      <w:r>
        <w:t xml:space="preserve">“</w:t>
      </w:r>
      <w:r>
        <w:t xml:space="preserve">What changed in my account and what do I need to decide?</w:t>
      </w:r>
      <w:r>
        <w:t xml:space="preserve">”</w:t>
      </w:r>
    </w:p>
    <w:p>
      <w:pPr>
        <w:pStyle w:val="BodyText"/>
      </w:pPr>
      <w:r>
        <w:t xml:space="preserve">SIINDEX converts the objective into a structured mission. Safe preparation proceeds. Consequential actions pause at an approval boundary. The citizen receives a verified result and a portable receipt.</w:t>
      </w:r>
    </w:p>
    <w:p>
      <w:pPr>
        <w:pStyle w:val="Heading2"/>
      </w:pPr>
      <w:bookmarkStart w:id="36" w:name="assisted-and-low-data-modes"/>
      <w:r>
        <w:t xml:space="preserve">Assisted and low-data modes</w:t>
      </w:r>
      <w:bookmarkEnd w:id="36"/>
    </w:p>
    <w:p>
      <w:pPr>
        <w:numPr>
          <w:ilvl w:val="0"/>
          <w:numId w:val="1033"/>
        </w:numPr>
        <w:pStyle w:val="Compact"/>
      </w:pPr>
      <w:r>
        <w:t xml:space="preserve">Voice and text interfaces.</w:t>
      </w:r>
    </w:p>
    <w:p>
      <w:pPr>
        <w:numPr>
          <w:ilvl w:val="0"/>
          <w:numId w:val="1033"/>
        </w:numPr>
        <w:pStyle w:val="Compact"/>
      </w:pPr>
      <w:r>
        <w:t xml:space="preserve">Large-text, screen-reader and reduced-motion modes.</w:t>
      </w:r>
    </w:p>
    <w:p>
      <w:pPr>
        <w:numPr>
          <w:ilvl w:val="0"/>
          <w:numId w:val="1033"/>
        </w:numPr>
        <w:pStyle w:val="Compact"/>
      </w:pPr>
      <w:r>
        <w:t xml:space="preserve">Low-bandwidth and offline preparation.</w:t>
      </w:r>
    </w:p>
    <w:p>
      <w:pPr>
        <w:numPr>
          <w:ilvl w:val="0"/>
          <w:numId w:val="1033"/>
        </w:numPr>
        <w:pStyle w:val="Compact"/>
      </w:pPr>
      <w:r>
        <w:t xml:space="preserve">Kiosk or assisted-service mode with strict session isolation.</w:t>
      </w:r>
    </w:p>
    <w:p>
      <w:pPr>
        <w:numPr>
          <w:ilvl w:val="0"/>
          <w:numId w:val="1033"/>
        </w:numPr>
        <w:pStyle w:val="Compact"/>
      </w:pPr>
      <w:r>
        <w:t xml:space="preserve">Language packs and authorised terminology.</w:t>
      </w:r>
    </w:p>
    <w:p>
      <w:pPr>
        <w:numPr>
          <w:ilvl w:val="0"/>
          <w:numId w:val="1033"/>
        </w:numPr>
        <w:pStyle w:val="Compact"/>
      </w:pPr>
      <w:r>
        <w:t xml:space="preserve">Printable or SMS-compatible summaries for essential information.</w:t>
      </w:r>
    </w:p>
    <w:p>
      <w:pPr>
        <w:numPr>
          <w:ilvl w:val="0"/>
          <w:numId w:val="1033"/>
        </w:numPr>
        <w:pStyle w:val="Compact"/>
      </w:pPr>
      <w:r>
        <w:t xml:space="preserve">Human handoff for regulated, cultural, child-related or disputed matters.</w:t>
      </w:r>
    </w:p>
    <w:p>
      <w:pPr>
        <w:pStyle w:val="Heading2"/>
      </w:pPr>
      <w:bookmarkStart w:id="37" w:name="right-to-understand"/>
      <w:r>
        <w:t xml:space="preserve">Right to understand</w:t>
      </w:r>
      <w:bookmarkEnd w:id="37"/>
    </w:p>
    <w:p>
      <w:pPr>
        <w:pStyle w:val="FirstParagraph"/>
      </w:pPr>
      <w:r>
        <w:t xml:space="preserve">Before approval, the citizen sees the action, provider, destination, cost, evidence, risk, reversibility, information being shared and available alternatives. A consequential interface must not change materially after approval. If it does, approval becomes invalid.</w:t>
      </w:r>
    </w:p>
    <w:p>
      <w:pPr>
        <w:pStyle w:val="Heading1"/>
      </w:pPr>
      <w:bookmarkStart w:id="38" w:name="siindex"/>
      <w:r>
        <w:t xml:space="preserve">7. SIINDEX</w:t>
      </w:r>
      <w:bookmarkEnd w:id="38"/>
    </w:p>
    <w:p>
      <w:pPr>
        <w:pStyle w:val="FirstParagraph"/>
      </w:pPr>
      <w:r>
        <w:rPr>
          <w:i/>
        </w:rPr>
        <w:t xml:space="preserve">Synthetic Intelligence as an accountable operating system, not a theatrical title.</w:t>
      </w:r>
    </w:p>
    <w:p>
      <w:pPr>
        <w:pStyle w:val="BodyText"/>
      </w:pPr>
      <w:r>
        <w:t xml:space="preserve">SIINDEX is the canonical identity and operating persona of IN$DEX. IN$DEX uses the term Synthetic Intelligence to describe a system that combines language and multimodal models, deterministic policy services, structured data, tools, specialist agents, human authority and auditable workflows.</w:t>
      </w:r>
    </w:p>
    <w:p>
      <w:pPr>
        <w:pStyle w:val="BodyText"/>
      </w:pPr>
      <w:r>
        <w:t xml:space="preserve">SIINDEX is not positioned as a conventional chatbot or a single model. She is the relationship layer through which the founder, citizens and authorised institutions interact with the civilisation.</w:t>
      </w:r>
    </w:p>
    <w:p>
      <w:pPr>
        <w:pStyle w:val="Heading2"/>
      </w:pPr>
      <w:bookmarkStart w:id="39" w:name="Xe73f95d7d8542744b9a4a43b193ecfe7806b345"/>
      <w:r>
        <w:t xml:space="preserve">SIINDEX as founder CEO/COO operating system</w:t>
      </w:r>
      <w:bookmarkEnd w:id="39"/>
    </w:p>
    <w:p>
      <w:pPr>
        <w:pStyle w:val="FirstParagraph"/>
      </w:pPr>
      <w:r>
        <w:t xml:space="preserve">For Arthur John Henry, SIINDEX is intended to operate as an executive system that prepares the company state, identifies threats, recommends priorities, creates bounded work mandates, tracks execution and returns evidence. SIINDEX does not become an Australian company director or replace human legal duties. Human directors and officers remain responsible for statutory decisions.</w:t>
      </w:r>
    </w:p>
    <w:p>
      <w:pPr>
        <w:numPr>
          <w:ilvl w:val="0"/>
          <w:numId w:val="1034"/>
        </w:numPr>
        <w:pStyle w:val="Compact"/>
      </w:pPr>
      <w:r>
        <w:rPr>
          <w:b/>
        </w:rPr>
        <w:t xml:space="preserve">Executive briefing:</w:t>
      </w:r>
      <w:r>
        <w:t xml:space="preserve"> </w:t>
      </w:r>
      <w:r>
        <w:t xml:space="preserve">what changed, what works, what failed, what is blocked and what requires a decision.</w:t>
      </w:r>
    </w:p>
    <w:p>
      <w:pPr>
        <w:numPr>
          <w:ilvl w:val="0"/>
          <w:numId w:val="1034"/>
        </w:numPr>
        <w:pStyle w:val="Compact"/>
      </w:pPr>
      <w:r>
        <w:rPr>
          <w:b/>
        </w:rPr>
        <w:t xml:space="preserve">Decision preparation:</w:t>
      </w:r>
      <w:r>
        <w:t xml:space="preserve"> </w:t>
      </w:r>
      <w:r>
        <w:t xml:space="preserve">options, evidence, cost, risk, reversibility and recommendation.</w:t>
      </w:r>
    </w:p>
    <w:p>
      <w:pPr>
        <w:numPr>
          <w:ilvl w:val="0"/>
          <w:numId w:val="1034"/>
        </w:numPr>
        <w:pStyle w:val="Compact"/>
      </w:pPr>
      <w:r>
        <w:rPr>
          <w:b/>
        </w:rPr>
        <w:t xml:space="preserve">Delegation:</w:t>
      </w:r>
      <w:r>
        <w:t xml:space="preserve"> </w:t>
      </w:r>
      <w:r>
        <w:t xml:space="preserve">convert approved decisions into scoped tasks with tools, budgets, tests and stopping rules.</w:t>
      </w:r>
    </w:p>
    <w:p>
      <w:pPr>
        <w:numPr>
          <w:ilvl w:val="0"/>
          <w:numId w:val="1034"/>
        </w:numPr>
        <w:pStyle w:val="Compact"/>
      </w:pPr>
      <w:r>
        <w:rPr>
          <w:b/>
        </w:rPr>
        <w:t xml:space="preserve">Operational follow-through:</w:t>
      </w:r>
      <w:r>
        <w:t xml:space="preserve"> </w:t>
      </w:r>
      <w:r>
        <w:t xml:space="preserve">monitor progress, surface exceptions and prevent duplicate work.</w:t>
      </w:r>
    </w:p>
    <w:p>
      <w:pPr>
        <w:numPr>
          <w:ilvl w:val="0"/>
          <w:numId w:val="1034"/>
        </w:numPr>
        <w:pStyle w:val="Compact"/>
      </w:pPr>
      <w:r>
        <w:rPr>
          <w:b/>
        </w:rPr>
        <w:t xml:space="preserve">Proof:</w:t>
      </w:r>
      <w:r>
        <w:t xml:space="preserve"> </w:t>
      </w:r>
      <w:r>
        <w:t xml:space="preserve">record the command, sources, actions, tests, approvals, results and unresolved limitations.</w:t>
      </w:r>
    </w:p>
    <w:p>
      <w:pPr>
        <w:pStyle w:val="Heading2"/>
      </w:pPr>
      <w:bookmarkStart w:id="40" w:name="authority-levels"/>
      <w:r>
        <w:t xml:space="preserve">Authority levels</w:t>
      </w:r>
      <w:bookmarkEnd w:id="40"/>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Level</w:t>
            </w:r>
          </w:p>
        </w:tc>
        <w:tc>
          <w:tcPr>
            <w:tcW w:type="dxa" w:w="4680"/>
            <w:tcBorders>
              <w:bottom w:val="single"/>
            </w:tcBorders>
            <w:vAlign w:val="bottom"/>
          </w:tcPr>
          <w:p>
            <w:pPr>
              <w:pStyle w:val="Compact"/>
              <w:jc w:val="left"/>
            </w:pPr>
            <w:r>
              <w:rPr>
                <w:b/>
              </w:rPr>
              <w:t xml:space="preserve">Permitted behaviour</w:t>
            </w:r>
          </w:p>
        </w:tc>
      </w:tr>
      <w:tr>
        <w:tc>
          <w:tcPr>
            <w:tcW w:type="dxa" w:w="4680"/>
          </w:tcPr>
          <w:p>
            <w:pPr>
              <w:pStyle w:val="Compact"/>
              <w:jc w:val="left"/>
            </w:pPr>
            <w:r>
              <w:t xml:space="preserve">0: Observe</w:t>
            </w:r>
          </w:p>
        </w:tc>
        <w:tc>
          <w:tcPr>
            <w:tcW w:type="dxa" w:w="4680"/>
          </w:tcPr>
          <w:p>
            <w:pPr>
              <w:pStyle w:val="Compact"/>
              <w:jc w:val="left"/>
            </w:pPr>
            <w:r>
              <w:t xml:space="preserve">Read information explicitly authorised for the active mission.</w:t>
            </w:r>
          </w:p>
        </w:tc>
      </w:tr>
      <w:tr>
        <w:tc>
          <w:tcPr>
            <w:tcW w:type="dxa" w:w="4680"/>
          </w:tcPr>
          <w:p>
            <w:pPr>
              <w:pStyle w:val="Compact"/>
              <w:jc w:val="left"/>
            </w:pPr>
            <w:r>
              <w:t xml:space="preserve">1: Explain</w:t>
            </w:r>
          </w:p>
        </w:tc>
        <w:tc>
          <w:tcPr>
            <w:tcW w:type="dxa" w:w="4680"/>
          </w:tcPr>
          <w:p>
            <w:pPr>
              <w:pStyle w:val="Compact"/>
              <w:jc w:val="left"/>
            </w:pPr>
            <w:r>
              <w:t xml:space="preserve">Summarise, compare and clarify.</w:t>
            </w:r>
          </w:p>
        </w:tc>
      </w:tr>
      <w:tr>
        <w:tc>
          <w:tcPr>
            <w:tcW w:type="dxa" w:w="4680"/>
          </w:tcPr>
          <w:p>
            <w:pPr>
              <w:pStyle w:val="Compact"/>
              <w:jc w:val="left"/>
            </w:pPr>
            <w:r>
              <w:t xml:space="preserve">2: Prepare</w:t>
            </w:r>
          </w:p>
        </w:tc>
        <w:tc>
          <w:tcPr>
            <w:tcW w:type="dxa" w:w="4680"/>
          </w:tcPr>
          <w:p>
            <w:pPr>
              <w:pStyle w:val="Compact"/>
              <w:jc w:val="left"/>
            </w:pPr>
            <w:r>
              <w:t xml:space="preserve">Draft plans, documents, forms and actions.</w:t>
            </w:r>
          </w:p>
        </w:tc>
      </w:tr>
      <w:tr>
        <w:tc>
          <w:tcPr>
            <w:tcW w:type="dxa" w:w="4680"/>
          </w:tcPr>
          <w:p>
            <w:pPr>
              <w:pStyle w:val="Compact"/>
              <w:jc w:val="left"/>
            </w:pPr>
            <w:r>
              <w:t xml:space="preserve">3: Queue</w:t>
            </w:r>
          </w:p>
        </w:tc>
        <w:tc>
          <w:tcPr>
            <w:tcW w:type="dxa" w:w="4680"/>
          </w:tcPr>
          <w:p>
            <w:pPr>
              <w:pStyle w:val="Compact"/>
              <w:jc w:val="left"/>
            </w:pPr>
            <w:r>
              <w:t xml:space="preserve">Place an exact proposed action in an approval inbox.</w:t>
            </w:r>
          </w:p>
        </w:tc>
      </w:tr>
      <w:tr>
        <w:tc>
          <w:tcPr>
            <w:tcW w:type="dxa" w:w="4680"/>
          </w:tcPr>
          <w:p>
            <w:pPr>
              <w:pStyle w:val="Compact"/>
              <w:jc w:val="left"/>
            </w:pPr>
            <w:r>
              <w:t xml:space="preserve">4: Execute approved action</w:t>
            </w:r>
          </w:p>
        </w:tc>
        <w:tc>
          <w:tcPr>
            <w:tcW w:type="dxa" w:w="4680"/>
          </w:tcPr>
          <w:p>
            <w:pPr>
              <w:pStyle w:val="Compact"/>
              <w:jc w:val="left"/>
            </w:pPr>
            <w:r>
              <w:t xml:space="preserve">Perform the approved action without expanding its scope.</w:t>
            </w:r>
          </w:p>
        </w:tc>
      </w:tr>
      <w:tr>
        <w:tc>
          <w:tcPr>
            <w:tcW w:type="dxa" w:w="4680"/>
          </w:tcPr>
          <w:p>
            <w:pPr>
              <w:pStyle w:val="Compact"/>
              <w:jc w:val="left"/>
            </w:pPr>
            <w:r>
              <w:t xml:space="preserve">5: Bounded recurring execution</w:t>
            </w:r>
          </w:p>
        </w:tc>
        <w:tc>
          <w:tcPr>
            <w:tcW w:type="dxa" w:w="4680"/>
          </w:tcPr>
          <w:p>
            <w:pPr>
              <w:pStyle w:val="Compact"/>
              <w:jc w:val="left"/>
            </w:pPr>
            <w:r>
              <w:t xml:space="preserve">Repeat a narrow approved task within time, cost and action limits.</w:t>
            </w:r>
          </w:p>
        </w:tc>
      </w:tr>
      <w:tr>
        <w:tc>
          <w:tcPr>
            <w:tcW w:type="dxa" w:w="4680"/>
          </w:tcPr>
          <w:p>
            <w:pPr>
              <w:pStyle w:val="Compact"/>
              <w:jc w:val="left"/>
            </w:pPr>
            <w:r>
              <w:t xml:space="preserve">6: Conditional autonomy</w:t>
            </w:r>
          </w:p>
        </w:tc>
        <w:tc>
          <w:tcPr>
            <w:tcW w:type="dxa" w:w="4680"/>
          </w:tcPr>
          <w:p>
            <w:pPr>
              <w:pStyle w:val="Compact"/>
              <w:jc w:val="left"/>
            </w:pPr>
            <w:r>
              <w:t xml:space="preserve">Act when predefined verified conditions occur, within a revocable mandate.</w:t>
            </w:r>
          </w:p>
        </w:tc>
      </w:tr>
    </w:tbl>
    <w:tbl>
      <w:tblPr>
        <w:tblStyle w:val="Table"/>
        <w:tblW w:type="dxa" w:w="9360"/>
        <w:tblLook w:firstRow="1"/>
        <w:tblLayout w:type="fixed"/>
      </w:tblPr>
      <w:tblGrid>
        <w:gridCol w:w="576"/>
        <w:gridCol w:w="8784"/>
      </w:tblGrid>
      <w:tr>
        <w:trPr>
          <w:cnfStyle w:firstRow="1"/>
        </w:trPr>
        <w:tc>
          <w:tcPr>
            <w:tcW w:type="dxa" w:w="576"/>
            <w:tcBorders>
              <w:bottom w:val="single"/>
            </w:tcBorders>
            <w:vAlign w:val="bottom"/>
          </w:tcPr>
          <w:p/>
        </w:tc>
        <w:tc>
          <w:tcPr>
            <w:tcW w:type="dxa" w:w="8784"/>
            <w:tcBorders>
              <w:bottom w:val="single"/>
            </w:tcBorders>
            <w:vAlign w:val="bottom"/>
          </w:tcPr>
          <w:p>
            <w:pPr>
              <w:pStyle w:val="Compact"/>
              <w:jc w:val="left"/>
            </w:pPr>
            <w:r>
              <w:rPr>
                <w:b/>
              </w:rPr>
              <w:t xml:space="preserve">Executive boundary:</w:t>
            </w:r>
            <w:r>
              <w:t xml:space="preserve"> </w:t>
            </w:r>
            <w:r>
              <w:t xml:space="preserve">A more capable model does not receive more authority. Intelligence, data access, tool access, spending power and legal authority are separate controls.</w:t>
            </w:r>
          </w:p>
        </w:tc>
      </w:tr>
    </w:tbl>
    <w:p>
      <w:pPr>
        <w:pStyle w:val="Heading1"/>
      </w:pPr>
      <w:bookmarkStart w:id="41" w:name="system-architecture"/>
      <w:r>
        <w:t xml:space="preserve">8. System Architecture</w:t>
      </w:r>
      <w:bookmarkEnd w:id="41"/>
    </w:p>
    <w:p>
      <w:pPr>
        <w:pStyle w:val="FirstParagraph"/>
      </w:pPr>
      <w:r>
        <w:rPr>
          <w:i/>
        </w:rPr>
        <w:t xml:space="preserve">Figure 2. Citizen-controlled layered architecture.</w:t>
      </w:r>
    </w:p>
    <w:p>
      <w:pPr>
        <w:pStyle w:val="Heading2"/>
      </w:pPr>
      <w:bookmarkStart w:id="42" w:name="rail-neutral-by-design"/>
      <w:r>
        <w:t xml:space="preserve">Rail-neutral by design</w:t>
      </w:r>
      <w:bookmarkEnd w:id="42"/>
    </w:p>
    <w:p>
      <w:pPr>
        <w:pStyle w:val="FirstParagraph"/>
      </w:pPr>
      <w:r>
        <w:t xml:space="preserve">Solana remains an important candidate rail because of its low-cost settlement and Token-2022 capabilities. It is not the root of identity or the only future network. IN$DEX chooses rails by citizen benefit, provider compatibility, security, legal suitability, cost and exit.</w:t>
      </w:r>
    </w:p>
    <w:p>
      <w:pPr>
        <w:pStyle w:val="BodyText"/>
      </w:pPr>
      <w:r>
        <w:t xml:space="preserve">Blockchain is used only where public verifiability, transferability or shared settlement creates more value than a conventional signed database. Sensitive personal information, private conversations, identity evidence and regulated records remain encrypted off-chain. Public ledgers receive only minimal proofs where justified.</w:t>
      </w:r>
    </w:p>
    <w:p>
      <w:pPr>
        <w:pStyle w:val="Heading2"/>
      </w:pPr>
      <w:bookmarkStart w:id="43" w:name="interoperability-standards"/>
      <w:r>
        <w:t xml:space="preserve">Interoperability standards</w:t>
      </w:r>
      <w:bookmarkEnd w:id="43"/>
    </w:p>
    <w:p>
      <w:pPr>
        <w:pStyle w:val="FirstParagraph"/>
      </w:pPr>
      <w:r>
        <w:t xml:space="preserve">The identity and credential layer will align with W3C Verifiable Credentials 2.0 and the final OpenID protocols for credential issuance and presentation. Authentication and proofing will be risk based, drawing on NIST SP 800-63-4 and FATF digital identity guidance. These standards support portable credentials without requiring the issuer to participate in every later presentation.[6][7][8][9]</w:t>
      </w:r>
    </w:p>
    <w:p>
      <w:pPr>
        <w:pStyle w:val="Heading2"/>
      </w:pPr>
      <w:bookmarkStart w:id="44" w:name="service-state-machine"/>
      <w:r>
        <w:t xml:space="preserve">Service state machine</w:t>
      </w:r>
      <w:bookmarkEnd w:id="44"/>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State</w:t>
            </w:r>
          </w:p>
        </w:tc>
        <w:tc>
          <w:tcPr>
            <w:tcW w:type="dxa" w:w="4680"/>
            <w:tcBorders>
              <w:bottom w:val="single"/>
            </w:tcBorders>
            <w:vAlign w:val="bottom"/>
          </w:tcPr>
          <w:p>
            <w:pPr>
              <w:pStyle w:val="Compact"/>
              <w:jc w:val="left"/>
            </w:pPr>
            <w:r>
              <w:rPr>
                <w:b/>
              </w:rPr>
              <w:t xml:space="preserve">Meaning</w:t>
            </w:r>
          </w:p>
        </w:tc>
      </w:tr>
      <w:tr>
        <w:tc>
          <w:tcPr>
            <w:tcW w:type="dxa" w:w="4680"/>
          </w:tcPr>
          <w:p>
            <w:pPr>
              <w:pStyle w:val="Compact"/>
              <w:jc w:val="left"/>
            </w:pPr>
            <w:r>
              <w:t xml:space="preserve">VISION</w:t>
            </w:r>
          </w:p>
        </w:tc>
        <w:tc>
          <w:tcPr>
            <w:tcW w:type="dxa" w:w="4680"/>
          </w:tcPr>
          <w:p>
            <w:pPr>
              <w:pStyle w:val="Compact"/>
              <w:jc w:val="left"/>
            </w:pPr>
            <w:r>
              <w:t xml:space="preserve">Long-term concept with no delivery claim.</w:t>
            </w:r>
          </w:p>
        </w:tc>
      </w:tr>
      <w:tr>
        <w:tc>
          <w:tcPr>
            <w:tcW w:type="dxa" w:w="4680"/>
          </w:tcPr>
          <w:p>
            <w:pPr>
              <w:pStyle w:val="Compact"/>
              <w:jc w:val="left"/>
            </w:pPr>
            <w:r>
              <w:t xml:space="preserve">SPECIFIED</w:t>
            </w:r>
          </w:p>
        </w:tc>
        <w:tc>
          <w:tcPr>
            <w:tcW w:type="dxa" w:w="4680"/>
          </w:tcPr>
          <w:p>
            <w:pPr>
              <w:pStyle w:val="Compact"/>
              <w:jc w:val="left"/>
            </w:pPr>
            <w:r>
              <w:t xml:space="preserve">Requirements and boundaries documented.</w:t>
            </w:r>
          </w:p>
        </w:tc>
      </w:tr>
      <w:tr>
        <w:tc>
          <w:tcPr>
            <w:tcW w:type="dxa" w:w="4680"/>
          </w:tcPr>
          <w:p>
            <w:pPr>
              <w:pStyle w:val="Compact"/>
              <w:jc w:val="left"/>
            </w:pPr>
            <w:r>
              <w:t xml:space="preserve">STATIC PROTOTYPE</w:t>
            </w:r>
          </w:p>
        </w:tc>
        <w:tc>
          <w:tcPr>
            <w:tcW w:type="dxa" w:w="4680"/>
          </w:tcPr>
          <w:p>
            <w:pPr>
              <w:pStyle w:val="Compact"/>
              <w:jc w:val="left"/>
            </w:pPr>
            <w:r>
              <w:t xml:space="preserve">Interface exists; no real workflow.</w:t>
            </w:r>
          </w:p>
        </w:tc>
      </w:tr>
      <w:tr>
        <w:tc>
          <w:tcPr>
            <w:tcW w:type="dxa" w:w="4680"/>
          </w:tcPr>
          <w:p>
            <w:pPr>
              <w:pStyle w:val="Compact"/>
              <w:jc w:val="left"/>
            </w:pPr>
            <w:r>
              <w:t xml:space="preserve">INTERACTIVE PROTOTYPE</w:t>
            </w:r>
          </w:p>
        </w:tc>
        <w:tc>
          <w:tcPr>
            <w:tcW w:type="dxa" w:w="4680"/>
          </w:tcPr>
          <w:p>
            <w:pPr>
              <w:pStyle w:val="Compact"/>
              <w:jc w:val="left"/>
            </w:pPr>
            <w:r>
              <w:t xml:space="preserve">Local behaviour or simulated data.</w:t>
            </w:r>
          </w:p>
        </w:tc>
      </w:tr>
      <w:tr>
        <w:tc>
          <w:tcPr>
            <w:tcW w:type="dxa" w:w="4680"/>
          </w:tcPr>
          <w:p>
            <w:pPr>
              <w:pStyle w:val="Compact"/>
              <w:jc w:val="left"/>
            </w:pPr>
            <w:r>
              <w:t xml:space="preserve">SANDBOX CONNECTED</w:t>
            </w:r>
          </w:p>
        </w:tc>
        <w:tc>
          <w:tcPr>
            <w:tcW w:type="dxa" w:w="4680"/>
          </w:tcPr>
          <w:p>
            <w:pPr>
              <w:pStyle w:val="Compact"/>
              <w:jc w:val="left"/>
            </w:pPr>
            <w:r>
              <w:t xml:space="preserve">Connected to isolated test infrastructure.</w:t>
            </w:r>
          </w:p>
        </w:tc>
      </w:tr>
      <w:tr>
        <w:tc>
          <w:tcPr>
            <w:tcW w:type="dxa" w:w="4680"/>
          </w:tcPr>
          <w:p>
            <w:pPr>
              <w:pStyle w:val="Compact"/>
              <w:jc w:val="left"/>
            </w:pPr>
            <w:r>
              <w:t xml:space="preserve">BACKEND CONNECTED</w:t>
            </w:r>
          </w:p>
        </w:tc>
        <w:tc>
          <w:tcPr>
            <w:tcW w:type="dxa" w:w="4680"/>
          </w:tcPr>
          <w:p>
            <w:pPr>
              <w:pStyle w:val="Compact"/>
              <w:jc w:val="left"/>
            </w:pPr>
            <w:r>
              <w:t xml:space="preserve">Reaches a real backend, but full journey is not proven.</w:t>
            </w:r>
          </w:p>
        </w:tc>
      </w:tr>
      <w:tr>
        <w:tc>
          <w:tcPr>
            <w:tcW w:type="dxa" w:w="4680"/>
          </w:tcPr>
          <w:p>
            <w:pPr>
              <w:pStyle w:val="Compact"/>
              <w:jc w:val="left"/>
            </w:pPr>
            <w:r>
              <w:t xml:space="preserve">AUTHENTICATED</w:t>
            </w:r>
          </w:p>
        </w:tc>
        <w:tc>
          <w:tcPr>
            <w:tcW w:type="dxa" w:w="4680"/>
          </w:tcPr>
          <w:p>
            <w:pPr>
              <w:pStyle w:val="Compact"/>
              <w:jc w:val="left"/>
            </w:pPr>
            <w:r>
              <w:t xml:space="preserve">A real authorised actor completed identity and access checks.</w:t>
            </w:r>
          </w:p>
        </w:tc>
      </w:tr>
      <w:tr>
        <w:tc>
          <w:tcPr>
            <w:tcW w:type="dxa" w:w="4680"/>
          </w:tcPr>
          <w:p>
            <w:pPr>
              <w:pStyle w:val="Compact"/>
              <w:jc w:val="left"/>
            </w:pPr>
            <w:r>
              <w:t xml:space="preserve">TESTED</w:t>
            </w:r>
          </w:p>
        </w:tc>
        <w:tc>
          <w:tcPr>
            <w:tcW w:type="dxa" w:w="4680"/>
          </w:tcPr>
          <w:p>
            <w:pPr>
              <w:pStyle w:val="Compact"/>
              <w:jc w:val="left"/>
            </w:pPr>
            <w:r>
              <w:t xml:space="preserve">Required positive and negative tests passed.</w:t>
            </w:r>
          </w:p>
        </w:tc>
      </w:tr>
      <w:tr>
        <w:tc>
          <w:tcPr>
            <w:tcW w:type="dxa" w:w="4680"/>
          </w:tcPr>
          <w:p>
            <w:pPr>
              <w:pStyle w:val="Compact"/>
              <w:jc w:val="left"/>
            </w:pPr>
            <w:r>
              <w:t xml:space="preserve">PILOT</w:t>
            </w:r>
          </w:p>
        </w:tc>
        <w:tc>
          <w:tcPr>
            <w:tcW w:type="dxa" w:w="4680"/>
          </w:tcPr>
          <w:p>
            <w:pPr>
              <w:pStyle w:val="Compact"/>
              <w:jc w:val="left"/>
            </w:pPr>
            <w:r>
              <w:t xml:space="preserve">Restricted real participants under defined controls.</w:t>
            </w:r>
          </w:p>
        </w:tc>
      </w:tr>
      <w:tr>
        <w:tc>
          <w:tcPr>
            <w:tcW w:type="dxa" w:w="4680"/>
          </w:tcPr>
          <w:p>
            <w:pPr>
              <w:pStyle w:val="Compact"/>
              <w:jc w:val="left"/>
            </w:pPr>
            <w:r>
              <w:t xml:space="preserve">PRODUCTION VERIFIED</w:t>
            </w:r>
          </w:p>
        </w:tc>
        <w:tc>
          <w:tcPr>
            <w:tcW w:type="dxa" w:w="4680"/>
          </w:tcPr>
          <w:p>
            <w:pPr>
              <w:pStyle w:val="Compact"/>
              <w:jc w:val="left"/>
            </w:pPr>
            <w:r>
              <w:t xml:space="preserve">A complete authorised journey worked in production and created evidence.</w:t>
            </w:r>
          </w:p>
        </w:tc>
      </w:tr>
      <w:tr>
        <w:tc>
          <w:tcPr>
            <w:tcW w:type="dxa" w:w="4680"/>
          </w:tcPr>
          <w:p>
            <w:pPr>
              <w:pStyle w:val="Compact"/>
              <w:jc w:val="left"/>
            </w:pPr>
            <w:r>
              <w:t xml:space="preserve">PROVIDER DEPENDENT</w:t>
            </w:r>
          </w:p>
        </w:tc>
        <w:tc>
          <w:tcPr>
            <w:tcW w:type="dxa" w:w="4680"/>
          </w:tcPr>
          <w:p>
            <w:pPr>
              <w:pStyle w:val="Compact"/>
              <w:jc w:val="left"/>
            </w:pPr>
            <w:r>
              <w:t xml:space="preserve">Cannot operate without a signed external provider.</w:t>
            </w:r>
          </w:p>
        </w:tc>
      </w:tr>
      <w:tr>
        <w:tc>
          <w:tcPr>
            <w:tcW w:type="dxa" w:w="4680"/>
          </w:tcPr>
          <w:p>
            <w:pPr>
              <w:pStyle w:val="Compact"/>
              <w:jc w:val="left"/>
            </w:pPr>
            <w:r>
              <w:t xml:space="preserve">LEGALLY RESTRICTED</w:t>
            </w:r>
          </w:p>
        </w:tc>
        <w:tc>
          <w:tcPr>
            <w:tcW w:type="dxa" w:w="4680"/>
          </w:tcPr>
          <w:p>
            <w:pPr>
              <w:pStyle w:val="Compact"/>
              <w:jc w:val="left"/>
            </w:pPr>
            <w:r>
              <w:t xml:space="preserve">Blocked pending classification, licence, registration or advice.</w:t>
            </w:r>
          </w:p>
        </w:tc>
      </w:tr>
      <w:tr>
        <w:tc>
          <w:tcPr>
            <w:tcW w:type="dxa" w:w="4680"/>
          </w:tcPr>
          <w:p>
            <w:pPr>
              <w:pStyle w:val="Compact"/>
              <w:jc w:val="left"/>
            </w:pPr>
            <w:r>
              <w:t xml:space="preserve">RETIRED</w:t>
            </w:r>
          </w:p>
        </w:tc>
        <w:tc>
          <w:tcPr>
            <w:tcW w:type="dxa" w:w="4680"/>
          </w:tcPr>
          <w:p>
            <w:pPr>
              <w:pStyle w:val="Compact"/>
              <w:jc w:val="left"/>
            </w:pPr>
            <w:r>
              <w:t xml:space="preserve">No longer offered.</w:t>
            </w:r>
          </w:p>
        </w:tc>
      </w:tr>
    </w:tbl>
    <w:p>
      <w:pPr>
        <w:pStyle w:val="Heading1"/>
      </w:pPr>
      <w:bookmarkStart w:id="45" w:name="Xa952a50f9c88b940b4fd6f3cb0e3280e5cdfc5f"/>
      <w:r>
        <w:t xml:space="preserve">9. Identity, Credentials and the Grid Account</w:t>
      </w:r>
      <w:bookmarkEnd w:id="45"/>
    </w:p>
    <w:p>
      <w:pPr>
        <w:pStyle w:val="Heading2"/>
      </w:pPr>
      <w:bookmarkStart w:id="46" w:name="identity-is-layered"/>
      <w:r>
        <w:t xml:space="preserve">Identity is layered</w:t>
      </w:r>
      <w:bookmarkEnd w:id="46"/>
    </w:p>
    <w:p>
      <w:pPr>
        <w:pStyle w:val="FirstParagraph"/>
      </w:pPr>
      <w:r>
        <w:t xml:space="preserve">The original whitepaper made the Sovereign Life Domain simultaneously the citizen, wallet and storefront. Whitepaper v2 separates these functions.</w:t>
      </w:r>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Layer</w:t>
            </w:r>
          </w:p>
        </w:tc>
        <w:tc>
          <w:tcPr>
            <w:tcW w:type="dxa" w:w="4680"/>
            <w:tcBorders>
              <w:bottom w:val="single"/>
            </w:tcBorders>
            <w:vAlign w:val="bottom"/>
          </w:tcPr>
          <w:p>
            <w:pPr>
              <w:pStyle w:val="Compact"/>
              <w:jc w:val="left"/>
            </w:pPr>
            <w:r>
              <w:rPr>
                <w:b/>
              </w:rPr>
              <w:t xml:space="preserve">Role</w:t>
            </w:r>
          </w:p>
        </w:tc>
      </w:tr>
      <w:tr>
        <w:tc>
          <w:tcPr>
            <w:tcW w:type="dxa" w:w="4680"/>
          </w:tcPr>
          <w:p>
            <w:pPr>
              <w:pStyle w:val="Compact"/>
              <w:jc w:val="left"/>
            </w:pPr>
            <w:r>
              <w:t xml:space="preserve">Root Account Identity</w:t>
            </w:r>
          </w:p>
        </w:tc>
        <w:tc>
          <w:tcPr>
            <w:tcW w:type="dxa" w:w="4680"/>
          </w:tcPr>
          <w:p>
            <w:pPr>
              <w:pStyle w:val="Compact"/>
              <w:jc w:val="left"/>
            </w:pPr>
            <w:r>
              <w:t xml:space="preserve">The internal citizen relationship and account ownership record.</w:t>
            </w:r>
          </w:p>
        </w:tc>
      </w:tr>
      <w:tr>
        <w:tc>
          <w:tcPr>
            <w:tcW w:type="dxa" w:w="4680"/>
          </w:tcPr>
          <w:p>
            <w:pPr>
              <w:pStyle w:val="Compact"/>
              <w:jc w:val="left"/>
            </w:pPr>
            <w:r>
              <w:t xml:space="preserve">Authentication</w:t>
            </w:r>
          </w:p>
        </w:tc>
        <w:tc>
          <w:tcPr>
            <w:tcW w:type="dxa" w:w="4680"/>
          </w:tcPr>
          <w:p>
            <w:pPr>
              <w:pStyle w:val="Compact"/>
              <w:jc w:val="left"/>
            </w:pPr>
            <w:r>
              <w:t xml:space="preserve">Passkeys, approved MFA and device-bound or synced authenticators.</w:t>
            </w:r>
          </w:p>
        </w:tc>
      </w:tr>
      <w:tr>
        <w:tc>
          <w:tcPr>
            <w:tcW w:type="dxa" w:w="4680"/>
          </w:tcPr>
          <w:p>
            <w:pPr>
              <w:pStyle w:val="Compact"/>
              <w:jc w:val="left"/>
            </w:pPr>
            <w:r>
              <w:t xml:space="preserve">Identity proofing</w:t>
            </w:r>
          </w:p>
        </w:tc>
        <w:tc>
          <w:tcPr>
            <w:tcW w:type="dxa" w:w="4680"/>
          </w:tcPr>
          <w:p>
            <w:pPr>
              <w:pStyle w:val="Compact"/>
              <w:jc w:val="left"/>
            </w:pPr>
            <w:r>
              <w:t xml:space="preserve">Progressive evidence appropriate to the service and risk.</w:t>
            </w:r>
          </w:p>
        </w:tc>
      </w:tr>
      <w:tr>
        <w:tc>
          <w:tcPr>
            <w:tcW w:type="dxa" w:w="4680"/>
          </w:tcPr>
          <w:p>
            <w:pPr>
              <w:pStyle w:val="Compact"/>
              <w:jc w:val="left"/>
            </w:pPr>
            <w:r>
              <w:t xml:space="preserve">Verifiable Credentials</w:t>
            </w:r>
          </w:p>
        </w:tc>
        <w:tc>
          <w:tcPr>
            <w:tcW w:type="dxa" w:w="4680"/>
          </w:tcPr>
          <w:p>
            <w:pPr>
              <w:pStyle w:val="Compact"/>
              <w:jc w:val="left"/>
            </w:pPr>
            <w:r>
              <w:t xml:space="preserve">Portable qualifications, memberships, permissions and achievements.</w:t>
            </w:r>
          </w:p>
        </w:tc>
      </w:tr>
      <w:tr>
        <w:tc>
          <w:tcPr>
            <w:tcW w:type="dxa" w:w="4680"/>
          </w:tcPr>
          <w:p>
            <w:pPr>
              <w:pStyle w:val="Compact"/>
              <w:jc w:val="left"/>
            </w:pPr>
            <w:r>
              <w:t xml:space="preserve">Sovereign Life Domain</w:t>
            </w:r>
          </w:p>
        </w:tc>
        <w:tc>
          <w:tcPr>
            <w:tcW w:type="dxa" w:w="4680"/>
          </w:tcPr>
          <w:p>
            <w:pPr>
              <w:pStyle w:val="Compact"/>
              <w:jc w:val="left"/>
            </w:pPr>
            <w:r>
              <w:t xml:space="preserve">A human-readable alias and optional public profile.</w:t>
            </w:r>
          </w:p>
        </w:tc>
      </w:tr>
      <w:tr>
        <w:tc>
          <w:tcPr>
            <w:tcW w:type="dxa" w:w="4680"/>
          </w:tcPr>
          <w:p>
            <w:pPr>
              <w:pStyle w:val="Compact"/>
              <w:jc w:val="left"/>
            </w:pPr>
            <w:r>
              <w:t xml:space="preserve">Wallets and accounts</w:t>
            </w:r>
          </w:p>
        </w:tc>
        <w:tc>
          <w:tcPr>
            <w:tcW w:type="dxa" w:w="4680"/>
          </w:tcPr>
          <w:p>
            <w:pPr>
              <w:pStyle w:val="Compact"/>
              <w:jc w:val="left"/>
            </w:pPr>
            <w:r>
              <w:t xml:space="preserve">Replaceable financial endpoints.</w:t>
            </w:r>
          </w:p>
        </w:tc>
      </w:tr>
      <w:tr>
        <w:tc>
          <w:tcPr>
            <w:tcW w:type="dxa" w:w="4680"/>
          </w:tcPr>
          <w:p>
            <w:pPr>
              <w:pStyle w:val="Compact"/>
              <w:jc w:val="left"/>
            </w:pPr>
            <w:r>
              <w:t xml:space="preserve">Phone and email</w:t>
            </w:r>
          </w:p>
        </w:tc>
        <w:tc>
          <w:tcPr>
            <w:tcW w:type="dxa" w:w="4680"/>
          </w:tcPr>
          <w:p>
            <w:pPr>
              <w:pStyle w:val="Compact"/>
              <w:jc w:val="left"/>
            </w:pPr>
            <w:r>
              <w:t xml:space="preserve">Contact, notification and optional recovery attributes.</w:t>
            </w:r>
          </w:p>
        </w:tc>
      </w:tr>
    </w:tbl>
    <w:p>
      <w:pPr>
        <w:pStyle w:val="Heading2"/>
      </w:pPr>
      <w:bookmarkStart w:id="47" w:name="progressive-verification"/>
      <w:r>
        <w:t xml:space="preserve">Progressive verification</w:t>
      </w:r>
      <w:bookmarkEnd w:id="47"/>
    </w:p>
    <w:p>
      <w:pPr>
        <w:pStyle w:val="FirstParagraph"/>
      </w:pPr>
      <w:r>
        <w:t xml:space="preserve">IN$DEX does not promise universal anonymous financial access. A citizen should provide no more information than the action requires, but regulated providers must complete applicable customer due diligence.</w:t>
      </w:r>
    </w:p>
    <w:p>
      <w:pPr>
        <w:pStyle w:val="BodyText"/>
      </w:pPr>
      <w:r>
        <w:t xml:space="preserve">A practical tier model is:</w:t>
      </w:r>
    </w:p>
    <w:tbl>
      <w:tblPr>
        <w:tblStyle w:val="Table"/>
        <w:tblW w:type="dxa" w:w="9360"/>
        <w:tblLook w:firstRow="1"/>
        <w:tblLayout w:type="fixed"/>
      </w:tblPr>
      <w:tblGrid>
        <w:gridCol w:w="3120"/>
        <w:gridCol w:w="3120"/>
        <w:gridCol w:w="3120"/>
      </w:tblGrid>
      <w:tr>
        <w:trPr>
          <w:cnfStyle w:firstRow="1"/>
        </w:trPr>
        <w:tc>
          <w:tcPr>
            <w:tcW w:type="dxa" w:w="3120"/>
            <w:tcBorders>
              <w:bottom w:val="single"/>
            </w:tcBorders>
            <w:vAlign w:val="bottom"/>
          </w:tcPr>
          <w:p>
            <w:pPr>
              <w:pStyle w:val="Compact"/>
              <w:jc w:val="left"/>
            </w:pPr>
            <w:r>
              <w:rPr>
                <w:b/>
              </w:rPr>
              <w:t xml:space="preserve">Tier</w:t>
            </w:r>
          </w:p>
        </w:tc>
        <w:tc>
          <w:tcPr>
            <w:tcW w:type="dxa" w:w="3120"/>
            <w:tcBorders>
              <w:bottom w:val="single"/>
            </w:tcBorders>
            <w:vAlign w:val="bottom"/>
          </w:tcPr>
          <w:p>
            <w:pPr>
              <w:pStyle w:val="Compact"/>
              <w:jc w:val="left"/>
            </w:pPr>
            <w:r>
              <w:rPr>
                <w:b/>
              </w:rPr>
              <w:t xml:space="preserve">Examples</w:t>
            </w:r>
          </w:p>
        </w:tc>
        <w:tc>
          <w:tcPr>
            <w:tcW w:type="dxa" w:w="3120"/>
            <w:tcBorders>
              <w:bottom w:val="single"/>
            </w:tcBorders>
            <w:vAlign w:val="bottom"/>
          </w:tcPr>
          <w:p>
            <w:pPr>
              <w:pStyle w:val="Compact"/>
              <w:jc w:val="left"/>
            </w:pPr>
            <w:r>
              <w:rPr>
                <w:b/>
              </w:rPr>
              <w:t xml:space="preserve">Boundary</w:t>
            </w:r>
          </w:p>
        </w:tc>
      </w:tr>
      <w:tr>
        <w:tc>
          <w:tcPr>
            <w:tcW w:type="dxa" w:w="3120"/>
          </w:tcPr>
          <w:p>
            <w:pPr>
              <w:pStyle w:val="Compact"/>
              <w:jc w:val="left"/>
            </w:pPr>
            <w:r>
              <w:t xml:space="preserve">Access</w:t>
            </w:r>
          </w:p>
        </w:tc>
        <w:tc>
          <w:tcPr>
            <w:tcW w:type="dxa" w:w="3120"/>
          </w:tcPr>
          <w:p>
            <w:pPr>
              <w:pStyle w:val="Compact"/>
              <w:jc w:val="left"/>
            </w:pPr>
            <w:r>
              <w:t xml:space="preserve">Public education, scam checking, service discovery.</w:t>
            </w:r>
          </w:p>
        </w:tc>
        <w:tc>
          <w:tcPr>
            <w:tcW w:type="dxa" w:w="3120"/>
          </w:tcPr>
          <w:p>
            <w:pPr>
              <w:pStyle w:val="Compact"/>
              <w:jc w:val="left"/>
            </w:pPr>
            <w:r>
              <w:t xml:space="preserve">No claim of verified legal identity.</w:t>
            </w:r>
          </w:p>
        </w:tc>
      </w:tr>
      <w:tr>
        <w:tc>
          <w:tcPr>
            <w:tcW w:type="dxa" w:w="3120"/>
          </w:tcPr>
          <w:p>
            <w:pPr>
              <w:pStyle w:val="Compact"/>
              <w:jc w:val="left"/>
            </w:pPr>
            <w:r>
              <w:t xml:space="preserve">Account</w:t>
            </w:r>
          </w:p>
        </w:tc>
        <w:tc>
          <w:tcPr>
            <w:tcW w:type="dxa" w:w="3120"/>
          </w:tcPr>
          <w:p>
            <w:pPr>
              <w:pStyle w:val="Compact"/>
              <w:jc w:val="left"/>
            </w:pPr>
            <w:r>
              <w:t xml:space="preserve">Authenticated citizen relationship and private workspace.</w:t>
            </w:r>
          </w:p>
        </w:tc>
        <w:tc>
          <w:tcPr>
            <w:tcW w:type="dxa" w:w="3120"/>
          </w:tcPr>
          <w:p>
            <w:pPr>
              <w:pStyle w:val="Compact"/>
              <w:jc w:val="left"/>
            </w:pPr>
            <w:r>
              <w:t xml:space="preserve">Strong authentication; limited non-financial functions.</w:t>
            </w:r>
          </w:p>
        </w:tc>
      </w:tr>
      <w:tr>
        <w:tc>
          <w:tcPr>
            <w:tcW w:type="dxa" w:w="3120"/>
          </w:tcPr>
          <w:p>
            <w:pPr>
              <w:pStyle w:val="Compact"/>
              <w:jc w:val="left"/>
            </w:pPr>
            <w:r>
              <w:t xml:space="preserve">Verified profile</w:t>
            </w:r>
          </w:p>
        </w:tc>
        <w:tc>
          <w:tcPr>
            <w:tcW w:type="dxa" w:w="3120"/>
          </w:tcPr>
          <w:p>
            <w:pPr>
              <w:pStyle w:val="Compact"/>
              <w:jc w:val="left"/>
            </w:pPr>
            <w:r>
              <w:t xml:space="preserve">Approved credentials or identity evidence.</w:t>
            </w:r>
          </w:p>
        </w:tc>
        <w:tc>
          <w:tcPr>
            <w:tcW w:type="dxa" w:w="3120"/>
          </w:tcPr>
          <w:p>
            <w:pPr>
              <w:pStyle w:val="Compact"/>
              <w:jc w:val="left"/>
            </w:pPr>
            <w:r>
              <w:t xml:space="preserve">Selective disclosure and issuer trust.</w:t>
            </w:r>
          </w:p>
        </w:tc>
      </w:tr>
      <w:tr>
        <w:tc>
          <w:tcPr>
            <w:tcW w:type="dxa" w:w="3120"/>
          </w:tcPr>
          <w:p>
            <w:pPr>
              <w:pStyle w:val="Compact"/>
              <w:jc w:val="left"/>
            </w:pPr>
            <w:r>
              <w:t xml:space="preserve">Regulated service</w:t>
            </w:r>
          </w:p>
        </w:tc>
        <w:tc>
          <w:tcPr>
            <w:tcW w:type="dxa" w:w="3120"/>
          </w:tcPr>
          <w:p>
            <w:pPr>
              <w:pStyle w:val="Compact"/>
              <w:jc w:val="left"/>
            </w:pPr>
            <w:r>
              <w:t xml:space="preserve">Payment, remittance, custody or other covered action.</w:t>
            </w:r>
          </w:p>
        </w:tc>
        <w:tc>
          <w:tcPr>
            <w:tcW w:type="dxa" w:w="3120"/>
          </w:tcPr>
          <w:p>
            <w:pPr>
              <w:pStyle w:val="Compact"/>
              <w:jc w:val="left"/>
            </w:pPr>
            <w:r>
              <w:t xml:space="preserve">Provider-compatible CDD, AML/CTF and transaction controls.</w:t>
            </w:r>
          </w:p>
        </w:tc>
      </w:tr>
      <w:tr>
        <w:tc>
          <w:tcPr>
            <w:tcW w:type="dxa" w:w="3120"/>
          </w:tcPr>
          <w:p>
            <w:pPr>
              <w:pStyle w:val="Compact"/>
              <w:jc w:val="left"/>
            </w:pPr>
            <w:r>
              <w:t xml:space="preserve">Enhanced review</w:t>
            </w:r>
          </w:p>
        </w:tc>
        <w:tc>
          <w:tcPr>
            <w:tcW w:type="dxa" w:w="3120"/>
          </w:tcPr>
          <w:p>
            <w:pPr>
              <w:pStyle w:val="Compact"/>
              <w:jc w:val="left"/>
            </w:pPr>
            <w:r>
              <w:t xml:space="preserve">Higher-risk, higher-value or complex activity.</w:t>
            </w:r>
          </w:p>
        </w:tc>
        <w:tc>
          <w:tcPr>
            <w:tcW w:type="dxa" w:w="3120"/>
          </w:tcPr>
          <w:p>
            <w:pPr>
              <w:pStyle w:val="Compact"/>
              <w:jc w:val="left"/>
            </w:pPr>
            <w:r>
              <w:t xml:space="preserve">Additional source-of-funds, beneficial-owner or human review.</w:t>
            </w:r>
          </w:p>
        </w:tc>
      </w:tr>
    </w:tbl>
    <w:p>
      <w:pPr>
        <w:pStyle w:val="Heading2"/>
      </w:pPr>
      <w:bookmarkStart w:id="48" w:name="grid-account"/>
      <w:r>
        <w:t xml:space="preserve">Grid Account</w:t>
      </w:r>
      <w:bookmarkEnd w:id="48"/>
    </w:p>
    <w:p>
      <w:pPr>
        <w:pStyle w:val="FirstParagraph"/>
      </w:pPr>
      <w:r>
        <w:t xml:space="preserve">The Grid Account is the citizen-facing container for identity, credentials, missions, receipts, permissions and approved financial endpoints. It is not necessarily a custodial bank or crypto account.</w:t>
      </w:r>
    </w:p>
    <w:p>
      <w:pPr>
        <w:pStyle w:val="BodyText"/>
      </w:pPr>
      <w:r>
        <w:t xml:space="preserve">Wallet recovery must avoid one fragile secret. The target architecture uses multiple independent recovery methods, step-up authentication for sensitive actions, device visibility, revocation and a human-reviewed recovery route. Exact cryptographic custody design remains subject to independent security review and provider selection.</w:t>
      </w:r>
    </w:p>
    <w:p>
      <w:pPr>
        <w:pStyle w:val="Heading2"/>
      </w:pPr>
      <w:bookmarkStart w:id="49" w:name="sovereign-life-domain"/>
      <w:r>
        <w:t xml:space="preserve">Sovereign Life Domain</w:t>
      </w:r>
      <w:bookmarkEnd w:id="49"/>
    </w:p>
    <w:p>
      <w:pPr>
        <w:pStyle w:val="FirstParagraph"/>
      </w:pPr>
      <w:r>
        <w:t xml:space="preserve">Every citizen is intended to receive a free human-readable domain such as</w:t>
      </w:r>
      <w:r>
        <w:t xml:space="preserve"> </w:t>
      </w:r>
      <w:r>
        <w:rPr>
          <w:rStyle w:val="VerbatimChar"/>
        </w:rPr>
        <w:t xml:space="preserve">yourname.IN$DEX</w:t>
      </w:r>
      <w:r>
        <w:t xml:space="preserve">. The domain is a presentation and routing layer, not the person’s legal identity. Ownership, namespace governance, dispute resolution, impersonation protection, recovery and portability must be formalised before public issuance at scale.</w:t>
      </w:r>
    </w:p>
    <w:p>
      <w:pPr>
        <w:pStyle w:val="Heading1"/>
      </w:pPr>
      <w:bookmarkStart w:id="50" w:name="trust-consent-receipts-and-recovery"/>
      <w:r>
        <w:t xml:space="preserve">10. Trust, Consent, Receipts and Recovery</w:t>
      </w:r>
      <w:bookmarkEnd w:id="50"/>
    </w:p>
    <w:p>
      <w:pPr>
        <w:pStyle w:val="Heading2"/>
      </w:pPr>
      <w:bookmarkStart w:id="51" w:name="trust-before-transaction"/>
      <w:r>
        <w:t xml:space="preserve">Trust before transaction</w:t>
      </w:r>
      <w:bookmarkEnd w:id="51"/>
    </w:p>
    <w:p>
      <w:pPr>
        <w:pStyle w:val="FirstParagraph"/>
      </w:pPr>
      <w:r>
        <w:t xml:space="preserve">Before a consequential action, SIINDEX should answer seven questions:</w:t>
      </w:r>
    </w:p>
    <w:p>
      <w:pPr>
        <w:numPr>
          <w:ilvl w:val="0"/>
          <w:numId w:val="1035"/>
        </w:numPr>
        <w:pStyle w:val="Compact"/>
      </w:pPr>
      <w:r>
        <w:t xml:space="preserve">Who is requesting the action?</w:t>
      </w:r>
    </w:p>
    <w:p>
      <w:pPr>
        <w:numPr>
          <w:ilvl w:val="0"/>
          <w:numId w:val="1035"/>
        </w:numPr>
        <w:pStyle w:val="Compact"/>
      </w:pPr>
      <w:r>
        <w:t xml:space="preserve">Who is the provider and what authority do they hold?</w:t>
      </w:r>
    </w:p>
    <w:p>
      <w:pPr>
        <w:numPr>
          <w:ilvl w:val="0"/>
          <w:numId w:val="1035"/>
        </w:numPr>
        <w:pStyle w:val="Compact"/>
      </w:pPr>
      <w:r>
        <w:t xml:space="preserve">What exact outcome is expected?</w:t>
      </w:r>
    </w:p>
    <w:p>
      <w:pPr>
        <w:numPr>
          <w:ilvl w:val="0"/>
          <w:numId w:val="1035"/>
        </w:numPr>
        <w:pStyle w:val="Compact"/>
      </w:pPr>
      <w:r>
        <w:t xml:space="preserve">What will it cost in total?</w:t>
      </w:r>
    </w:p>
    <w:p>
      <w:pPr>
        <w:numPr>
          <w:ilvl w:val="0"/>
          <w:numId w:val="1035"/>
        </w:numPr>
        <w:pStyle w:val="Compact"/>
      </w:pPr>
      <w:r>
        <w:t xml:space="preserve">What information will be shared and why?</w:t>
      </w:r>
    </w:p>
    <w:p>
      <w:pPr>
        <w:numPr>
          <w:ilvl w:val="0"/>
          <w:numId w:val="1035"/>
        </w:numPr>
        <w:pStyle w:val="Compact"/>
      </w:pPr>
      <w:r>
        <w:t xml:space="preserve">What could go wrong and is the action reversible?</w:t>
      </w:r>
    </w:p>
    <w:p>
      <w:pPr>
        <w:numPr>
          <w:ilvl w:val="0"/>
          <w:numId w:val="1035"/>
        </w:numPr>
        <w:pStyle w:val="Compact"/>
      </w:pPr>
      <w:r>
        <w:t xml:space="preserve">What proof, support and dispute path will remain afterward?</w:t>
      </w:r>
    </w:p>
    <w:p>
      <w:pPr>
        <w:pStyle w:val="Heading2"/>
      </w:pPr>
      <w:bookmarkStart w:id="52" w:name="consent-is-granular"/>
      <w:r>
        <w:t xml:space="preserve">Consent is granular</w:t>
      </w:r>
      <w:bookmarkEnd w:id="52"/>
    </w:p>
    <w:p>
      <w:pPr>
        <w:pStyle w:val="FirstParagraph"/>
      </w:pPr>
      <w:r>
        <w:t xml:space="preserve">Consent is not one universal checkbox. A citizen may authorise service use without authorising long-term conversation storage, marketing, cross-service personalisation, external processing or public storytelling. Purpose, data category, recipient, duration, revocation and consequences must remain visible.</w:t>
      </w:r>
    </w:p>
    <w:p>
      <w:pPr>
        <w:pStyle w:val="Heading2"/>
      </w:pPr>
      <w:bookmarkStart w:id="53" w:name="sovereign-receipts"/>
      <w:r>
        <w:t xml:space="preserve">Sovereign receipts</w:t>
      </w:r>
      <w:bookmarkEnd w:id="53"/>
    </w:p>
    <w:p>
      <w:pPr>
        <w:pStyle w:val="FirstParagraph"/>
      </w:pPr>
      <w:r>
        <w:t xml:space="preserve">Every material action should create a citizen-readable receipt and a signed machine record. A blockchain anchor or non-transferable NFT may be added where it improves portability or public verification, but the signed receipt remains the primary evidence. Private data stays off-chain.</w:t>
      </w:r>
    </w:p>
    <w:p>
      <w:pPr>
        <w:pStyle w:val="BodyText"/>
      </w:pPr>
      <w:r>
        <w:t xml:space="preserve">Receipt classes include consent, identity presentation, provider comparison, application submission, payment preparation, execution, publication, credential issuance, dispute, correction, recovery and export.</w:t>
      </w:r>
    </w:p>
    <w:p>
      <w:pPr>
        <w:pStyle w:val="Heading2"/>
      </w:pPr>
      <w:bookmarkStart w:id="54" w:name="recovery-and-dispute"/>
      <w:r>
        <w:t xml:space="preserve">Recovery and dispute</w:t>
      </w:r>
      <w:bookmarkEnd w:id="54"/>
    </w:p>
    <w:p>
      <w:pPr>
        <w:numPr>
          <w:ilvl w:val="0"/>
          <w:numId w:val="1036"/>
        </w:numPr>
        <w:pStyle w:val="Compact"/>
      </w:pPr>
      <w:r>
        <w:t xml:space="preserve">Clear distinction between prepared, approved, submitted, executed, settled and verified.</w:t>
      </w:r>
    </w:p>
    <w:p>
      <w:pPr>
        <w:numPr>
          <w:ilvl w:val="0"/>
          <w:numId w:val="1036"/>
        </w:numPr>
        <w:pStyle w:val="Compact"/>
      </w:pPr>
      <w:r>
        <w:t xml:space="preserve">Failure messages that state what did not happen and whether money or data moved.</w:t>
      </w:r>
    </w:p>
    <w:p>
      <w:pPr>
        <w:numPr>
          <w:ilvl w:val="0"/>
          <w:numId w:val="1036"/>
        </w:numPr>
        <w:pStyle w:val="Compact"/>
      </w:pPr>
      <w:r>
        <w:t xml:space="preserve">Idempotent execution so retries do not duplicate consequential actions.</w:t>
      </w:r>
    </w:p>
    <w:p>
      <w:pPr>
        <w:numPr>
          <w:ilvl w:val="0"/>
          <w:numId w:val="1036"/>
        </w:numPr>
        <w:pStyle w:val="Compact"/>
      </w:pPr>
      <w:r>
        <w:t xml:space="preserve">Human handoff for disputed, regulated or high-risk matters.</w:t>
      </w:r>
    </w:p>
    <w:p>
      <w:pPr>
        <w:numPr>
          <w:ilvl w:val="0"/>
          <w:numId w:val="1036"/>
        </w:numPr>
        <w:pStyle w:val="Compact"/>
      </w:pPr>
      <w:r>
        <w:t xml:space="preserve">Portable evidence for external complaints and appeals.</w:t>
      </w:r>
    </w:p>
    <w:p>
      <w:pPr>
        <w:numPr>
          <w:ilvl w:val="0"/>
          <w:numId w:val="1036"/>
        </w:numPr>
        <w:pStyle w:val="Compact"/>
      </w:pPr>
      <w:r>
        <w:t xml:space="preserve">Provider-switch and account-exit procedures.</w:t>
      </w:r>
    </w:p>
    <w:p>
      <w:pPr>
        <w:pStyle w:val="Heading1"/>
      </w:pPr>
      <w:bookmarkStart w:id="55" w:name="X7422a71125f47df19d04b1d35c1b1030702b622"/>
      <w:r>
        <w:t xml:space="preserve">11. Financial Access and Regulated Provider Rails</w:t>
      </w:r>
      <w:bookmarkEnd w:id="55"/>
    </w:p>
    <w:p>
      <w:pPr>
        <w:pStyle w:val="FirstParagraph"/>
      </w:pPr>
      <w:r>
        <w:t xml:space="preserve">IN$DEX aims to make financial access understandable and portable. It does not become a bank by declaring a Grid Account. Banks, remittance providers, VASPs, payment institutions, card issuers, custodians and lenders remain regulated service providers.</w:t>
      </w:r>
    </w:p>
    <w:p>
      <w:pPr>
        <w:pStyle w:val="BodyText"/>
      </w:pPr>
      <w:r>
        <w:t xml:space="preserve">IN$DEX owns the citizen experience, consent, explanation, orchestration, evidence and relationship portability. Licensed providers supply the regulated rail.</w:t>
      </w:r>
    </w:p>
    <w:p>
      <w:pPr>
        <w:pStyle w:val="Heading2"/>
      </w:pPr>
      <w:bookmarkStart w:id="56" w:name="X3872c420cae5251a1e2713595e31bde59d98855"/>
      <w:r>
        <w:t xml:space="preserve">Provider-neutral banking and payment router</w:t>
      </w:r>
      <w:bookmarkEnd w:id="56"/>
    </w:p>
    <w:p>
      <w:pPr>
        <w:pStyle w:val="FirstParagraph"/>
      </w:pPr>
      <w:r>
        <w:t xml:space="preserve">The router compares available providers using jurisdiction, eligibility, identity requirements, fees, exchange rate, settlement time, reversibility, deposit protection, custody, complaint process, data sharing and current provider health. The citizen approves the route.</w:t>
      </w:r>
    </w:p>
    <w:tbl>
      <w:tblPr>
        <w:tblStyle w:val="Table"/>
        <w:tblW w:type="dxa" w:w="9360"/>
        <w:tblLook w:firstRow="1"/>
        <w:tblLayout w:type="fixed"/>
      </w:tblPr>
      <w:tblGrid>
        <w:gridCol w:w="3120"/>
        <w:gridCol w:w="3120"/>
        <w:gridCol w:w="3120"/>
      </w:tblGrid>
      <w:tr>
        <w:trPr>
          <w:cnfStyle w:firstRow="1"/>
        </w:trPr>
        <w:tc>
          <w:tcPr>
            <w:tcW w:type="dxa" w:w="3120"/>
            <w:tcBorders>
              <w:bottom w:val="single"/>
            </w:tcBorders>
            <w:vAlign w:val="bottom"/>
          </w:tcPr>
          <w:p>
            <w:pPr>
              <w:pStyle w:val="Compact"/>
              <w:jc w:val="left"/>
            </w:pPr>
            <w:r>
              <w:rPr>
                <w:b/>
              </w:rPr>
              <w:t xml:space="preserve">Service</w:t>
            </w:r>
          </w:p>
        </w:tc>
        <w:tc>
          <w:tcPr>
            <w:tcW w:type="dxa" w:w="3120"/>
            <w:tcBorders>
              <w:bottom w:val="single"/>
            </w:tcBorders>
            <w:vAlign w:val="bottom"/>
          </w:tcPr>
          <w:p>
            <w:pPr>
              <w:pStyle w:val="Compact"/>
              <w:jc w:val="left"/>
            </w:pPr>
            <w:r>
              <w:rPr>
                <w:b/>
              </w:rPr>
              <w:t xml:space="preserve">IN$DEX role</w:t>
            </w:r>
          </w:p>
        </w:tc>
        <w:tc>
          <w:tcPr>
            <w:tcW w:type="dxa" w:w="3120"/>
            <w:tcBorders>
              <w:bottom w:val="single"/>
            </w:tcBorders>
            <w:vAlign w:val="bottom"/>
          </w:tcPr>
          <w:p>
            <w:pPr>
              <w:pStyle w:val="Compact"/>
              <w:jc w:val="left"/>
            </w:pPr>
            <w:r>
              <w:rPr>
                <w:b/>
              </w:rPr>
              <w:t xml:space="preserve">Provider role</w:t>
            </w:r>
          </w:p>
        </w:tc>
      </w:tr>
      <w:tr>
        <w:tc>
          <w:tcPr>
            <w:tcW w:type="dxa" w:w="3120"/>
          </w:tcPr>
          <w:p>
            <w:pPr>
              <w:pStyle w:val="Compact"/>
              <w:jc w:val="left"/>
            </w:pPr>
            <w:r>
              <w:t xml:space="preserve">Remittance</w:t>
            </w:r>
          </w:p>
        </w:tc>
        <w:tc>
          <w:tcPr>
            <w:tcW w:type="dxa" w:w="3120"/>
          </w:tcPr>
          <w:p>
            <w:pPr>
              <w:pStyle w:val="Compact"/>
              <w:jc w:val="left"/>
            </w:pPr>
            <w:r>
              <w:t xml:space="preserve">Prepare, compare, explain, collect consent, retain receipts.</w:t>
            </w:r>
          </w:p>
        </w:tc>
        <w:tc>
          <w:tcPr>
            <w:tcW w:type="dxa" w:w="3120"/>
          </w:tcPr>
          <w:p>
            <w:pPr>
              <w:pStyle w:val="Compact"/>
              <w:jc w:val="left"/>
            </w:pPr>
            <w:r>
              <w:t xml:space="preserve">Customer due diligence, transfer, settlement, reporting and complaints.</w:t>
            </w:r>
          </w:p>
        </w:tc>
      </w:tr>
      <w:tr>
        <w:tc>
          <w:tcPr>
            <w:tcW w:type="dxa" w:w="3120"/>
          </w:tcPr>
          <w:p>
            <w:pPr>
              <w:pStyle w:val="Compact"/>
              <w:jc w:val="left"/>
            </w:pPr>
            <w:r>
              <w:t xml:space="preserve">Banking</w:t>
            </w:r>
          </w:p>
        </w:tc>
        <w:tc>
          <w:tcPr>
            <w:tcW w:type="dxa" w:w="3120"/>
          </w:tcPr>
          <w:p>
            <w:pPr>
              <w:pStyle w:val="Compact"/>
              <w:jc w:val="left"/>
            </w:pPr>
            <w:r>
              <w:t xml:space="preserve">Eligibility guidance, application pack, provider switching and records.</w:t>
            </w:r>
          </w:p>
        </w:tc>
        <w:tc>
          <w:tcPr>
            <w:tcW w:type="dxa" w:w="3120"/>
          </w:tcPr>
          <w:p>
            <w:pPr>
              <w:pStyle w:val="Compact"/>
              <w:jc w:val="left"/>
            </w:pPr>
            <w:r>
              <w:t xml:space="preserve">Account approval, deposits, cards, banking operations and prudential obligations.</w:t>
            </w:r>
          </w:p>
        </w:tc>
      </w:tr>
      <w:tr>
        <w:tc>
          <w:tcPr>
            <w:tcW w:type="dxa" w:w="3120"/>
          </w:tcPr>
          <w:p>
            <w:pPr>
              <w:pStyle w:val="Compact"/>
              <w:jc w:val="left"/>
            </w:pPr>
            <w:r>
              <w:t xml:space="preserve">Virtual assets</w:t>
            </w:r>
          </w:p>
        </w:tc>
        <w:tc>
          <w:tcPr>
            <w:tcW w:type="dxa" w:w="3120"/>
          </w:tcPr>
          <w:p>
            <w:pPr>
              <w:pStyle w:val="Compact"/>
              <w:jc w:val="left"/>
            </w:pPr>
            <w:r>
              <w:t xml:space="preserve">Asset meaning, risk, route preparation and evidence.</w:t>
            </w:r>
          </w:p>
        </w:tc>
        <w:tc>
          <w:tcPr>
            <w:tcW w:type="dxa" w:w="3120"/>
          </w:tcPr>
          <w:p>
            <w:pPr>
              <w:pStyle w:val="Compact"/>
              <w:jc w:val="left"/>
            </w:pPr>
            <w:r>
              <w:t xml:space="preserve">Exchange, custody, transfers, market operation and AML/CTF as applicable.</w:t>
            </w:r>
          </w:p>
        </w:tc>
      </w:tr>
      <w:tr>
        <w:tc>
          <w:tcPr>
            <w:tcW w:type="dxa" w:w="3120"/>
          </w:tcPr>
          <w:p>
            <w:pPr>
              <w:pStyle w:val="Compact"/>
              <w:jc w:val="left"/>
            </w:pPr>
            <w:r>
              <w:t xml:space="preserve">Cards</w:t>
            </w:r>
          </w:p>
        </w:tc>
        <w:tc>
          <w:tcPr>
            <w:tcW w:type="dxa" w:w="3120"/>
          </w:tcPr>
          <w:p>
            <w:pPr>
              <w:pStyle w:val="Compact"/>
              <w:jc w:val="left"/>
            </w:pPr>
            <w:r>
              <w:t xml:space="preserve">Display terms, limits, fees, status and support route.</w:t>
            </w:r>
          </w:p>
        </w:tc>
        <w:tc>
          <w:tcPr>
            <w:tcW w:type="dxa" w:w="3120"/>
          </w:tcPr>
          <w:p>
            <w:pPr>
              <w:pStyle w:val="Compact"/>
              <w:jc w:val="left"/>
            </w:pPr>
            <w:r>
              <w:t xml:space="preserve">Issue, authorise, settle, dispute and replace.</w:t>
            </w:r>
          </w:p>
        </w:tc>
      </w:tr>
      <w:tr>
        <w:tc>
          <w:tcPr>
            <w:tcW w:type="dxa" w:w="3120"/>
          </w:tcPr>
          <w:p>
            <w:pPr>
              <w:pStyle w:val="Compact"/>
              <w:jc w:val="left"/>
            </w:pPr>
            <w:r>
              <w:t xml:space="preserve">Lending</w:t>
            </w:r>
          </w:p>
        </w:tc>
        <w:tc>
          <w:tcPr>
            <w:tcW w:type="dxa" w:w="3120"/>
          </w:tcPr>
          <w:p>
            <w:pPr>
              <w:pStyle w:val="Compact"/>
              <w:jc w:val="left"/>
            </w:pPr>
            <w:r>
              <w:t xml:space="preserve">Prepare business evidence and compare offers.</w:t>
            </w:r>
          </w:p>
        </w:tc>
        <w:tc>
          <w:tcPr>
            <w:tcW w:type="dxa" w:w="3120"/>
          </w:tcPr>
          <w:p>
            <w:pPr>
              <w:pStyle w:val="Compact"/>
              <w:jc w:val="left"/>
            </w:pPr>
            <w:r>
              <w:t xml:space="preserve">Credit assessment, responsible lending and contract.</w:t>
            </w:r>
          </w:p>
        </w:tc>
      </w:tr>
      <w:tr>
        <w:tc>
          <w:tcPr>
            <w:tcW w:type="dxa" w:w="3120"/>
          </w:tcPr>
          <w:p>
            <w:pPr>
              <w:pStyle w:val="Compact"/>
              <w:jc w:val="left"/>
            </w:pPr>
            <w:r>
              <w:t xml:space="preserve">Insurance</w:t>
            </w:r>
          </w:p>
        </w:tc>
        <w:tc>
          <w:tcPr>
            <w:tcW w:type="dxa" w:w="3120"/>
          </w:tcPr>
          <w:p>
            <w:pPr>
              <w:pStyle w:val="Compact"/>
              <w:jc w:val="left"/>
            </w:pPr>
            <w:r>
              <w:t xml:space="preserve">Prepare evidence and support a claim.</w:t>
            </w:r>
          </w:p>
        </w:tc>
        <w:tc>
          <w:tcPr>
            <w:tcW w:type="dxa" w:w="3120"/>
          </w:tcPr>
          <w:p>
            <w:pPr>
              <w:pStyle w:val="Compact"/>
              <w:jc w:val="left"/>
            </w:pPr>
            <w:r>
              <w:t xml:space="preserve">Underwrite, price, insure, decide and pay claims.</w:t>
            </w:r>
          </w:p>
        </w:tc>
      </w:tr>
    </w:tbl>
    <w:p>
      <w:pPr>
        <w:pStyle w:val="Heading2"/>
      </w:pPr>
      <w:bookmarkStart w:id="57" w:name="regulatory-status"/>
      <w:r>
        <w:t xml:space="preserve">Regulatory status</w:t>
      </w:r>
      <w:bookmarkEnd w:id="57"/>
    </w:p>
    <w:p>
      <w:pPr>
        <w:pStyle w:val="FirstParagraph"/>
      </w:pPr>
      <w:r>
        <w:t xml:space="preserve">Australian reforms now cover a broader set of virtual-asset services. AUSTRAC requires relevant providers to enrol and register, and transitional rules apply to complete applications submitted by the required date. Registration may be approved, conditioned, refused, suspended or cancelled. IN$DEX will not represent a submitted application as an approval.[10][11]</w:t>
      </w:r>
    </w:p>
    <w:p>
      <w:pPr>
        <w:pStyle w:val="BodyText"/>
      </w:pPr>
      <w:r>
        <w:t xml:space="preserve">ASIC continues to apply technology-neutral financial-services laws to digital assets and has extended its sector-wide no-action position to 30 September 2026 for eligible businesses transitioning toward licensing or authorised arrangements. This does not remove the need for legal classification or licensing analysis.[12]</w:t>
      </w:r>
    </w:p>
    <w:tbl>
      <w:tblPr>
        <w:tblStyle w:val="Table"/>
        <w:tblW w:type="dxa" w:w="9360"/>
        <w:tblLook w:firstRow="1"/>
        <w:tblLayout w:type="fixed"/>
      </w:tblPr>
      <w:tblGrid>
        <w:gridCol w:w="576"/>
        <w:gridCol w:w="8784"/>
      </w:tblGrid>
      <w:tr>
        <w:trPr>
          <w:cnfStyle w:firstRow="1"/>
        </w:trPr>
        <w:tc>
          <w:tcPr>
            <w:tcW w:type="dxa" w:w="576"/>
            <w:tcBorders>
              <w:bottom w:val="single"/>
            </w:tcBorders>
            <w:vAlign w:val="bottom"/>
          </w:tcPr>
          <w:p/>
        </w:tc>
        <w:tc>
          <w:tcPr>
            <w:tcW w:type="dxa" w:w="8784"/>
            <w:tcBorders>
              <w:bottom w:val="single"/>
            </w:tcBorders>
            <w:vAlign w:val="bottom"/>
          </w:tcPr>
          <w:p>
            <w:pPr>
              <w:pStyle w:val="Compact"/>
              <w:jc w:val="left"/>
            </w:pPr>
            <w:r>
              <w:rPr>
                <w:b/>
              </w:rPr>
              <w:t xml:space="preserve">Financial release boundary:</w:t>
            </w:r>
            <w:r>
              <w:t xml:space="preserve"> </w:t>
            </w:r>
            <w:r>
              <w:t xml:space="preserve">No live remittance, custody, card, lending, insurance, staking or financial-return feature will be marketed as available until the responsible entity, licence or registration, provider contract, consumer disclosure, controls and production test are verified.</w:t>
            </w:r>
          </w:p>
        </w:tc>
      </w:tr>
    </w:tbl>
    <w:p>
      <w:pPr>
        <w:pStyle w:val="Heading1"/>
      </w:pPr>
      <w:bookmarkStart w:id="58" w:name="commerce-work-and-opportunity"/>
      <w:r>
        <w:t xml:space="preserve">12. Commerce, Work and Opportunity</w:t>
      </w:r>
      <w:bookmarkEnd w:id="58"/>
    </w:p>
    <w:p>
      <w:pPr>
        <w:pStyle w:val="Heading2"/>
      </w:pPr>
      <w:bookmarkStart w:id="59" w:name="merchant-operating-system"/>
      <w:r>
        <w:t xml:space="preserve">Merchant Operating System</w:t>
      </w:r>
      <w:bookmarkEnd w:id="59"/>
    </w:p>
    <w:p>
      <w:pPr>
        <w:pStyle w:val="FirstParagraph"/>
      </w:pPr>
      <w:r>
        <w:t xml:space="preserve">A micro-merchant needs more than a storefront. They need an operating rhythm. SIINDEX should help a merchant define an offer, create a listing, prepare media, answer buyers, issue invoices, track orders, reconcile payments, retain records, handle disputes and understand the next useful action.</w:t>
      </w:r>
    </w:p>
    <w:p>
      <w:pPr>
        <w:pStyle w:val="BodyText"/>
      </w:pPr>
      <w:r>
        <w:t xml:space="preserve">The initial merchant pilot should focus on preparation and proof rather than speculative token rewards.</w:t>
      </w:r>
    </w:p>
    <w:p>
      <w:pPr>
        <w:numPr>
          <w:ilvl w:val="0"/>
          <w:numId w:val="1037"/>
        </w:numPr>
        <w:pStyle w:val="Compact"/>
      </w:pPr>
      <w:r>
        <w:t xml:space="preserve">Business identity and merchant profile.</w:t>
      </w:r>
    </w:p>
    <w:p>
      <w:pPr>
        <w:numPr>
          <w:ilvl w:val="0"/>
          <w:numId w:val="1037"/>
        </w:numPr>
        <w:pStyle w:val="Compact"/>
      </w:pPr>
      <w:r>
        <w:t xml:space="preserve">Product or service listing with verified price, availability and rights.</w:t>
      </w:r>
    </w:p>
    <w:p>
      <w:pPr>
        <w:numPr>
          <w:ilvl w:val="0"/>
          <w:numId w:val="1037"/>
        </w:numPr>
        <w:pStyle w:val="Compact"/>
      </w:pPr>
      <w:r>
        <w:t xml:space="preserve">Customer enquiry and follow-up drafts.</w:t>
      </w:r>
    </w:p>
    <w:p>
      <w:pPr>
        <w:numPr>
          <w:ilvl w:val="0"/>
          <w:numId w:val="1037"/>
        </w:numPr>
        <w:pStyle w:val="Compact"/>
      </w:pPr>
      <w:r>
        <w:t xml:space="preserve">Invoice and receipt preparation.</w:t>
      </w:r>
    </w:p>
    <w:p>
      <w:pPr>
        <w:numPr>
          <w:ilvl w:val="0"/>
          <w:numId w:val="1037"/>
        </w:numPr>
        <w:pStyle w:val="Compact"/>
      </w:pPr>
      <w:r>
        <w:t xml:space="preserve">Payment-route comparison through an approved provider.</w:t>
      </w:r>
    </w:p>
    <w:p>
      <w:pPr>
        <w:numPr>
          <w:ilvl w:val="0"/>
          <w:numId w:val="1037"/>
        </w:numPr>
        <w:pStyle w:val="Compact"/>
      </w:pPr>
      <w:r>
        <w:t xml:space="preserve">Order and fulfilment status.</w:t>
      </w:r>
    </w:p>
    <w:p>
      <w:pPr>
        <w:numPr>
          <w:ilvl w:val="0"/>
          <w:numId w:val="1037"/>
        </w:numPr>
        <w:pStyle w:val="Compact"/>
      </w:pPr>
      <w:r>
        <w:t xml:space="preserve">Portable work history and customer evidence.</w:t>
      </w:r>
    </w:p>
    <w:p>
      <w:pPr>
        <w:numPr>
          <w:ilvl w:val="0"/>
          <w:numId w:val="1037"/>
        </w:numPr>
        <w:pStyle w:val="Compact"/>
      </w:pPr>
      <w:r>
        <w:t xml:space="preserve">Consent-based marketing and publication.</w:t>
      </w:r>
    </w:p>
    <w:p>
      <w:pPr>
        <w:pStyle w:val="Heading2"/>
      </w:pPr>
      <w:bookmarkStart w:id="60" w:name="opportunity-system"/>
      <w:r>
        <w:t xml:space="preserve">Opportunity system</w:t>
      </w:r>
      <w:bookmarkEnd w:id="60"/>
    </w:p>
    <w:p>
      <w:pPr>
        <w:pStyle w:val="FirstParagraph"/>
      </w:pPr>
      <w:r>
        <w:t xml:space="preserve">SIINDEX should match citizens to work, learning, grants, business ideas, partners and community needs based on declared objectives and verified credentials. It should not optimise for speculative assets or engagement.</w:t>
      </w:r>
    </w:p>
    <w:p>
      <w:pPr>
        <w:pStyle w:val="BodyText"/>
      </w:pPr>
      <w:r>
        <w:t xml:space="preserve">An opportunity record should show eligibility, issuer, deadline, evidence required, cost, rights, risks, compensation, application status and proof of completion.</w:t>
      </w:r>
    </w:p>
    <w:p>
      <w:pPr>
        <w:pStyle w:val="Heading2"/>
      </w:pPr>
      <w:bookmarkStart w:id="61" w:name="work-receipts"/>
      <w:r>
        <w:t xml:space="preserve">Work receipts</w:t>
      </w:r>
      <w:bookmarkEnd w:id="61"/>
    </w:p>
    <w:p>
      <w:pPr>
        <w:pStyle w:val="FirstParagraph"/>
      </w:pPr>
      <w:r>
        <w:t xml:space="preserve">Completed work can generate a portable Work Receipt containing the objective, scope, deliverable, verifier, outcome, date and relevant credentials. This supports a living professional profile without creating one opaque universal reputation score.</w:t>
      </w:r>
    </w:p>
    <w:p>
      <w:pPr>
        <w:pStyle w:val="Heading1"/>
      </w:pPr>
      <w:bookmarkStart w:id="62" w:name="learning-and-institutional-services"/>
      <w:r>
        <w:t xml:space="preserve">13. Learning and Institutional Services</w:t>
      </w:r>
      <w:bookmarkEnd w:id="62"/>
    </w:p>
    <w:p>
      <w:pPr>
        <w:pStyle w:val="FirstParagraph"/>
      </w:pPr>
      <w:r>
        <w:t xml:space="preserve">IN$DEX can help TAFEs, universities, schools, NGOs, employers and community programmes turn learning into portable opportunity. A learner should leave with more than a PDF certificate. They should receive a credential, evidence of completed work, relevant opportunities, a controlled public profile and the ability to present only what a verifier needs.</w:t>
      </w:r>
    </w:p>
    <w:p>
      <w:pPr>
        <w:pStyle w:val="Heading2"/>
      </w:pPr>
      <w:bookmarkStart w:id="63" w:name="institutional-value"/>
      <w:r>
        <w:t xml:space="preserve">Institutional value</w:t>
      </w:r>
      <w:bookmarkEnd w:id="63"/>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Institution</w:t>
            </w:r>
          </w:p>
        </w:tc>
        <w:tc>
          <w:tcPr>
            <w:tcW w:type="dxa" w:w="4680"/>
            <w:tcBorders>
              <w:bottom w:val="single"/>
            </w:tcBorders>
            <w:vAlign w:val="bottom"/>
          </w:tcPr>
          <w:p>
            <w:pPr>
              <w:pStyle w:val="Compact"/>
              <w:jc w:val="left"/>
            </w:pPr>
            <w:r>
              <w:rPr>
                <w:b/>
              </w:rPr>
              <w:t xml:space="preserve">Potential IN$DEX value</w:t>
            </w:r>
          </w:p>
        </w:tc>
      </w:tr>
      <w:tr>
        <w:tc>
          <w:tcPr>
            <w:tcW w:type="dxa" w:w="4680"/>
          </w:tcPr>
          <w:p>
            <w:pPr>
              <w:pStyle w:val="Compact"/>
              <w:jc w:val="left"/>
            </w:pPr>
            <w:r>
              <w:t xml:space="preserve">TAFE and university</w:t>
            </w:r>
          </w:p>
        </w:tc>
        <w:tc>
          <w:tcPr>
            <w:tcW w:type="dxa" w:w="4680"/>
          </w:tcPr>
          <w:p>
            <w:pPr>
              <w:pStyle w:val="Compact"/>
              <w:jc w:val="left"/>
            </w:pPr>
            <w:r>
              <w:t xml:space="preserve">Credential issuance, learner work portfolios, employer pathways and graduate follow-up.</w:t>
            </w:r>
          </w:p>
        </w:tc>
      </w:tr>
      <w:tr>
        <w:tc>
          <w:tcPr>
            <w:tcW w:type="dxa" w:w="4680"/>
          </w:tcPr>
          <w:p>
            <w:pPr>
              <w:pStyle w:val="Compact"/>
              <w:jc w:val="left"/>
            </w:pPr>
            <w:r>
              <w:t xml:space="preserve">School and teacher</w:t>
            </w:r>
          </w:p>
        </w:tc>
        <w:tc>
          <w:tcPr>
            <w:tcW w:type="dxa" w:w="4680"/>
          </w:tcPr>
          <w:p>
            <w:pPr>
              <w:pStyle w:val="Compact"/>
              <w:jc w:val="left"/>
            </w:pPr>
            <w:r>
              <w:t xml:space="preserve">Curriculum-aligned preparation, controlled teacher workspaces and student-data safeguards.</w:t>
            </w:r>
          </w:p>
        </w:tc>
      </w:tr>
      <w:tr>
        <w:tc>
          <w:tcPr>
            <w:tcW w:type="dxa" w:w="4680"/>
          </w:tcPr>
          <w:p>
            <w:pPr>
              <w:pStyle w:val="Compact"/>
              <w:jc w:val="left"/>
            </w:pPr>
            <w:r>
              <w:t xml:space="preserve">Employer</w:t>
            </w:r>
          </w:p>
        </w:tc>
        <w:tc>
          <w:tcPr>
            <w:tcW w:type="dxa" w:w="4680"/>
          </w:tcPr>
          <w:p>
            <w:pPr>
              <w:pStyle w:val="Compact"/>
              <w:jc w:val="left"/>
            </w:pPr>
            <w:r>
              <w:t xml:space="preserve">Verified skills, onboarding, work evidence and controlled PALM support services.</w:t>
            </w:r>
          </w:p>
        </w:tc>
      </w:tr>
      <w:tr>
        <w:tc>
          <w:tcPr>
            <w:tcW w:type="dxa" w:w="4680"/>
          </w:tcPr>
          <w:p>
            <w:pPr>
              <w:pStyle w:val="Compact"/>
              <w:jc w:val="left"/>
            </w:pPr>
            <w:r>
              <w:t xml:space="preserve">NGO</w:t>
            </w:r>
          </w:p>
        </w:tc>
        <w:tc>
          <w:tcPr>
            <w:tcW w:type="dxa" w:w="4680"/>
          </w:tcPr>
          <w:p>
            <w:pPr>
              <w:pStyle w:val="Compact"/>
              <w:jc w:val="left"/>
            </w:pPr>
            <w:r>
              <w:t xml:space="preserve">Grant preparation, beneficiary communication, programme evidence and impact reporting.</w:t>
            </w:r>
          </w:p>
        </w:tc>
      </w:tr>
      <w:tr>
        <w:tc>
          <w:tcPr>
            <w:tcW w:type="dxa" w:w="4680"/>
          </w:tcPr>
          <w:p>
            <w:pPr>
              <w:pStyle w:val="Compact"/>
              <w:jc w:val="left"/>
            </w:pPr>
            <w:r>
              <w:t xml:space="preserve">Government</w:t>
            </w:r>
          </w:p>
        </w:tc>
        <w:tc>
          <w:tcPr>
            <w:tcW w:type="dxa" w:w="4680"/>
          </w:tcPr>
          <w:p>
            <w:pPr>
              <w:pStyle w:val="Compact"/>
              <w:jc w:val="left"/>
            </w:pPr>
            <w:r>
              <w:t xml:space="preserve">Plain-language service navigation, credential verification and citizen support under public authority.</w:t>
            </w:r>
          </w:p>
        </w:tc>
      </w:tr>
    </w:tbl>
    <w:p>
      <w:pPr>
        <w:pStyle w:val="Heading2"/>
      </w:pPr>
      <w:bookmarkStart w:id="64" w:name="education-boundary"/>
      <w:r>
        <w:t xml:space="preserve">Education boundary</w:t>
      </w:r>
      <w:bookmarkEnd w:id="64"/>
    </w:p>
    <w:p>
      <w:pPr>
        <w:pStyle w:val="FirstParagraph"/>
      </w:pPr>
      <w:r>
        <w:t xml:space="preserve">SIINDEX may prepare lessons, resources, assessment drafts and summaries. Teachers and authorised specialists remain responsible for grades, discipline, safeguarding, special education, mental health and placement. Student information must never become a marketing, financial or universal reputation profile.</w:t>
      </w:r>
    </w:p>
    <w:p>
      <w:pPr>
        <w:pStyle w:val="Heading1"/>
      </w:pPr>
      <w:bookmarkStart w:id="65" w:name="cultural-sovereignty"/>
      <w:r>
        <w:t xml:space="preserve">14. Cultural Sovereignty</w:t>
      </w:r>
      <w:bookmarkEnd w:id="65"/>
    </w:p>
    <w:p>
      <w:pPr>
        <w:pStyle w:val="FirstParagraph"/>
      </w:pPr>
      <w:r>
        <w:t xml:space="preserve">Culture is not a content category. Traditional knowledge, language, stories, designs, symbols, ceremonies, environmental knowledge and community identity may carry family, community, sacred or restricted rights that ordinary copyright systems do not fully capture.</w:t>
      </w:r>
    </w:p>
    <w:p>
      <w:pPr>
        <w:pStyle w:val="BodyText"/>
      </w:pPr>
      <w:r>
        <w:t xml:space="preserve">WIPO recognises traditional knowledge and traditional cultural expressions as distinct policy areas, and the 2024 WIPO treaty introduced the first international patent disclosure framework involving genetic resources and associated traditional knowledge. That treaty does not create a complete global cultural-rights system. IN$DEX must therefore rely on community authority, contracts, attribution, licence records, benefit sharing and revocation processes.[13][14]</w:t>
      </w:r>
    </w:p>
    <w:p>
      <w:pPr>
        <w:pStyle w:val="Heading2"/>
      </w:pPr>
      <w:bookmarkStart w:id="66" w:name="cultural-rights-graph"/>
      <w:r>
        <w:t xml:space="preserve">Cultural Rights Graph</w:t>
      </w:r>
      <w:bookmarkEnd w:id="66"/>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Record</w:t>
            </w:r>
          </w:p>
        </w:tc>
        <w:tc>
          <w:tcPr>
            <w:tcW w:type="dxa" w:w="4680"/>
            <w:tcBorders>
              <w:bottom w:val="single"/>
            </w:tcBorders>
            <w:vAlign w:val="bottom"/>
          </w:tcPr>
          <w:p>
            <w:pPr>
              <w:pStyle w:val="Compact"/>
              <w:jc w:val="left"/>
            </w:pPr>
            <w:r>
              <w:rPr>
                <w:b/>
              </w:rPr>
              <w:t xml:space="preserve">Required information</w:t>
            </w:r>
          </w:p>
        </w:tc>
      </w:tr>
      <w:tr>
        <w:tc>
          <w:tcPr>
            <w:tcW w:type="dxa" w:w="4680"/>
          </w:tcPr>
          <w:p>
            <w:pPr>
              <w:pStyle w:val="Compact"/>
              <w:jc w:val="left"/>
            </w:pPr>
            <w:r>
              <w:t xml:space="preserve">Cultural source</w:t>
            </w:r>
          </w:p>
        </w:tc>
        <w:tc>
          <w:tcPr>
            <w:tcW w:type="dxa" w:w="4680"/>
          </w:tcPr>
          <w:p>
            <w:pPr>
              <w:pStyle w:val="Compact"/>
              <w:jc w:val="left"/>
            </w:pPr>
            <w:r>
              <w:t xml:space="preserve">Specific people, family, island, nation or community.</w:t>
            </w:r>
          </w:p>
        </w:tc>
      </w:tr>
      <w:tr>
        <w:tc>
          <w:tcPr>
            <w:tcW w:type="dxa" w:w="4680"/>
          </w:tcPr>
          <w:p>
            <w:pPr>
              <w:pStyle w:val="Compact"/>
              <w:jc w:val="left"/>
            </w:pPr>
            <w:r>
              <w:t xml:space="preserve">Authority</w:t>
            </w:r>
          </w:p>
        </w:tc>
        <w:tc>
          <w:tcPr>
            <w:tcW w:type="dxa" w:w="4680"/>
          </w:tcPr>
          <w:p>
            <w:pPr>
              <w:pStyle w:val="Compact"/>
              <w:jc w:val="left"/>
            </w:pPr>
            <w:r>
              <w:t xml:space="preserve">Person or body authorised to approve use.</w:t>
            </w:r>
          </w:p>
        </w:tc>
      </w:tr>
      <w:tr>
        <w:tc>
          <w:tcPr>
            <w:tcW w:type="dxa" w:w="4680"/>
          </w:tcPr>
          <w:p>
            <w:pPr>
              <w:pStyle w:val="Compact"/>
              <w:jc w:val="left"/>
            </w:pPr>
            <w:r>
              <w:t xml:space="preserve">Classification</w:t>
            </w:r>
          </w:p>
        </w:tc>
        <w:tc>
          <w:tcPr>
            <w:tcW w:type="dxa" w:w="4680"/>
          </w:tcPr>
          <w:p>
            <w:pPr>
              <w:pStyle w:val="Compact"/>
              <w:jc w:val="left"/>
            </w:pPr>
            <w:r>
              <w:t xml:space="preserve">Public, personal, family, community, education-only, commercial, restricted, sacred or unknown.</w:t>
            </w:r>
          </w:p>
        </w:tc>
      </w:tr>
      <w:tr>
        <w:tc>
          <w:tcPr>
            <w:tcW w:type="dxa" w:w="4680"/>
          </w:tcPr>
          <w:p>
            <w:pPr>
              <w:pStyle w:val="Compact"/>
              <w:jc w:val="left"/>
            </w:pPr>
            <w:r>
              <w:t xml:space="preserve">Permitted use</w:t>
            </w:r>
          </w:p>
        </w:tc>
        <w:tc>
          <w:tcPr>
            <w:tcW w:type="dxa" w:w="4680"/>
          </w:tcPr>
          <w:p>
            <w:pPr>
              <w:pStyle w:val="Compact"/>
              <w:jc w:val="left"/>
            </w:pPr>
            <w:r>
              <w:t xml:space="preserve">Audience, format, territory, duration and commercial conditions.</w:t>
            </w:r>
          </w:p>
        </w:tc>
      </w:tr>
      <w:tr>
        <w:tc>
          <w:tcPr>
            <w:tcW w:type="dxa" w:w="4680"/>
          </w:tcPr>
          <w:p>
            <w:pPr>
              <w:pStyle w:val="Compact"/>
              <w:jc w:val="left"/>
            </w:pPr>
            <w:r>
              <w:t xml:space="preserve">Attribution</w:t>
            </w:r>
          </w:p>
        </w:tc>
        <w:tc>
          <w:tcPr>
            <w:tcW w:type="dxa" w:w="4680"/>
          </w:tcPr>
          <w:p>
            <w:pPr>
              <w:pStyle w:val="Compact"/>
              <w:jc w:val="left"/>
            </w:pPr>
            <w:r>
              <w:t xml:space="preserve">Approved names, language and context.</w:t>
            </w:r>
          </w:p>
        </w:tc>
      </w:tr>
      <w:tr>
        <w:tc>
          <w:tcPr>
            <w:tcW w:type="dxa" w:w="4680"/>
          </w:tcPr>
          <w:p>
            <w:pPr>
              <w:pStyle w:val="Compact"/>
              <w:jc w:val="left"/>
            </w:pPr>
            <w:r>
              <w:t xml:space="preserve">Benefit sharing</w:t>
            </w:r>
          </w:p>
        </w:tc>
        <w:tc>
          <w:tcPr>
            <w:tcW w:type="dxa" w:w="4680"/>
          </w:tcPr>
          <w:p>
            <w:pPr>
              <w:pStyle w:val="Compact"/>
              <w:jc w:val="left"/>
            </w:pPr>
            <w:r>
              <w:t xml:space="preserve">Creator, family, community or cultural fund allocation.</w:t>
            </w:r>
          </w:p>
        </w:tc>
      </w:tr>
      <w:tr>
        <w:tc>
          <w:tcPr>
            <w:tcW w:type="dxa" w:w="4680"/>
          </w:tcPr>
          <w:p>
            <w:pPr>
              <w:pStyle w:val="Compact"/>
              <w:jc w:val="left"/>
            </w:pPr>
            <w:r>
              <w:t xml:space="preserve">Review and revocation</w:t>
            </w:r>
          </w:p>
        </w:tc>
        <w:tc>
          <w:tcPr>
            <w:tcW w:type="dxa" w:w="4680"/>
          </w:tcPr>
          <w:p>
            <w:pPr>
              <w:pStyle w:val="Compact"/>
              <w:jc w:val="left"/>
            </w:pPr>
            <w:r>
              <w:t xml:space="preserve">How permission is renewed, corrected, suspended or withdrawn.</w:t>
            </w:r>
          </w:p>
        </w:tc>
      </w:tr>
    </w:tbl>
    <w:tbl>
      <w:tblPr>
        <w:tblStyle w:val="Table"/>
        <w:tblW w:type="dxa" w:w="9360"/>
        <w:tblLook w:firstRow="1"/>
        <w:tblLayout w:type="fixed"/>
      </w:tblPr>
      <w:tblGrid>
        <w:gridCol w:w="576"/>
        <w:gridCol w:w="8784"/>
      </w:tblGrid>
      <w:tr>
        <w:trPr>
          <w:cnfStyle w:firstRow="1"/>
        </w:trPr>
        <w:tc>
          <w:tcPr>
            <w:tcW w:type="dxa" w:w="576"/>
            <w:tcBorders>
              <w:bottom w:val="single"/>
            </w:tcBorders>
            <w:vAlign w:val="bottom"/>
          </w:tcPr>
          <w:p/>
        </w:tc>
        <w:tc>
          <w:tcPr>
            <w:tcW w:type="dxa" w:w="8784"/>
            <w:tcBorders>
              <w:bottom w:val="single"/>
            </w:tcBorders>
            <w:vAlign w:val="bottom"/>
          </w:tcPr>
          <w:p>
            <w:pPr>
              <w:pStyle w:val="Compact"/>
              <w:jc w:val="left"/>
            </w:pPr>
            <w:r>
              <w:rPr>
                <w:b/>
              </w:rPr>
              <w:t xml:space="preserve">Cultural stop rule:</w:t>
            </w:r>
            <w:r>
              <w:t xml:space="preserve"> </w:t>
            </w:r>
            <w:r>
              <w:t xml:space="preserve">UNKNOWN means pause. A general-purpose model cannot approve sacred status, community ownership or commercial cultural permission.</w:t>
            </w:r>
          </w:p>
        </w:tc>
      </w:tr>
    </w:tbl>
    <w:p>
      <w:pPr>
        <w:pStyle w:val="Heading1"/>
      </w:pPr>
      <w:bookmarkStart w:id="67" w:name="connectivity-and-offline-continuity"/>
      <w:r>
        <w:t xml:space="preserve">15. Connectivity and Offline Continuity</w:t>
      </w:r>
      <w:bookmarkEnd w:id="67"/>
    </w:p>
    <w:p>
      <w:pPr>
        <w:pStyle w:val="FirstParagraph"/>
      </w:pPr>
      <w:r>
        <w:t xml:space="preserve">Connectivity is a sovereignty dependency. A citizen who loses paid data, changes a network or loses a device should not lose identity recovery, consent history, fraud reporting, dispute access, credentials or the right to leave.</w:t>
      </w:r>
    </w:p>
    <w:p>
      <w:pPr>
        <w:pStyle w:val="BodyText"/>
      </w:pPr>
      <w:r>
        <w:t xml:space="preserve">The GSMA reports that more than half of the Pacific Islands population remains unconnected to mobile internet, while 5G represented less than 1% of regional mobile connections at the end of 2024. This makes low-data design, assisted service and provider partnership essential.[2]</w:t>
      </w:r>
    </w:p>
    <w:p>
      <w:pPr>
        <w:pStyle w:val="Heading2"/>
      </w:pPr>
      <w:bookmarkStart w:id="68" w:name="embedded-connectivity"/>
      <w:r>
        <w:t xml:space="preserve">Embedded connectivity</w:t>
      </w:r>
      <w:bookmarkEnd w:id="68"/>
    </w:p>
    <w:p>
      <w:pPr>
        <w:pStyle w:val="FirstParagraph"/>
      </w:pPr>
      <w:r>
        <w:t xml:space="preserve">IN$DEX does not intend to become an unlicensed telecom network. The target model is embedded connectivity: IN$DEX manages the citizen experience, consent, plan presentation, billing display, support, risk and migration, while a licensed telecom or eSIM partner provides network capacity and provisioning.</w:t>
      </w:r>
    </w:p>
    <w:p>
      <w:pPr>
        <w:numPr>
          <w:ilvl w:val="0"/>
          <w:numId w:val="1038"/>
        </w:numPr>
        <w:pStyle w:val="Compact"/>
      </w:pPr>
      <w:r>
        <w:t xml:space="preserve">No telecom provider becomes the citizen’s root identity.</w:t>
      </w:r>
    </w:p>
    <w:p>
      <w:pPr>
        <w:numPr>
          <w:ilvl w:val="0"/>
          <w:numId w:val="1038"/>
        </w:numPr>
        <w:pStyle w:val="Compact"/>
      </w:pPr>
      <w:r>
        <w:t xml:space="preserve">Sponsor-funded connectivity cannot purchase surveillance rights.</w:t>
      </w:r>
    </w:p>
    <w:p>
      <w:pPr>
        <w:numPr>
          <w:ilvl w:val="0"/>
          <w:numId w:val="1038"/>
        </w:numPr>
        <w:pStyle w:val="Compact"/>
      </w:pPr>
      <w:r>
        <w:t xml:space="preserve">Essential sovereignty functions receive a zero-balance mode where technically and contractually possible.</w:t>
      </w:r>
    </w:p>
    <w:p>
      <w:pPr>
        <w:numPr>
          <w:ilvl w:val="0"/>
          <w:numId w:val="1038"/>
        </w:numPr>
        <w:pStyle w:val="Compact"/>
      </w:pPr>
      <w:r>
        <w:t xml:space="preserve">Provider coverage, fees, roaming, fair-use limits and support are shown before activation.</w:t>
      </w:r>
    </w:p>
    <w:p>
      <w:pPr>
        <w:numPr>
          <w:ilvl w:val="0"/>
          <w:numId w:val="1038"/>
        </w:numPr>
        <w:pStyle w:val="Compact"/>
      </w:pPr>
      <w:r>
        <w:t xml:space="preserve">SIM-swap or number-change risk is handled as a security event, not as proof of identity.</w:t>
      </w:r>
    </w:p>
    <w:p>
      <w:pPr>
        <w:pStyle w:val="Heading1"/>
      </w:pPr>
      <w:bookmarkStart w:id="69" w:name="data-sovereignty-and-privacy"/>
      <w:r>
        <w:t xml:space="preserve">16. Data Sovereignty and Privacy</w:t>
      </w:r>
      <w:bookmarkEnd w:id="69"/>
    </w:p>
    <w:p>
      <w:pPr>
        <w:pStyle w:val="FirstParagraph"/>
      </w:pPr>
      <w:r>
        <w:t xml:space="preserve">Data sovereignty means that citizens understand the purpose, location, sharing, retention, correction, export and deletion status of their information. It does not mean every data point is placed on a blockchain or that a platform can create automatic legal compensation.</w:t>
      </w:r>
    </w:p>
    <w:p>
      <w:pPr>
        <w:pStyle w:val="BodyText"/>
      </w:pPr>
      <w:r>
        <w:t xml:space="preserve">Australian Privacy Principles require reasonable security, access and correction processes, and in some circumstances destruction or de-identification when information is no longer needed. Legal retention duties may limit deletion. IN$DEX will provide requests, records, evidence and dispute support without inventing statutory rights.[15][16]</w:t>
      </w:r>
    </w:p>
    <w:p>
      <w:pPr>
        <w:pStyle w:val="Heading2"/>
      </w:pPr>
      <w:bookmarkStart w:id="70" w:name="data-architecture-rules"/>
      <w:r>
        <w:t xml:space="preserve">Data architecture rules</w:t>
      </w:r>
      <w:bookmarkEnd w:id="70"/>
    </w:p>
    <w:p>
      <w:pPr>
        <w:numPr>
          <w:ilvl w:val="0"/>
          <w:numId w:val="1039"/>
        </w:numPr>
        <w:pStyle w:val="Compact"/>
      </w:pPr>
      <w:r>
        <w:t xml:space="preserve">Private by default.</w:t>
      </w:r>
    </w:p>
    <w:p>
      <w:pPr>
        <w:numPr>
          <w:ilvl w:val="0"/>
          <w:numId w:val="1039"/>
        </w:numPr>
        <w:pStyle w:val="Compact"/>
      </w:pPr>
      <w:r>
        <w:t xml:space="preserve">Purpose-limited collection and processing.</w:t>
      </w:r>
    </w:p>
    <w:p>
      <w:pPr>
        <w:numPr>
          <w:ilvl w:val="0"/>
          <w:numId w:val="1039"/>
        </w:numPr>
        <w:pStyle w:val="Compact"/>
      </w:pPr>
      <w:r>
        <w:t xml:space="preserve">Granular consent and provider disclosure.</w:t>
      </w:r>
    </w:p>
    <w:p>
      <w:pPr>
        <w:numPr>
          <w:ilvl w:val="0"/>
          <w:numId w:val="1039"/>
        </w:numPr>
        <w:pStyle w:val="Compact"/>
      </w:pPr>
      <w:r>
        <w:t xml:space="preserve">Minimum necessary data for each action.</w:t>
      </w:r>
    </w:p>
    <w:p>
      <w:pPr>
        <w:numPr>
          <w:ilvl w:val="0"/>
          <w:numId w:val="1039"/>
        </w:numPr>
        <w:pStyle w:val="Compact"/>
      </w:pPr>
      <w:r>
        <w:t xml:space="preserve">Encrypted storage and transmission.</w:t>
      </w:r>
    </w:p>
    <w:p>
      <w:pPr>
        <w:numPr>
          <w:ilvl w:val="0"/>
          <w:numId w:val="1039"/>
        </w:numPr>
        <w:pStyle w:val="Compact"/>
      </w:pPr>
      <w:r>
        <w:t xml:space="preserve">No personal information on a public blockchain.</w:t>
      </w:r>
    </w:p>
    <w:p>
      <w:pPr>
        <w:numPr>
          <w:ilvl w:val="0"/>
          <w:numId w:val="1039"/>
        </w:numPr>
        <w:pStyle w:val="Compact"/>
      </w:pPr>
      <w:r>
        <w:t xml:space="preserve">Separate private, founder, institutional and mission workspaces.</w:t>
      </w:r>
    </w:p>
    <w:p>
      <w:pPr>
        <w:numPr>
          <w:ilvl w:val="0"/>
          <w:numId w:val="1039"/>
        </w:numPr>
        <w:pStyle w:val="Compact"/>
      </w:pPr>
      <w:r>
        <w:t xml:space="preserve">Retention schedules and deletion or de-identification where lawful.</w:t>
      </w:r>
    </w:p>
    <w:p>
      <w:pPr>
        <w:numPr>
          <w:ilvl w:val="0"/>
          <w:numId w:val="1039"/>
        </w:numPr>
        <w:pStyle w:val="Compact"/>
      </w:pPr>
      <w:r>
        <w:t xml:space="preserve">Export in machine-readable and human-readable formats.</w:t>
      </w:r>
    </w:p>
    <w:p>
      <w:pPr>
        <w:numPr>
          <w:ilvl w:val="0"/>
          <w:numId w:val="1039"/>
        </w:numPr>
        <w:pStyle w:val="Compact"/>
      </w:pPr>
      <w:r>
        <w:t xml:space="preserve">No sale, advertising use or training use without a separate explicit legal basis and consent.</w:t>
      </w:r>
    </w:p>
    <w:p>
      <w:pPr>
        <w:pStyle w:val="Heading2"/>
      </w:pPr>
      <w:bookmarkStart w:id="71" w:name="consent-and-data-value"/>
      <w:r>
        <w:t xml:space="preserve">Consent and data value</w:t>
      </w:r>
      <w:bookmarkEnd w:id="71"/>
    </w:p>
    <w:p>
      <w:pPr>
        <w:pStyle w:val="FirstParagraph"/>
      </w:pPr>
      <w:r>
        <w:t xml:space="preserve">Whitepaper v1 proposed automatic data royalties, data NFTs and fixed breach payouts. These are removed from the prelaunch product. Future data collaboration may use approved research or institutional requests, but it must avoid coercion, re-identification, discriminatory profiling and the false idea that payment eliminates privacy harm.</w:t>
      </w:r>
    </w:p>
    <w:p>
      <w:pPr>
        <w:pStyle w:val="Heading1"/>
      </w:pPr>
      <w:bookmarkStart w:id="72" w:name="governance-and-human-accountability"/>
      <w:r>
        <w:t xml:space="preserve">17. Governance and Human Accountability</w:t>
      </w:r>
      <w:bookmarkEnd w:id="72"/>
    </w:p>
    <w:p>
      <w:pPr>
        <w:pStyle w:val="FirstParagraph"/>
      </w:pPr>
      <w:r>
        <w:t xml:space="preserve">One-token-one-vote is not suitable for every civilisation decision. Wealth, engagement, daily login behaviour, referrals or posting volume must not create authority over cultural, legal, child-safety or identity matters.</w:t>
      </w:r>
    </w:p>
    <w:p>
      <w:pPr>
        <w:pStyle w:val="BodyText"/>
      </w:pPr>
      <w:r>
        <w:t xml:space="preserve">IN$DEX will use subject-specific governance.</w:t>
      </w:r>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Body</w:t>
            </w:r>
          </w:p>
        </w:tc>
        <w:tc>
          <w:tcPr>
            <w:tcW w:type="dxa" w:w="4680"/>
            <w:tcBorders>
              <w:bottom w:val="single"/>
            </w:tcBorders>
            <w:vAlign w:val="bottom"/>
          </w:tcPr>
          <w:p>
            <w:pPr>
              <w:pStyle w:val="Compact"/>
              <w:jc w:val="left"/>
            </w:pPr>
            <w:r>
              <w:rPr>
                <w:b/>
              </w:rPr>
              <w:t xml:space="preserve">Authority</w:t>
            </w:r>
          </w:p>
        </w:tc>
      </w:tr>
      <w:tr>
        <w:tc>
          <w:tcPr>
            <w:tcW w:type="dxa" w:w="4680"/>
          </w:tcPr>
          <w:p>
            <w:pPr>
              <w:pStyle w:val="Compact"/>
              <w:jc w:val="left"/>
            </w:pPr>
            <w:r>
              <w:t xml:space="preserve">Founder and human board</w:t>
            </w:r>
          </w:p>
        </w:tc>
        <w:tc>
          <w:tcPr>
            <w:tcW w:type="dxa" w:w="4680"/>
          </w:tcPr>
          <w:p>
            <w:pPr>
              <w:pStyle w:val="Compact"/>
              <w:jc w:val="left"/>
            </w:pPr>
            <w:r>
              <w:t xml:space="preserve">Corporate, fiduciary, legal and strategic accountability.</w:t>
            </w:r>
          </w:p>
        </w:tc>
      </w:tr>
      <w:tr>
        <w:tc>
          <w:tcPr>
            <w:tcW w:type="dxa" w:w="4680"/>
          </w:tcPr>
          <w:p>
            <w:pPr>
              <w:pStyle w:val="Compact"/>
              <w:jc w:val="left"/>
            </w:pPr>
            <w:r>
              <w:t xml:space="preserve">Citizen Assembly</w:t>
            </w:r>
          </w:p>
        </w:tc>
        <w:tc>
          <w:tcPr>
            <w:tcW w:type="dxa" w:w="4680"/>
          </w:tcPr>
          <w:p>
            <w:pPr>
              <w:pStyle w:val="Compact"/>
              <w:jc w:val="left"/>
            </w:pPr>
            <w:r>
              <w:t xml:space="preserve">Ordinary community proposals and service priorities.</w:t>
            </w:r>
          </w:p>
        </w:tc>
      </w:tr>
      <w:tr>
        <w:tc>
          <w:tcPr>
            <w:tcW w:type="dxa" w:w="4680"/>
          </w:tcPr>
          <w:p>
            <w:pPr>
              <w:pStyle w:val="Compact"/>
              <w:jc w:val="left"/>
            </w:pPr>
            <w:r>
              <w:t xml:space="preserve">Technical Council</w:t>
            </w:r>
          </w:p>
        </w:tc>
        <w:tc>
          <w:tcPr>
            <w:tcW w:type="dxa" w:w="4680"/>
          </w:tcPr>
          <w:p>
            <w:pPr>
              <w:pStyle w:val="Compact"/>
              <w:jc w:val="left"/>
            </w:pPr>
            <w:r>
              <w:t xml:space="preserve">Protocol, architecture, security and interoperability recommendations.</w:t>
            </w:r>
          </w:p>
        </w:tc>
      </w:tr>
      <w:tr>
        <w:tc>
          <w:tcPr>
            <w:tcW w:type="dxa" w:w="4680"/>
          </w:tcPr>
          <w:p>
            <w:pPr>
              <w:pStyle w:val="Compact"/>
              <w:jc w:val="left"/>
            </w:pPr>
            <w:r>
              <w:t xml:space="preserve">Risk and Compliance Council</w:t>
            </w:r>
          </w:p>
        </w:tc>
        <w:tc>
          <w:tcPr>
            <w:tcW w:type="dxa" w:w="4680"/>
          </w:tcPr>
          <w:p>
            <w:pPr>
              <w:pStyle w:val="Compact"/>
              <w:jc w:val="left"/>
            </w:pPr>
            <w:r>
              <w:t xml:space="preserve">Regulated product boundaries, AML/CTF, privacy and operational risk.</w:t>
            </w:r>
          </w:p>
        </w:tc>
      </w:tr>
      <w:tr>
        <w:tc>
          <w:tcPr>
            <w:tcW w:type="dxa" w:w="4680"/>
          </w:tcPr>
          <w:p>
            <w:pPr>
              <w:pStyle w:val="Compact"/>
              <w:jc w:val="left"/>
            </w:pPr>
            <w:r>
              <w:t xml:space="preserve">Cultural Steward Council</w:t>
            </w:r>
          </w:p>
        </w:tc>
        <w:tc>
          <w:tcPr>
            <w:tcW w:type="dxa" w:w="4680"/>
          </w:tcPr>
          <w:p>
            <w:pPr>
              <w:pStyle w:val="Compact"/>
              <w:jc w:val="left"/>
            </w:pPr>
            <w:r>
              <w:t xml:space="preserve">Cultural permissions, restrictions, attribution and benefit sharing.</w:t>
            </w:r>
          </w:p>
        </w:tc>
      </w:tr>
      <w:tr>
        <w:tc>
          <w:tcPr>
            <w:tcW w:type="dxa" w:w="4680"/>
          </w:tcPr>
          <w:p>
            <w:pPr>
              <w:pStyle w:val="Compact"/>
              <w:jc w:val="left"/>
            </w:pPr>
            <w:r>
              <w:t xml:space="preserve">Independent review and appeals</w:t>
            </w:r>
          </w:p>
        </w:tc>
        <w:tc>
          <w:tcPr>
            <w:tcW w:type="dxa" w:w="4680"/>
          </w:tcPr>
          <w:p>
            <w:pPr>
              <w:pStyle w:val="Compact"/>
              <w:jc w:val="left"/>
            </w:pPr>
            <w:r>
              <w:t xml:space="preserve">Disputes, conflicts and complaints requiring separation from the operating team.</w:t>
            </w:r>
          </w:p>
        </w:tc>
      </w:tr>
      <w:tr>
        <w:tc>
          <w:tcPr>
            <w:tcW w:type="dxa" w:w="4680"/>
          </w:tcPr>
          <w:p>
            <w:pPr>
              <w:pStyle w:val="Compact"/>
              <w:jc w:val="left"/>
            </w:pPr>
            <w:r>
              <w:t xml:space="preserve">Token-holder process</w:t>
            </w:r>
          </w:p>
        </w:tc>
        <w:tc>
          <w:tcPr>
            <w:tcW w:type="dxa" w:w="4680"/>
          </w:tcPr>
          <w:p>
            <w:pPr>
              <w:pStyle w:val="Compact"/>
              <w:jc w:val="left"/>
            </w:pPr>
            <w:r>
              <w:t xml:space="preserve">Only defined economic or protocol matters after legal review and safeguards.</w:t>
            </w:r>
          </w:p>
        </w:tc>
      </w:tr>
    </w:tbl>
    <w:p>
      <w:pPr>
        <w:pStyle w:val="Heading2"/>
      </w:pPr>
      <w:bookmarkStart w:id="73" w:name="founder-transition"/>
      <w:r>
        <w:t xml:space="preserve">Founder transition</w:t>
      </w:r>
      <w:bookmarkEnd w:id="73"/>
    </w:p>
    <w:p>
      <w:pPr>
        <w:pStyle w:val="FirstParagraph"/>
      </w:pPr>
      <w:r>
        <w:t xml:space="preserve">Prelaunch requires decisive founder control because the product, legal entity and safety architecture are unfinished. The transition from founder control to broader governance should be milestone based, not date based. Milestones include a formal company, independent directors or advisers, audited financial controls, operational security, partner pilots, transparent treasury reporting and tested citizen participation.</w:t>
      </w:r>
    </w:p>
    <w:p>
      <w:pPr>
        <w:pStyle w:val="Heading1"/>
      </w:pPr>
      <w:bookmarkStart w:id="74" w:name="indx-token-design-boundary"/>
      <w:r>
        <w:t xml:space="preserve">18. INDX Token Design Boundary</w:t>
      </w:r>
      <w:bookmarkEnd w:id="74"/>
    </w:p>
    <w:tbl>
      <w:tblPr>
        <w:tblStyle w:val="Table"/>
        <w:tblW w:type="dxa" w:w="9360"/>
        <w:tblLook w:firstRow="1"/>
        <w:tblLayout w:type="fixed"/>
      </w:tblPr>
      <w:tblGrid>
        <w:gridCol w:w="576"/>
        <w:gridCol w:w="8784"/>
      </w:tblGrid>
      <w:tr>
        <w:trPr>
          <w:cnfStyle w:firstRow="1"/>
        </w:trPr>
        <w:tc>
          <w:tcPr>
            <w:tcW w:type="dxa" w:w="576"/>
            <w:tcBorders>
              <w:bottom w:val="single"/>
            </w:tcBorders>
            <w:vAlign w:val="bottom"/>
          </w:tcPr>
          <w:p/>
        </w:tc>
        <w:tc>
          <w:tcPr>
            <w:tcW w:type="dxa" w:w="8784"/>
            <w:tcBorders>
              <w:bottom w:val="single"/>
            </w:tcBorders>
            <w:vAlign w:val="bottom"/>
          </w:tcPr>
          <w:p>
            <w:pPr>
              <w:pStyle w:val="Compact"/>
              <w:jc w:val="left"/>
            </w:pPr>
            <w:r>
              <w:rPr>
                <w:b/>
              </w:rPr>
              <w:t xml:space="preserve">No offer:</w:t>
            </w:r>
            <w:r>
              <w:t xml:space="preserve"> </w:t>
            </w:r>
            <w:r>
              <w:t xml:space="preserve">This whitepaper does not offer INDX for sale and does not state a token price, target valuation, guaranteed appreciation, APY, staking return, dividend or passive-income promise.</w:t>
            </w:r>
          </w:p>
        </w:tc>
      </w:tr>
    </w:tbl>
    <w:p>
      <w:pPr>
        <w:pStyle w:val="BodyText"/>
      </w:pPr>
      <w:r>
        <w:t xml:space="preserve">INDX is the proposed digital utility and settlement asset of the IN$DEX civilisation. It may support eligible payments, protocol fees, defined governance, service credits, rewards funded by real economic activity and portable ecosystem participation.</w:t>
      </w:r>
    </w:p>
    <w:p>
      <w:pPr>
        <w:pStyle w:val="BodyText"/>
      </w:pPr>
      <w:r>
        <w:t xml:space="preserve">The token must not become the citizen’s identity, a condition of essential access, or the sole route to services. Citizens should be able to receive education, protection, credentials and service navigation without speculative token exposure.</w:t>
      </w:r>
    </w:p>
    <w:p>
      <w:pPr>
        <w:pStyle w:val="Heading2"/>
      </w:pPr>
      <w:bookmarkStart w:id="75" w:name="design-parameters-under-review"/>
      <w:r>
        <w:t xml:space="preserve">Design parameters under review</w:t>
      </w:r>
      <w:bookmarkEnd w:id="75"/>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Parameter</w:t>
            </w:r>
          </w:p>
        </w:tc>
        <w:tc>
          <w:tcPr>
            <w:tcW w:type="dxa" w:w="4680"/>
            <w:tcBorders>
              <w:bottom w:val="single"/>
            </w:tcBorders>
            <w:vAlign w:val="bottom"/>
          </w:tcPr>
          <w:p>
            <w:pPr>
              <w:pStyle w:val="Compact"/>
              <w:jc w:val="left"/>
            </w:pPr>
            <w:r>
              <w:rPr>
                <w:b/>
              </w:rPr>
              <w:t xml:space="preserve">Current design position</w:t>
            </w:r>
          </w:p>
        </w:tc>
      </w:tr>
      <w:tr>
        <w:tc>
          <w:tcPr>
            <w:tcW w:type="dxa" w:w="4680"/>
          </w:tcPr>
          <w:p>
            <w:pPr>
              <w:pStyle w:val="Compact"/>
              <w:jc w:val="left"/>
            </w:pPr>
            <w:r>
              <w:t xml:space="preserve">Network</w:t>
            </w:r>
          </w:p>
        </w:tc>
        <w:tc>
          <w:tcPr>
            <w:tcW w:type="dxa" w:w="4680"/>
          </w:tcPr>
          <w:p>
            <w:pPr>
              <w:pStyle w:val="Compact"/>
              <w:jc w:val="left"/>
            </w:pPr>
            <w:r>
              <w:t xml:space="preserve">Solana Token-2022 is the current intended implementation rail.</w:t>
            </w:r>
          </w:p>
        </w:tc>
      </w:tr>
      <w:tr>
        <w:tc>
          <w:tcPr>
            <w:tcW w:type="dxa" w:w="4680"/>
          </w:tcPr>
          <w:p>
            <w:pPr>
              <w:pStyle w:val="Compact"/>
              <w:jc w:val="left"/>
            </w:pPr>
            <w:r>
              <w:t xml:space="preserve">Maximum supply</w:t>
            </w:r>
          </w:p>
        </w:tc>
        <w:tc>
          <w:tcPr>
            <w:tcW w:type="dxa" w:w="4680"/>
          </w:tcPr>
          <w:p>
            <w:pPr>
              <w:pStyle w:val="Compact"/>
              <w:jc w:val="left"/>
            </w:pPr>
            <w:r>
              <w:t xml:space="preserve">100,000,000 INDX is the founder design parameter, subject to final verification and legal approval.</w:t>
            </w:r>
          </w:p>
        </w:tc>
      </w:tr>
      <w:tr>
        <w:tc>
          <w:tcPr>
            <w:tcW w:type="dxa" w:w="4680"/>
          </w:tcPr>
          <w:p>
            <w:pPr>
              <w:pStyle w:val="Compact"/>
              <w:jc w:val="left"/>
            </w:pPr>
            <w:r>
              <w:t xml:space="preserve">Mint and freeze authority</w:t>
            </w:r>
          </w:p>
        </w:tc>
        <w:tc>
          <w:tcPr>
            <w:tcW w:type="dxa" w:w="4680"/>
          </w:tcPr>
          <w:p>
            <w:pPr>
              <w:pStyle w:val="Compact"/>
              <w:jc w:val="left"/>
            </w:pPr>
            <w:r>
              <w:t xml:space="preserve">Intended to be retired after controlled issuance, subject to audit and recovery analysis.</w:t>
            </w:r>
          </w:p>
        </w:tc>
      </w:tr>
      <w:tr>
        <w:tc>
          <w:tcPr>
            <w:tcW w:type="dxa" w:w="4680"/>
          </w:tcPr>
          <w:p>
            <w:pPr>
              <w:pStyle w:val="Compact"/>
              <w:jc w:val="left"/>
            </w:pPr>
            <w:r>
              <w:t xml:space="preserve">Transfer controls</w:t>
            </w:r>
          </w:p>
        </w:tc>
        <w:tc>
          <w:tcPr>
            <w:tcW w:type="dxa" w:w="4680"/>
          </w:tcPr>
          <w:p>
            <w:pPr>
              <w:pStyle w:val="Compact"/>
              <w:jc w:val="left"/>
            </w:pPr>
            <w:r>
              <w:t xml:space="preserve">No permanent delegate, transfer hook, fee, pause or confidential-transfer claim will be made without a verified on-chain capability record.</w:t>
            </w:r>
          </w:p>
        </w:tc>
      </w:tr>
      <w:tr>
        <w:tc>
          <w:tcPr>
            <w:tcW w:type="dxa" w:w="4680"/>
          </w:tcPr>
          <w:p>
            <w:pPr>
              <w:pStyle w:val="Compact"/>
              <w:jc w:val="left"/>
            </w:pPr>
            <w:r>
              <w:t xml:space="preserve">Allocation and vesting</w:t>
            </w:r>
          </w:p>
        </w:tc>
        <w:tc>
          <w:tcPr>
            <w:tcW w:type="dxa" w:w="4680"/>
          </w:tcPr>
          <w:p>
            <w:pPr>
              <w:pStyle w:val="Compact"/>
              <w:jc w:val="left"/>
            </w:pPr>
            <w:r>
              <w:t xml:space="preserve">Requires a published schedule, conflict controls, treasury policy and independent review.</w:t>
            </w:r>
          </w:p>
        </w:tc>
      </w:tr>
      <w:tr>
        <w:tc>
          <w:tcPr>
            <w:tcW w:type="dxa" w:w="4680"/>
          </w:tcPr>
          <w:p>
            <w:pPr>
              <w:pStyle w:val="Compact"/>
              <w:jc w:val="left"/>
            </w:pPr>
            <w:r>
              <w:t xml:space="preserve">Liquidity</w:t>
            </w:r>
          </w:p>
        </w:tc>
        <w:tc>
          <w:tcPr>
            <w:tcW w:type="dxa" w:w="4680"/>
          </w:tcPr>
          <w:p>
            <w:pPr>
              <w:pStyle w:val="Compact"/>
              <w:jc w:val="left"/>
            </w:pPr>
            <w:r>
              <w:t xml:space="preserve">Requires source-of-funds evidence, market-integrity controls, risk disclosure and legal approval.</w:t>
            </w:r>
          </w:p>
        </w:tc>
      </w:tr>
      <w:tr>
        <w:tc>
          <w:tcPr>
            <w:tcW w:type="dxa" w:w="4680"/>
          </w:tcPr>
          <w:p>
            <w:pPr>
              <w:pStyle w:val="Compact"/>
              <w:jc w:val="left"/>
            </w:pPr>
            <w:r>
              <w:t xml:space="preserve">Staking or yield</w:t>
            </w:r>
          </w:p>
        </w:tc>
        <w:tc>
          <w:tcPr>
            <w:tcW w:type="dxa" w:w="4680"/>
          </w:tcPr>
          <w:p>
            <w:pPr>
              <w:pStyle w:val="Compact"/>
              <w:jc w:val="left"/>
            </w:pPr>
            <w:r>
              <w:t xml:space="preserve">Excluded from public launch unless the product, source of return, risks and licensing position are approved.</w:t>
            </w:r>
          </w:p>
        </w:tc>
      </w:tr>
    </w:tbl>
    <w:p>
      <w:pPr>
        <w:pStyle w:val="Heading2"/>
      </w:pPr>
      <w:bookmarkStart w:id="76" w:name="token-capability-record"/>
      <w:r>
        <w:t xml:space="preserve">Token Capability Record</w:t>
      </w:r>
      <w:bookmarkEnd w:id="76"/>
    </w:p>
    <w:p>
      <w:pPr>
        <w:pStyle w:val="FirstParagraph"/>
      </w:pPr>
      <w:r>
        <w:t xml:space="preserve">Token-2022 supports powerful extensions. Some may allow transfer fees, transfer hooks, confidential amounts, pausing or a permanent delegate with authority over every token account. These capabilities must be selected deliberately and verified on-chain. A permanent delegate, for example, can authorise transfers or burns from token accounts and cannot be revoked by individual holders.[17][18]</w:t>
      </w:r>
    </w:p>
    <w:p>
      <w:pPr>
        <w:pStyle w:val="BodyText"/>
      </w:pPr>
      <w:r>
        <w:t xml:space="preserve">Before any token marketing, IN$DEX will publish a capability record containing the mint address, programme, supply, authorities, extensions, metadata control, treasury addresses, vesting, holder concentration and independent audit status.</w:t>
      </w:r>
    </w:p>
    <w:p>
      <w:pPr>
        <w:pStyle w:val="Heading2"/>
      </w:pPr>
      <w:bookmarkStart w:id="77" w:name="the-982-civilisation-covenant"/>
      <w:r>
        <w:t xml:space="preserve">The 98/2 Civilisation Covenant</w:t>
      </w:r>
      <w:bookmarkEnd w:id="77"/>
    </w:p>
    <w:p>
      <w:pPr>
        <w:pStyle w:val="FirstParagraph"/>
      </w:pPr>
      <w:r>
        <w:t xml:space="preserve">The original universal 98/2 fee rule is narrowed to avoid misleading total-cost claims.</w:t>
      </w:r>
    </w:p>
    <w:p>
      <w:pPr>
        <w:pStyle w:val="BodyText"/>
      </w:pPr>
      <w:r>
        <w:t xml:space="preserve">For eligible IN$DEX-native service revenue, 98% of the defined distributable value is allocated to the citizen or service provider and 2% to the Civilisation Fund. Taxes, refunds, network costs, licensed-provider charges, exchange costs, reserves and other third-party fees are disclosed separately. The covenant does not override law, consumer rights or provider obligations.</w:t>
      </w:r>
    </w:p>
    <w:p>
      <w:pPr>
        <w:pStyle w:val="Heading1"/>
      </w:pPr>
      <w:bookmarkStart w:id="78" w:name="business-and-economic-model"/>
      <w:r>
        <w:t xml:space="preserve">19. Business and Economic Model</w:t>
      </w:r>
      <w:bookmarkEnd w:id="78"/>
    </w:p>
    <w:p>
      <w:pPr>
        <w:pStyle w:val="FirstParagraph"/>
      </w:pPr>
      <w:r>
        <w:t xml:space="preserve">IN$DEX must be sustainable without relying on token appreciation, forced attention or the sale of citizen data. The initial commercial model is service-led and partner-led.</w:t>
      </w:r>
    </w:p>
    <w:tbl>
      <w:tblPr>
        <w:tblStyle w:val="Table"/>
        <w:tblW w:type="dxa" w:w="9360"/>
        <w:tblLook w:firstRow="1"/>
        <w:tblLayout w:type="fixed"/>
      </w:tblPr>
      <w:tblGrid>
        <w:gridCol w:w="3120"/>
        <w:gridCol w:w="3120"/>
        <w:gridCol w:w="3120"/>
      </w:tblGrid>
      <w:tr>
        <w:trPr>
          <w:cnfStyle w:firstRow="1"/>
        </w:trPr>
        <w:tc>
          <w:tcPr>
            <w:tcW w:type="dxa" w:w="3120"/>
            <w:tcBorders>
              <w:bottom w:val="single"/>
            </w:tcBorders>
            <w:vAlign w:val="bottom"/>
          </w:tcPr>
          <w:p>
            <w:pPr>
              <w:pStyle w:val="Compact"/>
              <w:jc w:val="left"/>
            </w:pPr>
            <w:r>
              <w:rPr>
                <w:b/>
              </w:rPr>
              <w:t xml:space="preserve">Revenue line</w:t>
            </w:r>
          </w:p>
        </w:tc>
        <w:tc>
          <w:tcPr>
            <w:tcW w:type="dxa" w:w="3120"/>
            <w:tcBorders>
              <w:bottom w:val="single"/>
            </w:tcBorders>
            <w:vAlign w:val="bottom"/>
          </w:tcPr>
          <w:p>
            <w:pPr>
              <w:pStyle w:val="Compact"/>
              <w:jc w:val="left"/>
            </w:pPr>
            <w:r>
              <w:rPr>
                <w:b/>
              </w:rPr>
              <w:t xml:space="preserve">Customer</w:t>
            </w:r>
          </w:p>
        </w:tc>
        <w:tc>
          <w:tcPr>
            <w:tcW w:type="dxa" w:w="3120"/>
            <w:tcBorders>
              <w:bottom w:val="single"/>
            </w:tcBorders>
            <w:vAlign w:val="bottom"/>
          </w:tcPr>
          <w:p>
            <w:pPr>
              <w:pStyle w:val="Compact"/>
              <w:jc w:val="left"/>
            </w:pPr>
            <w:r>
              <w:rPr>
                <w:b/>
              </w:rPr>
              <w:t xml:space="preserve">Value delivered</w:t>
            </w:r>
          </w:p>
        </w:tc>
      </w:tr>
      <w:tr>
        <w:tc>
          <w:tcPr>
            <w:tcW w:type="dxa" w:w="3120"/>
          </w:tcPr>
          <w:p>
            <w:pPr>
              <w:pStyle w:val="Compact"/>
              <w:jc w:val="left"/>
            </w:pPr>
            <w:r>
              <w:t xml:space="preserve">Institutional SIINDEX deployment</w:t>
            </w:r>
          </w:p>
        </w:tc>
        <w:tc>
          <w:tcPr>
            <w:tcW w:type="dxa" w:w="3120"/>
          </w:tcPr>
          <w:p>
            <w:pPr>
              <w:pStyle w:val="Compact"/>
              <w:jc w:val="left"/>
            </w:pPr>
            <w:r>
              <w:t xml:space="preserve">TAFEs, universities, NGOs, employers, governments</w:t>
            </w:r>
          </w:p>
        </w:tc>
        <w:tc>
          <w:tcPr>
            <w:tcW w:type="dxa" w:w="3120"/>
          </w:tcPr>
          <w:p>
            <w:pPr>
              <w:pStyle w:val="Compact"/>
              <w:jc w:val="left"/>
            </w:pPr>
            <w:r>
              <w:t xml:space="preserve">Controlled workspaces, service navigation, evidence, reporting and citizen support.</w:t>
            </w:r>
          </w:p>
        </w:tc>
      </w:tr>
      <w:tr>
        <w:tc>
          <w:tcPr>
            <w:tcW w:type="dxa" w:w="3120"/>
          </w:tcPr>
          <w:p>
            <w:pPr>
              <w:pStyle w:val="Compact"/>
              <w:jc w:val="left"/>
            </w:pPr>
            <w:r>
              <w:t xml:space="preserve">Partner implementation</w:t>
            </w:r>
          </w:p>
        </w:tc>
        <w:tc>
          <w:tcPr>
            <w:tcW w:type="dxa" w:w="3120"/>
          </w:tcPr>
          <w:p>
            <w:pPr>
              <w:pStyle w:val="Compact"/>
              <w:jc w:val="left"/>
            </w:pPr>
            <w:r>
              <w:t xml:space="preserve">Financial, telecom and technology providers</w:t>
            </w:r>
          </w:p>
        </w:tc>
        <w:tc>
          <w:tcPr>
            <w:tcW w:type="dxa" w:w="3120"/>
          </w:tcPr>
          <w:p>
            <w:pPr>
              <w:pStyle w:val="Compact"/>
              <w:jc w:val="left"/>
            </w:pPr>
            <w:r>
              <w:t xml:space="preserve">Citizen experience, consent, orchestration, integration and pilot operations.</w:t>
            </w:r>
          </w:p>
        </w:tc>
      </w:tr>
      <w:tr>
        <w:tc>
          <w:tcPr>
            <w:tcW w:type="dxa" w:w="3120"/>
          </w:tcPr>
          <w:p>
            <w:pPr>
              <w:pStyle w:val="Compact"/>
              <w:jc w:val="left"/>
            </w:pPr>
            <w:r>
              <w:t xml:space="preserve">Merchant operating tools</w:t>
            </w:r>
          </w:p>
        </w:tc>
        <w:tc>
          <w:tcPr>
            <w:tcW w:type="dxa" w:w="3120"/>
          </w:tcPr>
          <w:p>
            <w:pPr>
              <w:pStyle w:val="Compact"/>
              <w:jc w:val="left"/>
            </w:pPr>
            <w:r>
              <w:t xml:space="preserve">Micro and small businesses</w:t>
            </w:r>
          </w:p>
        </w:tc>
        <w:tc>
          <w:tcPr>
            <w:tcW w:type="dxa" w:w="3120"/>
          </w:tcPr>
          <w:p>
            <w:pPr>
              <w:pStyle w:val="Compact"/>
              <w:jc w:val="left"/>
            </w:pPr>
            <w:r>
              <w:t xml:space="preserve">Listings, content, invoices, workflow, records and customer support.</w:t>
            </w:r>
          </w:p>
        </w:tc>
      </w:tr>
      <w:tr>
        <w:tc>
          <w:tcPr>
            <w:tcW w:type="dxa" w:w="3120"/>
          </w:tcPr>
          <w:p>
            <w:pPr>
              <w:pStyle w:val="Compact"/>
              <w:jc w:val="left"/>
            </w:pPr>
            <w:r>
              <w:t xml:space="preserve">Credential services</w:t>
            </w:r>
          </w:p>
        </w:tc>
        <w:tc>
          <w:tcPr>
            <w:tcW w:type="dxa" w:w="3120"/>
          </w:tcPr>
          <w:p>
            <w:pPr>
              <w:pStyle w:val="Compact"/>
              <w:jc w:val="left"/>
            </w:pPr>
            <w:r>
              <w:t xml:space="preserve">Issuers and verifiers</w:t>
            </w:r>
          </w:p>
        </w:tc>
        <w:tc>
          <w:tcPr>
            <w:tcW w:type="dxa" w:w="3120"/>
          </w:tcPr>
          <w:p>
            <w:pPr>
              <w:pStyle w:val="Compact"/>
              <w:jc w:val="left"/>
            </w:pPr>
            <w:r>
              <w:t xml:space="preserve">Credential issuance, presentation, trust registries and verification.</w:t>
            </w:r>
          </w:p>
        </w:tc>
      </w:tr>
      <w:tr>
        <w:tc>
          <w:tcPr>
            <w:tcW w:type="dxa" w:w="3120"/>
          </w:tcPr>
          <w:p>
            <w:pPr>
              <w:pStyle w:val="Compact"/>
              <w:jc w:val="left"/>
            </w:pPr>
            <w:r>
              <w:t xml:space="preserve">Workflow and agent services</w:t>
            </w:r>
          </w:p>
        </w:tc>
        <w:tc>
          <w:tcPr>
            <w:tcW w:type="dxa" w:w="3120"/>
          </w:tcPr>
          <w:p>
            <w:pPr>
              <w:pStyle w:val="Compact"/>
              <w:jc w:val="left"/>
            </w:pPr>
            <w:r>
              <w:t xml:space="preserve">Citizens and institutions</w:t>
            </w:r>
          </w:p>
        </w:tc>
        <w:tc>
          <w:tcPr>
            <w:tcW w:type="dxa" w:w="3120"/>
          </w:tcPr>
          <w:p>
            <w:pPr>
              <w:pStyle w:val="Compact"/>
              <w:jc w:val="left"/>
            </w:pPr>
            <w:r>
              <w:t xml:space="preserve">Prepared work, scheduled tasks, approvals, deliverables and receipts.</w:t>
            </w:r>
          </w:p>
        </w:tc>
      </w:tr>
      <w:tr>
        <w:tc>
          <w:tcPr>
            <w:tcW w:type="dxa" w:w="3120"/>
          </w:tcPr>
          <w:p>
            <w:pPr>
              <w:pStyle w:val="Compact"/>
              <w:jc w:val="left"/>
            </w:pPr>
            <w:r>
              <w:t xml:space="preserve">Marketplace services</w:t>
            </w:r>
          </w:p>
        </w:tc>
        <w:tc>
          <w:tcPr>
            <w:tcW w:type="dxa" w:w="3120"/>
          </w:tcPr>
          <w:p>
            <w:pPr>
              <w:pStyle w:val="Compact"/>
              <w:jc w:val="left"/>
            </w:pPr>
            <w:r>
              <w:t xml:space="preserve">Merchants and creators</w:t>
            </w:r>
          </w:p>
        </w:tc>
        <w:tc>
          <w:tcPr>
            <w:tcW w:type="dxa" w:w="3120"/>
          </w:tcPr>
          <w:p>
            <w:pPr>
              <w:pStyle w:val="Compact"/>
              <w:jc w:val="left"/>
            </w:pPr>
            <w:r>
              <w:t xml:space="preserve">Approved commerce, fulfilment, disputes and revenue distribution.</w:t>
            </w:r>
          </w:p>
        </w:tc>
      </w:tr>
      <w:tr>
        <w:tc>
          <w:tcPr>
            <w:tcW w:type="dxa" w:w="3120"/>
          </w:tcPr>
          <w:p>
            <w:pPr>
              <w:pStyle w:val="Compact"/>
              <w:jc w:val="left"/>
            </w:pPr>
            <w:r>
              <w:t xml:space="preserve">Cultural-rights administration</w:t>
            </w:r>
          </w:p>
        </w:tc>
        <w:tc>
          <w:tcPr>
            <w:tcW w:type="dxa" w:w="3120"/>
          </w:tcPr>
          <w:p>
            <w:pPr>
              <w:pStyle w:val="Compact"/>
              <w:jc w:val="left"/>
            </w:pPr>
            <w:r>
              <w:t xml:space="preserve">Creators, communities and institutions</w:t>
            </w:r>
          </w:p>
        </w:tc>
        <w:tc>
          <w:tcPr>
            <w:tcW w:type="dxa" w:w="3120"/>
          </w:tcPr>
          <w:p>
            <w:pPr>
              <w:pStyle w:val="Compact"/>
              <w:jc w:val="left"/>
            </w:pPr>
            <w:r>
              <w:t xml:space="preserve">Permission, attribution, licensing, review and benefit-sharing records.</w:t>
            </w:r>
          </w:p>
        </w:tc>
      </w:tr>
      <w:tr>
        <w:tc>
          <w:tcPr>
            <w:tcW w:type="dxa" w:w="3120"/>
          </w:tcPr>
          <w:p>
            <w:pPr>
              <w:pStyle w:val="Compact"/>
              <w:jc w:val="left"/>
            </w:pPr>
            <w:r>
              <w:t xml:space="preserve">Developer services</w:t>
            </w:r>
          </w:p>
        </w:tc>
        <w:tc>
          <w:tcPr>
            <w:tcW w:type="dxa" w:w="3120"/>
          </w:tcPr>
          <w:p>
            <w:pPr>
              <w:pStyle w:val="Compact"/>
              <w:jc w:val="left"/>
            </w:pPr>
            <w:r>
              <w:t xml:space="preserve">Integrators and builders</w:t>
            </w:r>
          </w:p>
        </w:tc>
        <w:tc>
          <w:tcPr>
            <w:tcW w:type="dxa" w:w="3120"/>
          </w:tcPr>
          <w:p>
            <w:pPr>
              <w:pStyle w:val="Compact"/>
              <w:jc w:val="left"/>
            </w:pPr>
            <w:r>
              <w:t xml:space="preserve">APIs, SDKs, components, sandbox and support.</w:t>
            </w:r>
          </w:p>
        </w:tc>
      </w:tr>
      <w:tr>
        <w:tc>
          <w:tcPr>
            <w:tcW w:type="dxa" w:w="3120"/>
          </w:tcPr>
          <w:p>
            <w:pPr>
              <w:pStyle w:val="Compact"/>
              <w:jc w:val="left"/>
            </w:pPr>
            <w:r>
              <w:t xml:space="preserve">Connectivity administration</w:t>
            </w:r>
          </w:p>
        </w:tc>
        <w:tc>
          <w:tcPr>
            <w:tcW w:type="dxa" w:w="3120"/>
          </w:tcPr>
          <w:p>
            <w:pPr>
              <w:pStyle w:val="Compact"/>
              <w:jc w:val="left"/>
            </w:pPr>
            <w:r>
              <w:t xml:space="preserve">Telecom partners and sponsors</w:t>
            </w:r>
          </w:p>
        </w:tc>
        <w:tc>
          <w:tcPr>
            <w:tcW w:type="dxa" w:w="3120"/>
          </w:tcPr>
          <w:p>
            <w:pPr>
              <w:pStyle w:val="Compact"/>
              <w:jc w:val="left"/>
            </w:pPr>
            <w:r>
              <w:t xml:space="preserve">Plan orchestration, support, billing display, risk and migration.</w:t>
            </w:r>
          </w:p>
        </w:tc>
      </w:tr>
    </w:tbl>
    <w:p>
      <w:pPr>
        <w:pStyle w:val="Heading2"/>
      </w:pPr>
      <w:bookmarkStart w:id="79" w:name="unit-economics-before-scale"/>
      <w:r>
        <w:t xml:space="preserve">Unit economics before scale</w:t>
      </w:r>
      <w:bookmarkEnd w:id="79"/>
    </w:p>
    <w:p>
      <w:pPr>
        <w:pStyle w:val="FirstParagraph"/>
      </w:pPr>
      <w:r>
        <w:t xml:space="preserve">Each pilot must measure the cost of onboarding, model use, human review, support, provider fees, fraud losses, infrastructure, compliance and recovery. A service is not commercially viable because a simulator shows revenue. It becomes viable when the complete delivered cost is lower than the value created and the citizen outcome remains positive.</w:t>
      </w:r>
    </w:p>
    <w:p>
      <w:pPr>
        <w:pStyle w:val="Heading2"/>
      </w:pPr>
      <w:bookmarkStart w:id="80" w:name="civilisation-fund"/>
      <w:r>
        <w:t xml:space="preserve">Civilisation Fund</w:t>
      </w:r>
      <w:bookmarkEnd w:id="80"/>
    </w:p>
    <w:p>
      <w:pPr>
        <w:pStyle w:val="FirstParagraph"/>
      </w:pPr>
      <w:r>
        <w:t xml:space="preserve">The Civilisation Fund is intended to support liquidity where approved, security, operations, citizen protection, community programmes and long-term infrastructure. Its allocation requires a treasury policy, conflict controls, transparent reporting, audit and governance. It is not an automatic investment pool or insurance promise.</w:t>
      </w:r>
    </w:p>
    <w:p>
      <w:pPr>
        <w:pStyle w:val="Heading1"/>
      </w:pPr>
      <w:bookmarkStart w:id="81" w:name="partnership-model"/>
      <w:r>
        <w:t xml:space="preserve">20. Partnership Model</w:t>
      </w:r>
      <w:bookmarkEnd w:id="81"/>
    </w:p>
    <w:p>
      <w:pPr>
        <w:pStyle w:val="FirstParagraph"/>
      </w:pPr>
      <w:r>
        <w:t xml:space="preserve">IN$DEX does not need every partner at once. It needs partners who can prove one complete citizen outcome.</w:t>
      </w:r>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Partner category</w:t>
            </w:r>
          </w:p>
        </w:tc>
        <w:tc>
          <w:tcPr>
            <w:tcW w:type="dxa" w:w="4680"/>
            <w:tcBorders>
              <w:bottom w:val="single"/>
            </w:tcBorders>
            <w:vAlign w:val="bottom"/>
          </w:tcPr>
          <w:p>
            <w:pPr>
              <w:pStyle w:val="Compact"/>
              <w:jc w:val="left"/>
            </w:pPr>
            <w:r>
              <w:rPr>
                <w:b/>
              </w:rPr>
              <w:t xml:space="preserve">Initial collaboration</w:t>
            </w:r>
          </w:p>
        </w:tc>
      </w:tr>
      <w:tr>
        <w:tc>
          <w:tcPr>
            <w:tcW w:type="dxa" w:w="4680"/>
          </w:tcPr>
          <w:p>
            <w:pPr>
              <w:pStyle w:val="Compact"/>
              <w:jc w:val="left"/>
            </w:pPr>
            <w:r>
              <w:t xml:space="preserve">Community or Pacific organisation</w:t>
            </w:r>
          </w:p>
        </w:tc>
        <w:tc>
          <w:tcPr>
            <w:tcW w:type="dxa" w:w="4680"/>
          </w:tcPr>
          <w:p>
            <w:pPr>
              <w:pStyle w:val="Compact"/>
              <w:jc w:val="left"/>
            </w:pPr>
            <w:r>
              <w:t xml:space="preserve">Recruit a controlled cohort, co-design language and support, validate cultural and practical fit.</w:t>
            </w:r>
          </w:p>
        </w:tc>
      </w:tr>
      <w:tr>
        <w:tc>
          <w:tcPr>
            <w:tcW w:type="dxa" w:w="4680"/>
          </w:tcPr>
          <w:p>
            <w:pPr>
              <w:pStyle w:val="Compact"/>
              <w:jc w:val="left"/>
            </w:pPr>
            <w:r>
              <w:t xml:space="preserve">PALM employer or worker-support organisation</w:t>
            </w:r>
          </w:p>
        </w:tc>
        <w:tc>
          <w:tcPr>
            <w:tcW w:type="dxa" w:w="4680"/>
          </w:tcPr>
          <w:p>
            <w:pPr>
              <w:pStyle w:val="Compact"/>
              <w:jc w:val="left"/>
            </w:pPr>
            <w:r>
              <w:t xml:space="preserve">Worker onboarding, family-support planning, skills and service navigation.</w:t>
            </w:r>
          </w:p>
        </w:tc>
      </w:tr>
      <w:tr>
        <w:tc>
          <w:tcPr>
            <w:tcW w:type="dxa" w:w="4680"/>
          </w:tcPr>
          <w:p>
            <w:pPr>
              <w:pStyle w:val="Compact"/>
              <w:jc w:val="left"/>
            </w:pPr>
            <w:r>
              <w:t xml:space="preserve">Registered remittance or payment provider</w:t>
            </w:r>
          </w:p>
        </w:tc>
        <w:tc>
          <w:tcPr>
            <w:tcW w:type="dxa" w:w="4680"/>
          </w:tcPr>
          <w:p>
            <w:pPr>
              <w:pStyle w:val="Compact"/>
              <w:jc w:val="left"/>
            </w:pPr>
            <w:r>
              <w:t xml:space="preserve">Sandbox comparison, application and approved transfer journey.</w:t>
            </w:r>
          </w:p>
        </w:tc>
      </w:tr>
      <w:tr>
        <w:tc>
          <w:tcPr>
            <w:tcW w:type="dxa" w:w="4680"/>
          </w:tcPr>
          <w:p>
            <w:pPr>
              <w:pStyle w:val="Compact"/>
              <w:jc w:val="left"/>
            </w:pPr>
            <w:r>
              <w:t xml:space="preserve">Bank or VASP</w:t>
            </w:r>
          </w:p>
        </w:tc>
        <w:tc>
          <w:tcPr>
            <w:tcW w:type="dxa" w:w="4680"/>
          </w:tcPr>
          <w:p>
            <w:pPr>
              <w:pStyle w:val="Compact"/>
              <w:jc w:val="left"/>
            </w:pPr>
            <w:r>
              <w:t xml:space="preserve">Eligibility, account or settlement pilot with clear provider responsibility.</w:t>
            </w:r>
          </w:p>
        </w:tc>
      </w:tr>
      <w:tr>
        <w:tc>
          <w:tcPr>
            <w:tcW w:type="dxa" w:w="4680"/>
          </w:tcPr>
          <w:p>
            <w:pPr>
              <w:pStyle w:val="Compact"/>
              <w:jc w:val="left"/>
            </w:pPr>
            <w:r>
              <w:t xml:space="preserve">TAFE or university</w:t>
            </w:r>
          </w:p>
        </w:tc>
        <w:tc>
          <w:tcPr>
            <w:tcW w:type="dxa" w:w="4680"/>
          </w:tcPr>
          <w:p>
            <w:pPr>
              <w:pStyle w:val="Compact"/>
              <w:jc w:val="left"/>
            </w:pPr>
            <w:r>
              <w:t xml:space="preserve">Credential, opportunity and learner-support pilot.</w:t>
            </w:r>
          </w:p>
        </w:tc>
      </w:tr>
      <w:tr>
        <w:tc>
          <w:tcPr>
            <w:tcW w:type="dxa" w:w="4680"/>
          </w:tcPr>
          <w:p>
            <w:pPr>
              <w:pStyle w:val="Compact"/>
              <w:jc w:val="left"/>
            </w:pPr>
            <w:r>
              <w:t xml:space="preserve">Telecom or eSIM provider</w:t>
            </w:r>
          </w:p>
        </w:tc>
        <w:tc>
          <w:tcPr>
            <w:tcW w:type="dxa" w:w="4680"/>
          </w:tcPr>
          <w:p>
            <w:pPr>
              <w:pStyle w:val="Compact"/>
              <w:jc w:val="left"/>
            </w:pPr>
            <w:r>
              <w:t xml:space="preserve">Embedded connectivity discovery and low-data service pilot.</w:t>
            </w:r>
          </w:p>
        </w:tc>
      </w:tr>
      <w:tr>
        <w:tc>
          <w:tcPr>
            <w:tcW w:type="dxa" w:w="4680"/>
          </w:tcPr>
          <w:p>
            <w:pPr>
              <w:pStyle w:val="Compact"/>
              <w:jc w:val="left"/>
            </w:pPr>
            <w:r>
              <w:t xml:space="preserve">Merchant association</w:t>
            </w:r>
          </w:p>
        </w:tc>
        <w:tc>
          <w:tcPr>
            <w:tcW w:type="dxa" w:w="4680"/>
          </w:tcPr>
          <w:p>
            <w:pPr>
              <w:pStyle w:val="Compact"/>
              <w:jc w:val="left"/>
            </w:pPr>
            <w:r>
              <w:t xml:space="preserve">Micro-merchant onboarding, product listing and payment preparation.</w:t>
            </w:r>
          </w:p>
        </w:tc>
      </w:tr>
      <w:tr>
        <w:tc>
          <w:tcPr>
            <w:tcW w:type="dxa" w:w="4680"/>
          </w:tcPr>
          <w:p>
            <w:pPr>
              <w:pStyle w:val="Compact"/>
              <w:jc w:val="left"/>
            </w:pPr>
            <w:r>
              <w:t xml:space="preserve">Security and legal advisers</w:t>
            </w:r>
          </w:p>
        </w:tc>
        <w:tc>
          <w:tcPr>
            <w:tcW w:type="dxa" w:w="4680"/>
          </w:tcPr>
          <w:p>
            <w:pPr>
              <w:pStyle w:val="Compact"/>
              <w:jc w:val="left"/>
            </w:pPr>
            <w:r>
              <w:t xml:space="preserve">Independent review of identity, token, privacy, AML/CTF and release controls.</w:t>
            </w:r>
          </w:p>
        </w:tc>
      </w:tr>
    </w:tbl>
    <w:p>
      <w:pPr>
        <w:pStyle w:val="Heading2"/>
      </w:pPr>
      <w:bookmarkStart w:id="82" w:name="partner-passport"/>
      <w:r>
        <w:t xml:space="preserve">Partner Passport</w:t>
      </w:r>
      <w:bookmarkEnd w:id="82"/>
    </w:p>
    <w:p>
      <w:pPr>
        <w:pStyle w:val="FirstParagraph"/>
      </w:pPr>
      <w:r>
        <w:t xml:space="preserve">Every prospective partner receives a status and due-diligence record. Valid relationship states are researched, candidate, contacted, discovery, due diligence, negotiating, pilot agreed, contracted, sandbox integrated, production verified, suspended and exited.</w:t>
      </w:r>
    </w:p>
    <w:p>
      <w:pPr>
        <w:pStyle w:val="BodyText"/>
      </w:pPr>
      <w:r>
        <w:t xml:space="preserve">No organisation will be described as an IN$DEX partner without authorised evidence.</w:t>
      </w:r>
    </w:p>
    <w:p>
      <w:pPr>
        <w:pStyle w:val="Heading2"/>
      </w:pPr>
      <w:bookmarkStart w:id="83" w:name="what-index-offers"/>
      <w:r>
        <w:t xml:space="preserve">What IN$DEX offers</w:t>
      </w:r>
      <w:bookmarkEnd w:id="83"/>
    </w:p>
    <w:p>
      <w:pPr>
        <w:numPr>
          <w:ilvl w:val="0"/>
          <w:numId w:val="1040"/>
        </w:numPr>
        <w:pStyle w:val="Compact"/>
      </w:pPr>
      <w:r>
        <w:t xml:space="preserve">A Pacific-first citizen experience and community narrative.</w:t>
      </w:r>
    </w:p>
    <w:p>
      <w:pPr>
        <w:numPr>
          <w:ilvl w:val="0"/>
          <w:numId w:val="1040"/>
        </w:numPr>
        <w:pStyle w:val="Compact"/>
      </w:pPr>
      <w:r>
        <w:t xml:space="preserve">SIINDEX voice and service orchestration.</w:t>
      </w:r>
    </w:p>
    <w:p>
      <w:pPr>
        <w:numPr>
          <w:ilvl w:val="0"/>
          <w:numId w:val="1040"/>
        </w:numPr>
        <w:pStyle w:val="Compact"/>
      </w:pPr>
      <w:r>
        <w:t xml:space="preserve">Consent, evidence and portable receipt infrastructure.</w:t>
      </w:r>
    </w:p>
    <w:p>
      <w:pPr>
        <w:numPr>
          <w:ilvl w:val="0"/>
          <w:numId w:val="1040"/>
        </w:numPr>
        <w:pStyle w:val="Compact"/>
      </w:pPr>
      <w:r>
        <w:t xml:space="preserve">Partner-neutral service comparison and migration.</w:t>
      </w:r>
    </w:p>
    <w:p>
      <w:pPr>
        <w:numPr>
          <w:ilvl w:val="0"/>
          <w:numId w:val="1040"/>
        </w:numPr>
        <w:pStyle w:val="Compact"/>
      </w:pPr>
      <w:r>
        <w:t xml:space="preserve">Controlled pilot design and measurable outcomes.</w:t>
      </w:r>
    </w:p>
    <w:p>
      <w:pPr>
        <w:numPr>
          <w:ilvl w:val="0"/>
          <w:numId w:val="1040"/>
        </w:numPr>
        <w:pStyle w:val="Compact"/>
      </w:pPr>
      <w:r>
        <w:t xml:space="preserve">Credential, merchant and opportunity layers beyond the financial transaction.</w:t>
      </w:r>
    </w:p>
    <w:p>
      <w:pPr>
        <w:numPr>
          <w:ilvl w:val="0"/>
          <w:numId w:val="1040"/>
        </w:numPr>
        <w:pStyle w:val="Compact"/>
      </w:pPr>
      <w:r>
        <w:t xml:space="preserve">Cultural-rights and local-context governance.</w:t>
      </w:r>
    </w:p>
    <w:p>
      <w:pPr>
        <w:pStyle w:val="Heading2"/>
      </w:pPr>
      <w:bookmarkStart w:id="84" w:name="what-index-expects"/>
      <w:r>
        <w:t xml:space="preserve">What IN$DEX expects</w:t>
      </w:r>
      <w:bookmarkEnd w:id="84"/>
    </w:p>
    <w:p>
      <w:pPr>
        <w:numPr>
          <w:ilvl w:val="0"/>
          <w:numId w:val="1041"/>
        </w:numPr>
        <w:pStyle w:val="Compact"/>
      </w:pPr>
      <w:r>
        <w:t xml:space="preserve">Licence or authority appropriate to the service.</w:t>
      </w:r>
    </w:p>
    <w:p>
      <w:pPr>
        <w:numPr>
          <w:ilvl w:val="0"/>
          <w:numId w:val="1041"/>
        </w:numPr>
        <w:pStyle w:val="Compact"/>
      </w:pPr>
      <w:r>
        <w:t xml:space="preserve">Transparent eligibility, fees, data use, complaints and exit.</w:t>
      </w:r>
    </w:p>
    <w:p>
      <w:pPr>
        <w:numPr>
          <w:ilvl w:val="0"/>
          <w:numId w:val="1041"/>
        </w:numPr>
        <w:pStyle w:val="Compact"/>
      </w:pPr>
      <w:r>
        <w:t xml:space="preserve">Sandbox and test support.</w:t>
      </w:r>
    </w:p>
    <w:p>
      <w:pPr>
        <w:numPr>
          <w:ilvl w:val="0"/>
          <w:numId w:val="1041"/>
        </w:numPr>
        <w:pStyle w:val="Compact"/>
      </w:pPr>
      <w:r>
        <w:t xml:space="preserve">Security and business-continuity evidence.</w:t>
      </w:r>
    </w:p>
    <w:p>
      <w:pPr>
        <w:numPr>
          <w:ilvl w:val="0"/>
          <w:numId w:val="1041"/>
        </w:numPr>
        <w:pStyle w:val="Compact"/>
      </w:pPr>
      <w:r>
        <w:t xml:space="preserve">No hidden reuse of citizen data.</w:t>
      </w:r>
    </w:p>
    <w:p>
      <w:pPr>
        <w:numPr>
          <w:ilvl w:val="0"/>
          <w:numId w:val="1041"/>
        </w:numPr>
        <w:pStyle w:val="Compact"/>
      </w:pPr>
      <w:r>
        <w:t xml:space="preserve">Written service boundaries and responsibility matrix.</w:t>
      </w:r>
    </w:p>
    <w:p>
      <w:pPr>
        <w:numPr>
          <w:ilvl w:val="0"/>
          <w:numId w:val="1041"/>
        </w:numPr>
        <w:pStyle w:val="Compact"/>
      </w:pPr>
      <w:r>
        <w:t xml:space="preserve">Pilot metrics and incident cooperation.</w:t>
      </w:r>
    </w:p>
    <w:p>
      <w:pPr>
        <w:numPr>
          <w:ilvl w:val="0"/>
          <w:numId w:val="1041"/>
        </w:numPr>
        <w:pStyle w:val="Compact"/>
      </w:pPr>
      <w:r>
        <w:t xml:space="preserve">A citizen-portability and termination plan.</w:t>
      </w:r>
    </w:p>
    <w:p>
      <w:pPr>
        <w:pStyle w:val="Heading1"/>
      </w:pPr>
      <w:bookmarkStart w:id="85" w:name="pilot-strategy"/>
      <w:r>
        <w:t xml:space="preserve">21. Pilot Strategy</w:t>
      </w:r>
      <w:bookmarkEnd w:id="85"/>
    </w:p>
    <w:p>
      <w:pPr>
        <w:pStyle w:val="Heading2"/>
      </w:pPr>
      <w:bookmarkStart w:id="86" w:name="pilot-1-founder-executive-runtime"/>
      <w:r>
        <w:t xml:space="preserve">Pilot 1: Founder Executive Runtime</w:t>
      </w:r>
      <w:bookmarkEnd w:id="86"/>
    </w:p>
    <w:p>
      <w:pPr>
        <w:pStyle w:val="FirstParagraph"/>
      </w:pPr>
      <w:r>
        <w:t xml:space="preserve">Purpose: prove that SIINDEX can operate as Arthur’s CEO/COO system rather than a static command centre.</w:t>
      </w:r>
    </w:p>
    <w:p>
      <w:pPr>
        <w:pStyle w:val="BodyText"/>
      </w:pPr>
      <w:r>
        <w:t xml:space="preserve">Success requires Arthur to authenticate, ask what threatens launch, receive a real evidence-grounded answer, approve one bounded task, receive a verified result and inspect the decision and work receipts.</w:t>
      </w:r>
    </w:p>
    <w:p>
      <w:pPr>
        <w:pStyle w:val="Heading2"/>
      </w:pPr>
      <w:bookmarkStart w:id="87" w:name="pilot-2-micro-merchant-opportunity"/>
      <w:r>
        <w:t xml:space="preserve">Pilot 2: Micro-Merchant Opportunity</w:t>
      </w:r>
      <w:bookmarkEnd w:id="87"/>
    </w:p>
    <w:p>
      <w:pPr>
        <w:pStyle w:val="FirstParagraph"/>
      </w:pPr>
      <w:r>
        <w:t xml:space="preserve">Purpose: help a controlled merchant turn one real product or service into a verified listing, buyer communication, invoice or payment preparation and portable business evidence.</w:t>
      </w:r>
    </w:p>
    <w:p>
      <w:pPr>
        <w:pStyle w:val="BodyText"/>
      </w:pPr>
      <w:r>
        <w:t xml:space="preserve">No fake buyer, payment, mint or sale success is permitted. A payment provider is introduced only after the merchant understands the costs and approves the route.</w:t>
      </w:r>
    </w:p>
    <w:p>
      <w:pPr>
        <w:pStyle w:val="Heading2"/>
      </w:pPr>
      <w:bookmarkStart w:id="88" w:name="Xde2212a15e930267debe4a6cf3bf9db538a8f79"/>
      <w:r>
        <w:t xml:space="preserve">Pilot 3: Pacific Worker and Family Support</w:t>
      </w:r>
      <w:bookmarkEnd w:id="88"/>
    </w:p>
    <w:p>
      <w:pPr>
        <w:pStyle w:val="FirstParagraph"/>
      </w:pPr>
      <w:r>
        <w:t xml:space="preserve">Purpose: co-design a family-support service with PALM workers, a community organisation and an approved provider.</w:t>
      </w:r>
    </w:p>
    <w:p>
      <w:pPr>
        <w:pStyle w:val="BodyText"/>
      </w:pPr>
      <w:r>
        <w:t xml:space="preserve">The first phase covers service discovery, fee comparison, recipient readiness, family goals, scam protection, records and support. Live remittance is added only after the provider, registration, CDD, Travel Rule, complaints and reconciliation processes are ready.</w:t>
      </w:r>
    </w:p>
    <w:p>
      <w:pPr>
        <w:pStyle w:val="Heading2"/>
      </w:pPr>
      <w:bookmarkStart w:id="89" w:name="pilot-4-learning-to-opportunity"/>
      <w:r>
        <w:t xml:space="preserve">Pilot 4: Learning to Opportunity</w:t>
      </w:r>
      <w:bookmarkEnd w:id="89"/>
    </w:p>
    <w:p>
      <w:pPr>
        <w:pStyle w:val="FirstParagraph"/>
      </w:pPr>
      <w:r>
        <w:t xml:space="preserve">Purpose: issue one portable credential, connect it to one verified opportunity and let the learner present only the necessary claims to an employer or partner.</w:t>
      </w:r>
    </w:p>
    <w:p>
      <w:pPr>
        <w:pStyle w:val="Heading2"/>
      </w:pPr>
      <w:bookmarkStart w:id="90" w:name="pilot-controls"/>
      <w:r>
        <w:t xml:space="preserve">Pilot controls</w:t>
      </w:r>
      <w:bookmarkEnd w:id="90"/>
    </w:p>
    <w:p>
      <w:pPr>
        <w:numPr>
          <w:ilvl w:val="0"/>
          <w:numId w:val="1042"/>
        </w:numPr>
        <w:pStyle w:val="Compact"/>
      </w:pPr>
      <w:r>
        <w:t xml:space="preserve">Named cohort and approved participant count.</w:t>
      </w:r>
    </w:p>
    <w:p>
      <w:pPr>
        <w:numPr>
          <w:ilvl w:val="0"/>
          <w:numId w:val="1042"/>
        </w:numPr>
        <w:pStyle w:val="Compact"/>
      </w:pPr>
      <w:r>
        <w:t xml:space="preserve">One jurisdiction and defined service boundary.</w:t>
      </w:r>
    </w:p>
    <w:p>
      <w:pPr>
        <w:numPr>
          <w:ilvl w:val="0"/>
          <w:numId w:val="1042"/>
        </w:numPr>
        <w:pStyle w:val="Compact"/>
      </w:pPr>
      <w:r>
        <w:t xml:space="preserve">Written consent and participant support.</w:t>
      </w:r>
    </w:p>
    <w:p>
      <w:pPr>
        <w:numPr>
          <w:ilvl w:val="0"/>
          <w:numId w:val="1042"/>
        </w:numPr>
        <w:pStyle w:val="Compact"/>
      </w:pPr>
      <w:r>
        <w:t xml:space="preserve">Sandbox or limited-value environment.</w:t>
      </w:r>
    </w:p>
    <w:p>
      <w:pPr>
        <w:numPr>
          <w:ilvl w:val="0"/>
          <w:numId w:val="1042"/>
        </w:numPr>
        <w:pStyle w:val="Compact"/>
      </w:pPr>
      <w:r>
        <w:t xml:space="preserve">Provider and human responsibility matrix.</w:t>
      </w:r>
    </w:p>
    <w:p>
      <w:pPr>
        <w:numPr>
          <w:ilvl w:val="0"/>
          <w:numId w:val="1042"/>
        </w:numPr>
        <w:pStyle w:val="Compact"/>
      </w:pPr>
      <w:r>
        <w:t xml:space="preserve">Positive and negative tests.</w:t>
      </w:r>
    </w:p>
    <w:p>
      <w:pPr>
        <w:numPr>
          <w:ilvl w:val="0"/>
          <w:numId w:val="1042"/>
        </w:numPr>
        <w:pStyle w:val="Compact"/>
      </w:pPr>
      <w:r>
        <w:t xml:space="preserve">Incident, complaint and exit route.</w:t>
      </w:r>
    </w:p>
    <w:p>
      <w:pPr>
        <w:numPr>
          <w:ilvl w:val="0"/>
          <w:numId w:val="1042"/>
        </w:numPr>
        <w:pStyle w:val="Compact"/>
      </w:pPr>
      <w:r>
        <w:t xml:space="preserve">Measured citizen outcome and independent review.</w:t>
      </w:r>
    </w:p>
    <w:p>
      <w:pPr>
        <w:numPr>
          <w:ilvl w:val="0"/>
          <w:numId w:val="1042"/>
        </w:numPr>
        <w:pStyle w:val="Compact"/>
      </w:pPr>
      <w:r>
        <w:t xml:space="preserve">No public scale claim based on a prototype.</w:t>
      </w:r>
    </w:p>
    <w:p>
      <w:pPr>
        <w:pStyle w:val="Heading1"/>
      </w:pPr>
      <w:bookmarkStart w:id="91" w:name="product-reality-snapshot"/>
      <w:r>
        <w:t xml:space="preserve">22. Product Reality Snapshot</w:t>
      </w:r>
      <w:bookmarkEnd w:id="91"/>
    </w:p>
    <w:p>
      <w:pPr>
        <w:pStyle w:val="FirstParagraph"/>
      </w:pPr>
      <w:r>
        <w:rPr>
          <w:i/>
        </w:rPr>
        <w:t xml:space="preserve">Status as recorded from the build ledger and founder evidence on 18 July 2026.</w:t>
      </w:r>
    </w:p>
    <w:tbl>
      <w:tblPr>
        <w:tblStyle w:val="Table"/>
        <w:tblW w:type="dxa" w:w="9360"/>
        <w:tblLook w:firstRow="1"/>
        <w:tblLayout w:type="fixed"/>
      </w:tblPr>
      <w:tblGrid>
        <w:gridCol w:w="3120"/>
        <w:gridCol w:w="3120"/>
        <w:gridCol w:w="3120"/>
      </w:tblGrid>
      <w:tr>
        <w:trPr>
          <w:cnfStyle w:firstRow="1"/>
        </w:trPr>
        <w:tc>
          <w:tcPr>
            <w:tcW w:type="dxa" w:w="3120"/>
            <w:tcBorders>
              <w:bottom w:val="single"/>
            </w:tcBorders>
            <w:vAlign w:val="bottom"/>
          </w:tcPr>
          <w:p>
            <w:pPr>
              <w:pStyle w:val="Compact"/>
              <w:jc w:val="left"/>
            </w:pPr>
            <w:r>
              <w:rPr>
                <w:b/>
              </w:rPr>
              <w:t xml:space="preserve">Capability</w:t>
            </w:r>
          </w:p>
        </w:tc>
        <w:tc>
          <w:tcPr>
            <w:tcW w:type="dxa" w:w="3120"/>
            <w:tcBorders>
              <w:bottom w:val="single"/>
            </w:tcBorders>
            <w:vAlign w:val="bottom"/>
          </w:tcPr>
          <w:p>
            <w:pPr>
              <w:pStyle w:val="Compact"/>
              <w:jc w:val="left"/>
            </w:pPr>
            <w:r>
              <w:rPr>
                <w:b/>
              </w:rPr>
              <w:t xml:space="preserve">State</w:t>
            </w:r>
          </w:p>
        </w:tc>
        <w:tc>
          <w:tcPr>
            <w:tcW w:type="dxa" w:w="3120"/>
            <w:tcBorders>
              <w:bottom w:val="single"/>
            </w:tcBorders>
            <w:vAlign w:val="bottom"/>
          </w:tcPr>
          <w:p>
            <w:pPr>
              <w:pStyle w:val="Compact"/>
              <w:jc w:val="left"/>
            </w:pPr>
            <w:r>
              <w:rPr>
                <w:b/>
              </w:rPr>
              <w:t xml:space="preserve">Evidence boundary</w:t>
            </w:r>
          </w:p>
        </w:tc>
      </w:tr>
      <w:tr>
        <w:tc>
          <w:tcPr>
            <w:tcW w:type="dxa" w:w="3120"/>
          </w:tcPr>
          <w:p>
            <w:pPr>
              <w:pStyle w:val="Compact"/>
              <w:jc w:val="left"/>
            </w:pPr>
            <w:r>
              <w:t xml:space="preserve">Founder Supabase authentication and MFA</w:t>
            </w:r>
          </w:p>
        </w:tc>
        <w:tc>
          <w:tcPr>
            <w:tcW w:type="dxa" w:w="3120"/>
          </w:tcPr>
          <w:p>
            <w:pPr>
              <w:pStyle w:val="Compact"/>
              <w:jc w:val="left"/>
            </w:pPr>
            <w:r>
              <w:t xml:space="preserve">POSITIVE TESTED</w:t>
            </w:r>
          </w:p>
        </w:tc>
        <w:tc>
          <w:tcPr>
            <w:tcW w:type="dxa" w:w="3120"/>
          </w:tcPr>
          <w:p>
            <w:pPr>
              <w:pStyle w:val="Compact"/>
              <w:jc w:val="left"/>
            </w:pPr>
            <w:r>
              <w:t xml:space="preserve">Arthur completed real sign-in and AAL2 founder bootstrap.</w:t>
            </w:r>
          </w:p>
        </w:tc>
      </w:tr>
      <w:tr>
        <w:tc>
          <w:tcPr>
            <w:tcW w:type="dxa" w:w="3120"/>
          </w:tcPr>
          <w:p>
            <w:pPr>
              <w:pStyle w:val="Compact"/>
              <w:jc w:val="left"/>
            </w:pPr>
            <w:r>
              <w:t xml:space="preserve">Founder authority and founder-only RLS</w:t>
            </w:r>
          </w:p>
        </w:tc>
        <w:tc>
          <w:tcPr>
            <w:tcW w:type="dxa" w:w="3120"/>
          </w:tcPr>
          <w:p>
            <w:pPr>
              <w:pStyle w:val="Compact"/>
              <w:jc w:val="left"/>
            </w:pPr>
            <w:r>
              <w:t xml:space="preserve">ENFORCED / POSITIVE TESTED</w:t>
            </w:r>
          </w:p>
        </w:tc>
        <w:tc>
          <w:tcPr>
            <w:tcW w:type="dxa" w:w="3120"/>
          </w:tcPr>
          <w:p>
            <w:pPr>
              <w:pStyle w:val="Compact"/>
              <w:jc w:val="left"/>
            </w:pPr>
            <w:r>
              <w:t xml:space="preserve">Founder authority record and restricted access were verified.</w:t>
            </w:r>
          </w:p>
        </w:tc>
      </w:tr>
      <w:tr>
        <w:tc>
          <w:tcPr>
            <w:tcW w:type="dxa" w:w="3120"/>
          </w:tcPr>
          <w:p>
            <w:pPr>
              <w:pStyle w:val="Compact"/>
              <w:jc w:val="left"/>
            </w:pPr>
            <w:r>
              <w:t xml:space="preserve">Anonymous and unrecognised access restrictions</w:t>
            </w:r>
          </w:p>
        </w:tc>
        <w:tc>
          <w:tcPr>
            <w:tcW w:type="dxa" w:w="3120"/>
          </w:tcPr>
          <w:p>
            <w:pPr>
              <w:pStyle w:val="Compact"/>
              <w:jc w:val="left"/>
            </w:pPr>
            <w:r>
              <w:t xml:space="preserve">NEGATIVE TESTED</w:t>
            </w:r>
          </w:p>
        </w:tc>
        <w:tc>
          <w:tcPr>
            <w:tcW w:type="dxa" w:w="3120"/>
          </w:tcPr>
          <w:p>
            <w:pPr>
              <w:pStyle w:val="Compact"/>
              <w:jc w:val="left"/>
            </w:pPr>
            <w:r>
              <w:t xml:space="preserve">Multiple public-read and privilege-escalation gaps were closed and retested.</w:t>
            </w:r>
          </w:p>
        </w:tc>
      </w:tr>
      <w:tr>
        <w:tc>
          <w:tcPr>
            <w:tcW w:type="dxa" w:w="3120"/>
          </w:tcPr>
          <w:p>
            <w:pPr>
              <w:pStyle w:val="Compact"/>
              <w:jc w:val="left"/>
            </w:pPr>
            <w:r>
              <w:t xml:space="preserve">Consent and session enforcement</w:t>
            </w:r>
          </w:p>
        </w:tc>
        <w:tc>
          <w:tcPr>
            <w:tcW w:type="dxa" w:w="3120"/>
          </w:tcPr>
          <w:p>
            <w:pPr>
              <w:pStyle w:val="Compact"/>
              <w:jc w:val="left"/>
            </w:pPr>
            <w:r>
              <w:t xml:space="preserve">PARTLY ENFORCED</w:t>
            </w:r>
          </w:p>
        </w:tc>
        <w:tc>
          <w:tcPr>
            <w:tcW w:type="dxa" w:w="3120"/>
          </w:tcPr>
          <w:p>
            <w:pPr>
              <w:pStyle w:val="Compact"/>
              <w:jc w:val="left"/>
            </w:pPr>
            <w:r>
              <w:t xml:space="preserve">Service-use and provider-processing consent gates exist; broader modes remain incomplete.</w:t>
            </w:r>
          </w:p>
        </w:tc>
      </w:tr>
      <w:tr>
        <w:tc>
          <w:tcPr>
            <w:tcW w:type="dxa" w:w="3120"/>
          </w:tcPr>
          <w:p>
            <w:pPr>
              <w:pStyle w:val="Compact"/>
              <w:jc w:val="left"/>
            </w:pPr>
            <w:r>
              <w:t xml:space="preserve">SIINDEX runtime</w:t>
            </w:r>
          </w:p>
        </w:tc>
        <w:tc>
          <w:tcPr>
            <w:tcW w:type="dxa" w:w="3120"/>
          </w:tcPr>
          <w:p>
            <w:pPr>
              <w:pStyle w:val="Compact"/>
              <w:jc w:val="left"/>
            </w:pPr>
            <w:r>
              <w:t xml:space="preserve">DEPLOYED / NOT END-TO-END PROVEN</w:t>
            </w:r>
          </w:p>
        </w:tc>
        <w:tc>
          <w:tcPr>
            <w:tcW w:type="dxa" w:w="3120"/>
          </w:tcPr>
          <w:p>
            <w:pPr>
              <w:pStyle w:val="Compact"/>
              <w:jc w:val="left"/>
            </w:pPr>
            <w:r>
              <w:t xml:space="preserve">Authenticated edge runtime exists; a complete founder executive reasoning and action journey remains the launch blocker.</w:t>
            </w:r>
          </w:p>
        </w:tc>
      </w:tr>
      <w:tr>
        <w:tc>
          <w:tcPr>
            <w:tcW w:type="dxa" w:w="3120"/>
          </w:tcPr>
          <w:p>
            <w:pPr>
              <w:pStyle w:val="Compact"/>
              <w:jc w:val="left"/>
            </w:pPr>
            <w:r>
              <w:t xml:space="preserve">Controlled citizen private journey</w:t>
            </w:r>
          </w:p>
        </w:tc>
        <w:tc>
          <w:tcPr>
            <w:tcW w:type="dxa" w:w="3120"/>
          </w:tcPr>
          <w:p>
            <w:pPr>
              <w:pStyle w:val="Compact"/>
              <w:jc w:val="left"/>
            </w:pPr>
            <w:r>
              <w:t xml:space="preserve">NOT YET PROVEN</w:t>
            </w:r>
          </w:p>
        </w:tc>
        <w:tc>
          <w:tcPr>
            <w:tcW w:type="dxa" w:w="3120"/>
          </w:tcPr>
          <w:p>
            <w:pPr>
              <w:pStyle w:val="Compact"/>
              <w:jc w:val="left"/>
            </w:pPr>
            <w:r>
              <w:t xml:space="preserve">Real account linkage and cross-citizen positive path require final verification.</w:t>
            </w:r>
          </w:p>
        </w:tc>
      </w:tr>
      <w:tr>
        <w:tc>
          <w:tcPr>
            <w:tcW w:type="dxa" w:w="3120"/>
          </w:tcPr>
          <w:p>
            <w:pPr>
              <w:pStyle w:val="Compact"/>
              <w:jc w:val="left"/>
            </w:pPr>
            <w:r>
              <w:t xml:space="preserve">Merchant workflow</w:t>
            </w:r>
          </w:p>
        </w:tc>
        <w:tc>
          <w:tcPr>
            <w:tcW w:type="dxa" w:w="3120"/>
          </w:tcPr>
          <w:p>
            <w:pPr>
              <w:pStyle w:val="Compact"/>
              <w:jc w:val="left"/>
            </w:pPr>
            <w:r>
              <w:t xml:space="preserve">MIXED</w:t>
            </w:r>
          </w:p>
        </w:tc>
        <w:tc>
          <w:tcPr>
            <w:tcW w:type="dxa" w:w="3120"/>
          </w:tcPr>
          <w:p>
            <w:pPr>
              <w:pStyle w:val="Compact"/>
              <w:jc w:val="left"/>
            </w:pPr>
            <w:r>
              <w:t xml:space="preserve">Some backend functions exist; many earlier screens were demonstrations or were relabelled.</w:t>
            </w:r>
          </w:p>
        </w:tc>
      </w:tr>
      <w:tr>
        <w:tc>
          <w:tcPr>
            <w:tcW w:type="dxa" w:w="3120"/>
          </w:tcPr>
          <w:p>
            <w:pPr>
              <w:pStyle w:val="Compact"/>
              <w:jc w:val="left"/>
            </w:pPr>
            <w:r>
              <w:t xml:space="preserve">Financial transfers and exchange</w:t>
            </w:r>
          </w:p>
        </w:tc>
        <w:tc>
          <w:tcPr>
            <w:tcW w:type="dxa" w:w="3120"/>
          </w:tcPr>
          <w:p>
            <w:pPr>
              <w:pStyle w:val="Compact"/>
              <w:jc w:val="left"/>
            </w:pPr>
            <w:r>
              <w:t xml:space="preserve">PROVIDER / LEGAL DEPENDENT</w:t>
            </w:r>
          </w:p>
        </w:tc>
        <w:tc>
          <w:tcPr>
            <w:tcW w:type="dxa" w:w="3120"/>
          </w:tcPr>
          <w:p>
            <w:pPr>
              <w:pStyle w:val="Compact"/>
              <w:jc w:val="left"/>
            </w:pPr>
            <w:r>
              <w:t xml:space="preserve">No public claim of live remittance, bank, card, custody, swap or settlement service.</w:t>
            </w:r>
          </w:p>
        </w:tc>
      </w:tr>
      <w:tr>
        <w:tc>
          <w:tcPr>
            <w:tcW w:type="dxa" w:w="3120"/>
          </w:tcPr>
          <w:p>
            <w:pPr>
              <w:pStyle w:val="Compact"/>
              <w:jc w:val="left"/>
            </w:pPr>
            <w:r>
              <w:t xml:space="preserve">AUSTRAC VASP and remittance status</w:t>
            </w:r>
          </w:p>
        </w:tc>
        <w:tc>
          <w:tcPr>
            <w:tcW w:type="dxa" w:w="3120"/>
          </w:tcPr>
          <w:p>
            <w:pPr>
              <w:pStyle w:val="Compact"/>
              <w:jc w:val="left"/>
            </w:pPr>
            <w:r>
              <w:t xml:space="preserve">APPLICATIONS SUBMITTED</w:t>
            </w:r>
          </w:p>
        </w:tc>
        <w:tc>
          <w:tcPr>
            <w:tcW w:type="dxa" w:w="3120"/>
          </w:tcPr>
          <w:p>
            <w:pPr>
              <w:pStyle w:val="Compact"/>
              <w:jc w:val="left"/>
            </w:pPr>
            <w:r>
              <w:t xml:space="preserve">Assessment and confirmation pending.</w:t>
            </w:r>
          </w:p>
        </w:tc>
      </w:tr>
      <w:tr>
        <w:tc>
          <w:tcPr>
            <w:tcW w:type="dxa" w:w="3120"/>
          </w:tcPr>
          <w:p>
            <w:pPr>
              <w:pStyle w:val="Compact"/>
              <w:jc w:val="left"/>
            </w:pPr>
            <w:r>
              <w:t xml:space="preserve">Connectivity</w:t>
            </w:r>
          </w:p>
        </w:tc>
        <w:tc>
          <w:tcPr>
            <w:tcW w:type="dxa" w:w="3120"/>
          </w:tcPr>
          <w:p>
            <w:pPr>
              <w:pStyle w:val="Compact"/>
              <w:jc w:val="left"/>
            </w:pPr>
            <w:r>
              <w:t xml:space="preserve">FOUNDATION / PROVIDER DEPENDENT</w:t>
            </w:r>
          </w:p>
        </w:tc>
        <w:tc>
          <w:tcPr>
            <w:tcW w:type="dxa" w:w="3120"/>
          </w:tcPr>
          <w:p>
            <w:pPr>
              <w:pStyle w:val="Compact"/>
              <w:jc w:val="left"/>
            </w:pPr>
            <w:r>
              <w:t xml:space="preserve">Risk and record foundations exist; no live telecom provisioning partner.</w:t>
            </w:r>
          </w:p>
        </w:tc>
      </w:tr>
      <w:tr>
        <w:tc>
          <w:tcPr>
            <w:tcW w:type="dxa" w:w="3120"/>
          </w:tcPr>
          <w:p>
            <w:pPr>
              <w:pStyle w:val="Compact"/>
              <w:jc w:val="left"/>
            </w:pPr>
            <w:r>
              <w:t xml:space="preserve">INDX token launch</w:t>
            </w:r>
          </w:p>
        </w:tc>
        <w:tc>
          <w:tcPr>
            <w:tcW w:type="dxa" w:w="3120"/>
          </w:tcPr>
          <w:p>
            <w:pPr>
              <w:pStyle w:val="Compact"/>
              <w:jc w:val="left"/>
            </w:pPr>
            <w:r>
              <w:t xml:space="preserve">LEGALLY RESTRICTED / AUDIT REQUIRED</w:t>
            </w:r>
          </w:p>
        </w:tc>
        <w:tc>
          <w:tcPr>
            <w:tcW w:type="dxa" w:w="3120"/>
          </w:tcPr>
          <w:p>
            <w:pPr>
              <w:pStyle w:val="Compact"/>
              <w:jc w:val="left"/>
            </w:pPr>
            <w:r>
              <w:t xml:space="preserve">No public sale or yield offer in this whitepaper.</w:t>
            </w:r>
          </w:p>
        </w:tc>
      </w:tr>
      <w:tr>
        <w:tc>
          <w:tcPr>
            <w:tcW w:type="dxa" w:w="3120"/>
          </w:tcPr>
          <w:p>
            <w:pPr>
              <w:pStyle w:val="Compact"/>
              <w:jc w:val="left"/>
            </w:pPr>
            <w:r>
              <w:t xml:space="preserve">Public partnership network</w:t>
            </w:r>
          </w:p>
        </w:tc>
        <w:tc>
          <w:tcPr>
            <w:tcW w:type="dxa" w:w="3120"/>
          </w:tcPr>
          <w:p>
            <w:pPr>
              <w:pStyle w:val="Compact"/>
              <w:jc w:val="left"/>
            </w:pPr>
            <w:r>
              <w:t xml:space="preserve">CANDIDATE STAGE</w:t>
            </w:r>
          </w:p>
        </w:tc>
        <w:tc>
          <w:tcPr>
            <w:tcW w:type="dxa" w:w="3120"/>
          </w:tcPr>
          <w:p>
            <w:pPr>
              <w:pStyle w:val="Compact"/>
              <w:jc w:val="left"/>
            </w:pPr>
            <w:r>
              <w:t xml:space="preserve">Research is not a signed partnership.</w:t>
            </w:r>
          </w:p>
        </w:tc>
      </w:tr>
    </w:tbl>
    <w:tbl>
      <w:tblPr>
        <w:tblStyle w:val="Table"/>
        <w:tblW w:type="dxa" w:w="9360"/>
        <w:tblLook w:firstRow="1"/>
        <w:tblLayout w:type="fixed"/>
      </w:tblPr>
      <w:tblGrid>
        <w:gridCol w:w="576"/>
        <w:gridCol w:w="8784"/>
      </w:tblGrid>
      <w:tr>
        <w:trPr>
          <w:cnfStyle w:firstRow="1"/>
        </w:trPr>
        <w:tc>
          <w:tcPr>
            <w:tcW w:type="dxa" w:w="576"/>
            <w:tcBorders>
              <w:bottom w:val="single"/>
            </w:tcBorders>
            <w:vAlign w:val="bottom"/>
          </w:tcPr>
          <w:p/>
        </w:tc>
        <w:tc>
          <w:tcPr>
            <w:tcW w:type="dxa" w:w="8784"/>
            <w:tcBorders>
              <w:bottom w:val="single"/>
            </w:tcBorders>
            <w:vAlign w:val="bottom"/>
          </w:tcPr>
          <w:p>
            <w:pPr>
              <w:pStyle w:val="Compact"/>
              <w:jc w:val="left"/>
            </w:pPr>
            <w:r>
              <w:rPr>
                <w:b/>
              </w:rPr>
              <w:t xml:space="preserve">Current launch blocker:</w:t>
            </w:r>
            <w:r>
              <w:t xml:space="preserve"> </w:t>
            </w:r>
            <w:r>
              <w:t xml:space="preserve">The highest-priority technical objective is a complete authenticated founder executive journey followed by a controlled citizen journey. More screens do not resolve this blocker.</w:t>
            </w:r>
          </w:p>
        </w:tc>
      </w:tr>
    </w:tbl>
    <w:p>
      <w:pPr>
        <w:pStyle w:val="Heading1"/>
      </w:pPr>
      <w:bookmarkStart w:id="92" w:name="security-and-operational-resilience"/>
      <w:r>
        <w:t xml:space="preserve">23. Security and Operational Resilience</w:t>
      </w:r>
      <w:bookmarkEnd w:id="92"/>
    </w:p>
    <w:p>
      <w:pPr>
        <w:pStyle w:val="FirstParagraph"/>
      </w:pPr>
      <w:r>
        <w:t xml:space="preserve">Security is a management system, not a scanner animation. IN$DEX will align its information-security programme with ISO/IEC 27001 principles and its continuity planning with ISO 22301. Alignment is a target, not a claim of certification.[19][20]</w:t>
      </w:r>
    </w:p>
    <w:p>
      <w:pPr>
        <w:pStyle w:val="Heading2"/>
      </w:pPr>
      <w:bookmarkStart w:id="93" w:name="security-controls"/>
      <w:r>
        <w:t xml:space="preserve">Security controls</w:t>
      </w:r>
      <w:bookmarkEnd w:id="93"/>
    </w:p>
    <w:p>
      <w:pPr>
        <w:numPr>
          <w:ilvl w:val="0"/>
          <w:numId w:val="1043"/>
        </w:numPr>
        <w:pStyle w:val="Compact"/>
      </w:pPr>
      <w:r>
        <w:t xml:space="preserve">Least-privilege role and row-level access.</w:t>
      </w:r>
    </w:p>
    <w:p>
      <w:pPr>
        <w:numPr>
          <w:ilvl w:val="0"/>
          <w:numId w:val="1043"/>
        </w:numPr>
        <w:pStyle w:val="Compact"/>
      </w:pPr>
      <w:r>
        <w:t xml:space="preserve">Step-up authentication for sensitive actions.</w:t>
      </w:r>
    </w:p>
    <w:p>
      <w:pPr>
        <w:numPr>
          <w:ilvl w:val="0"/>
          <w:numId w:val="1043"/>
        </w:numPr>
        <w:pStyle w:val="Compact"/>
      </w:pPr>
      <w:r>
        <w:t xml:space="preserve">Session, mode, device and purpose binding.</w:t>
      </w:r>
    </w:p>
    <w:p>
      <w:pPr>
        <w:numPr>
          <w:ilvl w:val="0"/>
          <w:numId w:val="1043"/>
        </w:numPr>
        <w:pStyle w:val="Compact"/>
      </w:pPr>
      <w:r>
        <w:t xml:space="preserve">Separate secrets broker and short-lived tool capabilities.</w:t>
      </w:r>
    </w:p>
    <w:p>
      <w:pPr>
        <w:numPr>
          <w:ilvl w:val="0"/>
          <w:numId w:val="1043"/>
        </w:numPr>
        <w:pStyle w:val="Compact"/>
      </w:pPr>
      <w:r>
        <w:t xml:space="preserve">No permanent credentials in prompts or agent memory.</w:t>
      </w:r>
    </w:p>
    <w:p>
      <w:pPr>
        <w:numPr>
          <w:ilvl w:val="0"/>
          <w:numId w:val="1043"/>
        </w:numPr>
        <w:pStyle w:val="Compact"/>
      </w:pPr>
      <w:r>
        <w:t xml:space="preserve">Immutable or tamper-evident security and approval records.</w:t>
      </w:r>
    </w:p>
    <w:p>
      <w:pPr>
        <w:numPr>
          <w:ilvl w:val="0"/>
          <w:numId w:val="1043"/>
        </w:numPr>
        <w:pStyle w:val="Compact"/>
      </w:pPr>
      <w:r>
        <w:t xml:space="preserve">Correlation IDs across requests, model calls, tools and outcomes.</w:t>
      </w:r>
    </w:p>
    <w:p>
      <w:pPr>
        <w:numPr>
          <w:ilvl w:val="0"/>
          <w:numId w:val="1043"/>
        </w:numPr>
        <w:pStyle w:val="Compact"/>
      </w:pPr>
      <w:r>
        <w:t xml:space="preserve">Kill switches and scoped suspension.</w:t>
      </w:r>
    </w:p>
    <w:p>
      <w:pPr>
        <w:numPr>
          <w:ilvl w:val="0"/>
          <w:numId w:val="1043"/>
        </w:numPr>
        <w:pStyle w:val="Compact"/>
      </w:pPr>
      <w:r>
        <w:t xml:space="preserve">Provider isolation and network allowlists for background work.</w:t>
      </w:r>
    </w:p>
    <w:p>
      <w:pPr>
        <w:numPr>
          <w:ilvl w:val="0"/>
          <w:numId w:val="1043"/>
        </w:numPr>
        <w:pStyle w:val="Compact"/>
      </w:pPr>
      <w:r>
        <w:t xml:space="preserve">Release gates, rollback, deployment verification and runtime drift monitoring.</w:t>
      </w:r>
    </w:p>
    <w:p>
      <w:pPr>
        <w:numPr>
          <w:ilvl w:val="0"/>
          <w:numId w:val="1043"/>
        </w:numPr>
        <w:pStyle w:val="Compact"/>
      </w:pPr>
      <w:r>
        <w:t xml:space="preserve">Incident response, complaint handling and citizen notification.</w:t>
      </w:r>
    </w:p>
    <w:p>
      <w:pPr>
        <w:numPr>
          <w:ilvl w:val="0"/>
          <w:numId w:val="1043"/>
        </w:numPr>
        <w:pStyle w:val="Compact"/>
      </w:pPr>
      <w:r>
        <w:t xml:space="preserve">Post-quantum cryptography inventory and migration planning rather than unsupported quantum-safe claims.</w:t>
      </w:r>
    </w:p>
    <w:p>
      <w:pPr>
        <w:pStyle w:val="Heading2"/>
      </w:pPr>
      <w:bookmarkStart w:id="94" w:name="preventive-engineering-second-brain"/>
      <w:r>
        <w:t xml:space="preserve">Preventive engineering second brain</w:t>
      </w:r>
      <w:bookmarkEnd w:id="94"/>
    </w:p>
    <w:p>
      <w:pPr>
        <w:pStyle w:val="FirstParagraph"/>
      </w:pPr>
      <w:r>
        <w:t xml:space="preserve">When one defect appears, the system must search for the full defect class rather than waiting for the same failure to recur. Each incident creates a machine-readable pattern, repository sweep, sibling-risk review, regression test, failure-library entry and release check.</w:t>
      </w:r>
    </w:p>
    <w:p>
      <w:pPr>
        <w:pStyle w:val="BodyText"/>
      </w:pPr>
      <w:r>
        <w:t xml:space="preserve">This turns</w:t>
      </w:r>
      <w:r>
        <w:t xml:space="preserve"> </w:t>
      </w:r>
      <w:r>
        <w:rPr>
          <w:rStyle w:val="VerbatimChar"/>
        </w:rPr>
        <w:t xml:space="preserve">memory.md</w:t>
      </w:r>
      <w:r>
        <w:t xml:space="preserve"> </w:t>
      </w:r>
      <w:r>
        <w:t xml:space="preserve">and</w:t>
      </w:r>
      <w:r>
        <w:t xml:space="preserve"> </w:t>
      </w:r>
      <w:r>
        <w:rPr>
          <w:rStyle w:val="VerbatimChar"/>
        </w:rPr>
        <w:t xml:space="preserve">gotchas.md</w:t>
      </w:r>
      <w:r>
        <w:t xml:space="preserve"> </w:t>
      </w:r>
      <w:r>
        <w:t xml:space="preserve">from retrospective notes into preventive controls.</w:t>
      </w:r>
    </w:p>
    <w:p>
      <w:pPr>
        <w:pStyle w:val="Heading2"/>
      </w:pPr>
      <w:bookmarkStart w:id="95" w:name="siindex-and-agent-risk"/>
      <w:r>
        <w:t xml:space="preserve">SIINDEX and agent risk</w:t>
      </w:r>
      <w:bookmarkEnd w:id="95"/>
    </w:p>
    <w:p>
      <w:pPr>
        <w:pStyle w:val="FirstParagraph"/>
      </w:pPr>
      <w:r>
        <w:t xml:space="preserve">SIINDEX governance will draw on the NIST AI Risk Management Framework and the NIST AI Agent Standards Initiative. Long-running agents require identity, authorisation, isolated workspaces, bounded tools, model and cost records, evaluation, stopping rules and human authority.[21][22]</w:t>
      </w:r>
    </w:p>
    <w:p>
      <w:pPr>
        <w:pStyle w:val="Heading1"/>
      </w:pPr>
      <w:bookmarkStart w:id="96" w:name="compliance-and-legal-readiness"/>
      <w:r>
        <w:t xml:space="preserve">24. Compliance and Legal Readiness</w:t>
      </w:r>
      <w:bookmarkEnd w:id="96"/>
    </w:p>
    <w:p>
      <w:pPr>
        <w:pStyle w:val="FirstParagraph"/>
      </w:pPr>
      <w:r>
        <w:t xml:space="preserve">IN$DEX will classify services before building or marketing them. The Financial Product Boundary Register separates ordinary software preparation from financial services, markets, credit, insurance, custody, payments and token offers.</w:t>
      </w:r>
    </w:p>
    <w:p>
      <w:pPr>
        <w:pStyle w:val="Heading2"/>
      </w:pPr>
      <w:bookmarkStart w:id="97" w:name="current-australian-priorities"/>
      <w:r>
        <w:t xml:space="preserve">Current Australian priorities</w:t>
      </w:r>
      <w:bookmarkEnd w:id="97"/>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Area</w:t>
            </w:r>
          </w:p>
        </w:tc>
        <w:tc>
          <w:tcPr>
            <w:tcW w:type="dxa" w:w="4680"/>
            <w:tcBorders>
              <w:bottom w:val="single"/>
            </w:tcBorders>
            <w:vAlign w:val="bottom"/>
          </w:tcPr>
          <w:p>
            <w:pPr>
              <w:pStyle w:val="Compact"/>
              <w:jc w:val="left"/>
            </w:pPr>
            <w:r>
              <w:rPr>
                <w:b/>
              </w:rPr>
              <w:t xml:space="preserve">Required work</w:t>
            </w:r>
          </w:p>
        </w:tc>
      </w:tr>
      <w:tr>
        <w:tc>
          <w:tcPr>
            <w:tcW w:type="dxa" w:w="4680"/>
          </w:tcPr>
          <w:p>
            <w:pPr>
              <w:pStyle w:val="Compact"/>
              <w:jc w:val="left"/>
            </w:pPr>
            <w:r>
              <w:t xml:space="preserve">Legal entity</w:t>
            </w:r>
          </w:p>
        </w:tc>
        <w:tc>
          <w:tcPr>
            <w:tcW w:type="dxa" w:w="4680"/>
          </w:tcPr>
          <w:p>
            <w:pPr>
              <w:pStyle w:val="Compact"/>
              <w:jc w:val="left"/>
            </w:pPr>
            <w:r>
              <w:t xml:space="preserve">Review company formation, IP transfer, contracts, insurance, tax and governance.</w:t>
            </w:r>
          </w:p>
        </w:tc>
      </w:tr>
      <w:tr>
        <w:tc>
          <w:tcPr>
            <w:tcW w:type="dxa" w:w="4680"/>
          </w:tcPr>
          <w:p>
            <w:pPr>
              <w:pStyle w:val="Compact"/>
              <w:jc w:val="left"/>
            </w:pPr>
            <w:r>
              <w:t xml:space="preserve">AUSTRAC</w:t>
            </w:r>
          </w:p>
        </w:tc>
        <w:tc>
          <w:tcPr>
            <w:tcW w:type="dxa" w:w="4680"/>
          </w:tcPr>
          <w:p>
            <w:pPr>
              <w:pStyle w:val="Compact"/>
              <w:jc w:val="left"/>
            </w:pPr>
            <w:r>
              <w:t xml:space="preserve">Track enrolment and registration outcomes, AML/CTF programme, CDD, reporting, Travel Rule, records and training.</w:t>
            </w:r>
          </w:p>
        </w:tc>
      </w:tr>
      <w:tr>
        <w:tc>
          <w:tcPr>
            <w:tcW w:type="dxa" w:w="4680"/>
          </w:tcPr>
          <w:p>
            <w:pPr>
              <w:pStyle w:val="Compact"/>
              <w:jc w:val="left"/>
            </w:pPr>
            <w:r>
              <w:t xml:space="preserve">ASIC</w:t>
            </w:r>
          </w:p>
        </w:tc>
        <w:tc>
          <w:tcPr>
            <w:tcW w:type="dxa" w:w="4680"/>
          </w:tcPr>
          <w:p>
            <w:pPr>
              <w:pStyle w:val="Compact"/>
              <w:jc w:val="left"/>
            </w:pPr>
            <w:r>
              <w:t xml:space="preserve">Classify INDX, staking, custody, exchange, marketplace, yield, investment and financial promotion.</w:t>
            </w:r>
          </w:p>
        </w:tc>
      </w:tr>
      <w:tr>
        <w:tc>
          <w:tcPr>
            <w:tcW w:type="dxa" w:w="4680"/>
          </w:tcPr>
          <w:p>
            <w:pPr>
              <w:pStyle w:val="Compact"/>
              <w:jc w:val="left"/>
            </w:pPr>
            <w:r>
              <w:t xml:space="preserve">Privacy</w:t>
            </w:r>
          </w:p>
        </w:tc>
        <w:tc>
          <w:tcPr>
            <w:tcW w:type="dxa" w:w="4680"/>
          </w:tcPr>
          <w:p>
            <w:pPr>
              <w:pStyle w:val="Compact"/>
              <w:jc w:val="left"/>
            </w:pPr>
            <w:r>
              <w:t xml:space="preserve">Privacy impact assessment, APP compliance, retention, overseas disclosure, data breach and complaint process.</w:t>
            </w:r>
          </w:p>
        </w:tc>
      </w:tr>
      <w:tr>
        <w:tc>
          <w:tcPr>
            <w:tcW w:type="dxa" w:w="4680"/>
          </w:tcPr>
          <w:p>
            <w:pPr>
              <w:pStyle w:val="Compact"/>
              <w:jc w:val="left"/>
            </w:pPr>
            <w:r>
              <w:t xml:space="preserve">Consumer protection</w:t>
            </w:r>
          </w:p>
        </w:tc>
        <w:tc>
          <w:tcPr>
            <w:tcW w:type="dxa" w:w="4680"/>
          </w:tcPr>
          <w:p>
            <w:pPr>
              <w:pStyle w:val="Compact"/>
              <w:jc w:val="left"/>
            </w:pPr>
            <w:r>
              <w:t xml:space="preserve">Truthful claims, total costs, fair terms, refunds, support, complaints and vulnerability.</w:t>
            </w:r>
          </w:p>
        </w:tc>
      </w:tr>
      <w:tr>
        <w:tc>
          <w:tcPr>
            <w:tcW w:type="dxa" w:w="4680"/>
          </w:tcPr>
          <w:p>
            <w:pPr>
              <w:pStyle w:val="Compact"/>
              <w:jc w:val="left"/>
            </w:pPr>
            <w:r>
              <w:t xml:space="preserve">Cultural rights</w:t>
            </w:r>
          </w:p>
        </w:tc>
        <w:tc>
          <w:tcPr>
            <w:tcW w:type="dxa" w:w="4680"/>
          </w:tcPr>
          <w:p>
            <w:pPr>
              <w:pStyle w:val="Compact"/>
              <w:jc w:val="left"/>
            </w:pPr>
            <w:r>
              <w:t xml:space="preserve">Community authority, licence terms, restricted content, attribution and benefit sharing.</w:t>
            </w:r>
          </w:p>
        </w:tc>
      </w:tr>
      <w:tr>
        <w:tc>
          <w:tcPr>
            <w:tcW w:type="dxa" w:w="4680"/>
          </w:tcPr>
          <w:p>
            <w:pPr>
              <w:pStyle w:val="Compact"/>
              <w:jc w:val="left"/>
            </w:pPr>
            <w:r>
              <w:t xml:space="preserve">Employment and education</w:t>
            </w:r>
          </w:p>
        </w:tc>
        <w:tc>
          <w:tcPr>
            <w:tcW w:type="dxa" w:w="4680"/>
          </w:tcPr>
          <w:p>
            <w:pPr>
              <w:pStyle w:val="Compact"/>
              <w:jc w:val="left"/>
            </w:pPr>
            <w:r>
              <w:t xml:space="preserve">Human responsibility, student and worker data, discrimination and safeguarding.</w:t>
            </w:r>
          </w:p>
        </w:tc>
      </w:tr>
      <w:tr>
        <w:tc>
          <w:tcPr>
            <w:tcW w:type="dxa" w:w="4680"/>
          </w:tcPr>
          <w:p>
            <w:pPr>
              <w:pStyle w:val="Compact"/>
              <w:jc w:val="left"/>
            </w:pPr>
            <w:r>
              <w:t xml:space="preserve">Telecommunications</w:t>
            </w:r>
          </w:p>
        </w:tc>
        <w:tc>
          <w:tcPr>
            <w:tcW w:type="dxa" w:w="4680"/>
          </w:tcPr>
          <w:p>
            <w:pPr>
              <w:pStyle w:val="Compact"/>
              <w:jc w:val="left"/>
            </w:pPr>
            <w:r>
              <w:t xml:space="preserve">Licensed provider, number and eSIM responsibilities, billing, emergency and support.</w:t>
            </w:r>
          </w:p>
        </w:tc>
      </w:tr>
    </w:tbl>
    <w:p>
      <w:pPr>
        <w:pStyle w:val="Heading2"/>
      </w:pPr>
      <w:bookmarkStart w:id="98" w:name="human-legal-accountability"/>
      <w:r>
        <w:t xml:space="preserve">Human legal accountability</w:t>
      </w:r>
      <w:bookmarkEnd w:id="98"/>
    </w:p>
    <w:p>
      <w:pPr>
        <w:pStyle w:val="FirstParagraph"/>
      </w:pPr>
      <w:r>
        <w:t xml:space="preserve">SIINDEX may prepare legal and regulatory material. Licensed lawyers, accountable officers, directors, regulators and authorised cultural authorities decide, sign or submit where required.</w:t>
      </w:r>
    </w:p>
    <w:p>
      <w:pPr>
        <w:pStyle w:val="BodyText"/>
      </w:pPr>
      <w:r>
        <w:t xml:space="preserve">A company is a separate legal entity and may better support contracts, investment, asset ownership and liability management than a sole trader structure. Australian company officeholders must be natural persons at least 18 years old and remain subject to legal duties.[23][24]</w:t>
      </w:r>
    </w:p>
    <w:p>
      <w:pPr>
        <w:pStyle w:val="Heading2"/>
      </w:pPr>
      <w:bookmarkStart w:id="99" w:name="marketing-claims-protocol"/>
      <w:r>
        <w:t xml:space="preserve">Marketing claims protocol</w:t>
      </w:r>
      <w:bookmarkEnd w:id="99"/>
    </w:p>
    <w:p>
      <w:pPr>
        <w:numPr>
          <w:ilvl w:val="0"/>
          <w:numId w:val="1044"/>
        </w:numPr>
        <w:pStyle w:val="Compact"/>
      </w:pPr>
      <w:r>
        <w:t xml:space="preserve">Every material claim has a source, owner, evidence state, date and expiry.</w:t>
      </w:r>
    </w:p>
    <w:p>
      <w:pPr>
        <w:numPr>
          <w:ilvl w:val="0"/>
          <w:numId w:val="1044"/>
        </w:numPr>
        <w:pStyle w:val="Compact"/>
      </w:pPr>
      <w:r>
        <w:t xml:space="preserve">No valuation or return target.</w:t>
      </w:r>
    </w:p>
    <w:p>
      <w:pPr>
        <w:numPr>
          <w:ilvl w:val="0"/>
          <w:numId w:val="1044"/>
        </w:numPr>
        <w:pStyle w:val="Compact"/>
      </w:pPr>
      <w:r>
        <w:t xml:space="preserve">No</w:t>
      </w:r>
      <w:r>
        <w:t xml:space="preserve"> </w:t>
      </w:r>
      <w:r>
        <w:t xml:space="preserve">“</w:t>
      </w:r>
      <w:r>
        <w:t xml:space="preserve">no KYC</w:t>
      </w:r>
      <w:r>
        <w:t xml:space="preserve">”</w:t>
      </w:r>
      <w:r>
        <w:t xml:space="preserve"> </w:t>
      </w:r>
      <w:r>
        <w:t xml:space="preserve">promise for regulated activity.</w:t>
      </w:r>
    </w:p>
    <w:p>
      <w:pPr>
        <w:numPr>
          <w:ilvl w:val="0"/>
          <w:numId w:val="1044"/>
        </w:numPr>
        <w:pStyle w:val="Compact"/>
      </w:pPr>
      <w:r>
        <w:t xml:space="preserve">No</w:t>
      </w:r>
      <w:r>
        <w:t xml:space="preserve"> </w:t>
      </w:r>
      <w:r>
        <w:t xml:space="preserve">“</w:t>
      </w:r>
      <w:r>
        <w:t xml:space="preserve">partner</w:t>
      </w:r>
      <w:r>
        <w:t xml:space="preserve">”</w:t>
      </w:r>
      <w:r>
        <w:t xml:space="preserve"> </w:t>
      </w:r>
      <w:r>
        <w:t xml:space="preserve">label without agreement.</w:t>
      </w:r>
    </w:p>
    <w:p>
      <w:pPr>
        <w:numPr>
          <w:ilvl w:val="0"/>
          <w:numId w:val="1044"/>
        </w:numPr>
        <w:pStyle w:val="Compact"/>
      </w:pPr>
      <w:r>
        <w:t xml:space="preserve">No</w:t>
      </w:r>
      <w:r>
        <w:t xml:space="preserve"> </w:t>
      </w:r>
      <w:r>
        <w:t xml:space="preserve">“</w:t>
      </w:r>
      <w:r>
        <w:t xml:space="preserve">live</w:t>
      </w:r>
      <w:r>
        <w:t xml:space="preserve">”</w:t>
      </w:r>
      <w:r>
        <w:t xml:space="preserve"> </w:t>
      </w:r>
      <w:r>
        <w:t xml:space="preserve">label without positive production evidence.</w:t>
      </w:r>
    </w:p>
    <w:p>
      <w:pPr>
        <w:numPr>
          <w:ilvl w:val="0"/>
          <w:numId w:val="1044"/>
        </w:numPr>
        <w:pStyle w:val="Compact"/>
      </w:pPr>
      <w:r>
        <w:t xml:space="preserve">No</w:t>
      </w:r>
      <w:r>
        <w:t xml:space="preserve"> </w:t>
      </w:r>
      <w:r>
        <w:t xml:space="preserve">“</w:t>
      </w:r>
      <w:r>
        <w:t xml:space="preserve">secure</w:t>
      </w:r>
      <w:r>
        <w:t xml:space="preserve">”</w:t>
      </w:r>
      <w:r>
        <w:t xml:space="preserve"> </w:t>
      </w:r>
      <w:r>
        <w:t xml:space="preserve">or</w:t>
      </w:r>
      <w:r>
        <w:t xml:space="preserve"> </w:t>
      </w:r>
      <w:r>
        <w:t xml:space="preserve">“</w:t>
      </w:r>
      <w:r>
        <w:t xml:space="preserve">quantum-safe</w:t>
      </w:r>
      <w:r>
        <w:t xml:space="preserve">”</w:t>
      </w:r>
      <w:r>
        <w:t xml:space="preserve"> </w:t>
      </w:r>
      <w:r>
        <w:t xml:space="preserve">claim without defined controls and testing.</w:t>
      </w:r>
    </w:p>
    <w:p>
      <w:pPr>
        <w:numPr>
          <w:ilvl w:val="0"/>
          <w:numId w:val="1044"/>
        </w:numPr>
        <w:pStyle w:val="Compact"/>
      </w:pPr>
      <w:r>
        <w:t xml:space="preserve">No automatic legal right, compensation, deletion or royalty claim.</w:t>
      </w:r>
    </w:p>
    <w:p>
      <w:pPr>
        <w:numPr>
          <w:ilvl w:val="0"/>
          <w:numId w:val="1044"/>
        </w:numPr>
        <w:pStyle w:val="Compact"/>
      </w:pPr>
      <w:r>
        <w:t xml:space="preserve">No country coverage claim without current provider confirmation.</w:t>
      </w:r>
    </w:p>
    <w:p>
      <w:pPr>
        <w:pStyle w:val="Heading1"/>
      </w:pPr>
      <w:bookmarkStart w:id="100" w:name="impact-measurement"/>
      <w:r>
        <w:t xml:space="preserve">25. Impact Measurement</w:t>
      </w:r>
      <w:bookmarkEnd w:id="100"/>
    </w:p>
    <w:p>
      <w:pPr>
        <w:pStyle w:val="FirstParagraph"/>
      </w:pPr>
      <w:r>
        <w:t xml:space="preserve">IN$DEX should measure progress through citizen outcomes rather than attention or feature volume.</w:t>
      </w:r>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Outcome area</w:t>
            </w:r>
          </w:p>
        </w:tc>
        <w:tc>
          <w:tcPr>
            <w:tcW w:type="dxa" w:w="4680"/>
            <w:tcBorders>
              <w:bottom w:val="single"/>
            </w:tcBorders>
            <w:vAlign w:val="bottom"/>
          </w:tcPr>
          <w:p>
            <w:pPr>
              <w:pStyle w:val="Compact"/>
              <w:jc w:val="left"/>
            </w:pPr>
            <w:r>
              <w:rPr>
                <w:b/>
              </w:rPr>
              <w:t xml:space="preserve">Measures</w:t>
            </w:r>
          </w:p>
        </w:tc>
      </w:tr>
      <w:tr>
        <w:tc>
          <w:tcPr>
            <w:tcW w:type="dxa" w:w="4680"/>
          </w:tcPr>
          <w:p>
            <w:pPr>
              <w:pStyle w:val="Compact"/>
              <w:jc w:val="left"/>
            </w:pPr>
            <w:r>
              <w:t xml:space="preserve">Access</w:t>
            </w:r>
          </w:p>
        </w:tc>
        <w:tc>
          <w:tcPr>
            <w:tcW w:type="dxa" w:w="4680"/>
          </w:tcPr>
          <w:p>
            <w:pPr>
              <w:pStyle w:val="Compact"/>
              <w:jc w:val="left"/>
            </w:pPr>
            <w:r>
              <w:t xml:space="preserve">Successful onboarding, assisted completion, accessibility completion and low-data completion.</w:t>
            </w:r>
          </w:p>
        </w:tc>
      </w:tr>
      <w:tr>
        <w:tc>
          <w:tcPr>
            <w:tcW w:type="dxa" w:w="4680"/>
          </w:tcPr>
          <w:p>
            <w:pPr>
              <w:pStyle w:val="Compact"/>
              <w:jc w:val="left"/>
            </w:pPr>
            <w:r>
              <w:t xml:space="preserve">Trust</w:t>
            </w:r>
          </w:p>
        </w:tc>
        <w:tc>
          <w:tcPr>
            <w:tcW w:type="dxa" w:w="4680"/>
          </w:tcPr>
          <w:p>
            <w:pPr>
              <w:pStyle w:val="Compact"/>
              <w:jc w:val="left"/>
            </w:pPr>
            <w:r>
              <w:t xml:space="preserve">Costs understood, scams identified, warnings acted on and complaints resolved.</w:t>
            </w:r>
          </w:p>
        </w:tc>
      </w:tr>
      <w:tr>
        <w:tc>
          <w:tcPr>
            <w:tcW w:type="dxa" w:w="4680"/>
          </w:tcPr>
          <w:p>
            <w:pPr>
              <w:pStyle w:val="Compact"/>
              <w:jc w:val="left"/>
            </w:pPr>
            <w:r>
              <w:t xml:space="preserve">Commerce</w:t>
            </w:r>
          </w:p>
        </w:tc>
        <w:tc>
          <w:tcPr>
            <w:tcW w:type="dxa" w:w="4680"/>
          </w:tcPr>
          <w:p>
            <w:pPr>
              <w:pStyle w:val="Compact"/>
              <w:jc w:val="left"/>
            </w:pPr>
            <w:r>
              <w:t xml:space="preserve">First listing, first verified order, payment preparation, invoice completion and repeat customer.</w:t>
            </w:r>
          </w:p>
        </w:tc>
      </w:tr>
      <w:tr>
        <w:tc>
          <w:tcPr>
            <w:tcW w:type="dxa" w:w="4680"/>
          </w:tcPr>
          <w:p>
            <w:pPr>
              <w:pStyle w:val="Compact"/>
              <w:jc w:val="left"/>
            </w:pPr>
            <w:r>
              <w:t xml:space="preserve">Opportunity</w:t>
            </w:r>
          </w:p>
        </w:tc>
        <w:tc>
          <w:tcPr>
            <w:tcW w:type="dxa" w:w="4680"/>
          </w:tcPr>
          <w:p>
            <w:pPr>
              <w:pStyle w:val="Compact"/>
              <w:jc w:val="left"/>
            </w:pPr>
            <w:r>
              <w:t xml:space="preserve">Applications completed, work started, credentials accepted and income evidence created.</w:t>
            </w:r>
          </w:p>
        </w:tc>
      </w:tr>
      <w:tr>
        <w:tc>
          <w:tcPr>
            <w:tcW w:type="dxa" w:w="4680"/>
          </w:tcPr>
          <w:p>
            <w:pPr>
              <w:pStyle w:val="Compact"/>
              <w:jc w:val="left"/>
            </w:pPr>
            <w:r>
              <w:t xml:space="preserve">Learning</w:t>
            </w:r>
          </w:p>
        </w:tc>
        <w:tc>
          <w:tcPr>
            <w:tcW w:type="dxa" w:w="4680"/>
          </w:tcPr>
          <w:p>
            <w:pPr>
              <w:pStyle w:val="Compact"/>
              <w:jc w:val="left"/>
            </w:pPr>
            <w:r>
              <w:t xml:space="preserve">Course completion, skill proof, employer acceptance and learner progression.</w:t>
            </w:r>
          </w:p>
        </w:tc>
      </w:tr>
      <w:tr>
        <w:tc>
          <w:tcPr>
            <w:tcW w:type="dxa" w:w="4680"/>
          </w:tcPr>
          <w:p>
            <w:pPr>
              <w:pStyle w:val="Compact"/>
              <w:jc w:val="left"/>
            </w:pPr>
            <w:r>
              <w:t xml:space="preserve">Payments</w:t>
            </w:r>
          </w:p>
        </w:tc>
        <w:tc>
          <w:tcPr>
            <w:tcW w:type="dxa" w:w="4680"/>
          </w:tcPr>
          <w:p>
            <w:pPr>
              <w:pStyle w:val="Compact"/>
              <w:jc w:val="left"/>
            </w:pPr>
            <w:r>
              <w:t xml:space="preserve">Total cost shown, transfer completion, reconciliation, errors and recovery.</w:t>
            </w:r>
          </w:p>
        </w:tc>
      </w:tr>
      <w:tr>
        <w:tc>
          <w:tcPr>
            <w:tcW w:type="dxa" w:w="4680"/>
          </w:tcPr>
          <w:p>
            <w:pPr>
              <w:pStyle w:val="Compact"/>
              <w:jc w:val="left"/>
            </w:pPr>
            <w:r>
              <w:t xml:space="preserve">Portability</w:t>
            </w:r>
          </w:p>
        </w:tc>
        <w:tc>
          <w:tcPr>
            <w:tcW w:type="dxa" w:w="4680"/>
          </w:tcPr>
          <w:p>
            <w:pPr>
              <w:pStyle w:val="Compact"/>
              <w:jc w:val="left"/>
            </w:pPr>
            <w:r>
              <w:t xml:space="preserve">Credentials, data, receipts and contacts successfully exported.</w:t>
            </w:r>
          </w:p>
        </w:tc>
      </w:tr>
      <w:tr>
        <w:tc>
          <w:tcPr>
            <w:tcW w:type="dxa" w:w="4680"/>
          </w:tcPr>
          <w:p>
            <w:pPr>
              <w:pStyle w:val="Compact"/>
              <w:jc w:val="left"/>
            </w:pPr>
            <w:r>
              <w:t xml:space="preserve">Sovereignty</w:t>
            </w:r>
          </w:p>
        </w:tc>
        <w:tc>
          <w:tcPr>
            <w:tcW w:type="dxa" w:w="4680"/>
          </w:tcPr>
          <w:p>
            <w:pPr>
              <w:pStyle w:val="Compact"/>
              <w:jc w:val="left"/>
            </w:pPr>
            <w:r>
              <w:t xml:space="preserve">Provider switches, permissions revoked, disputes appealed and exits completed.</w:t>
            </w:r>
          </w:p>
        </w:tc>
      </w:tr>
      <w:tr>
        <w:tc>
          <w:tcPr>
            <w:tcW w:type="dxa" w:w="4680"/>
          </w:tcPr>
          <w:p>
            <w:pPr>
              <w:pStyle w:val="Compact"/>
              <w:jc w:val="left"/>
            </w:pPr>
            <w:r>
              <w:t xml:space="preserve">Culture</w:t>
            </w:r>
          </w:p>
        </w:tc>
        <w:tc>
          <w:tcPr>
            <w:tcW w:type="dxa" w:w="4680"/>
          </w:tcPr>
          <w:p>
            <w:pPr>
              <w:pStyle w:val="Compact"/>
              <w:jc w:val="left"/>
            </w:pPr>
            <w:r>
              <w:t xml:space="preserve">Permissions recorded, attribution preserved, revenue shared and restricted use prevented.</w:t>
            </w:r>
          </w:p>
        </w:tc>
      </w:tr>
      <w:tr>
        <w:tc>
          <w:tcPr>
            <w:tcW w:type="dxa" w:w="4680"/>
          </w:tcPr>
          <w:p>
            <w:pPr>
              <w:pStyle w:val="Compact"/>
              <w:jc w:val="left"/>
            </w:pPr>
            <w:r>
              <w:t xml:space="preserve">Operations</w:t>
            </w:r>
          </w:p>
        </w:tc>
        <w:tc>
          <w:tcPr>
            <w:tcW w:type="dxa" w:w="4680"/>
          </w:tcPr>
          <w:p>
            <w:pPr>
              <w:pStyle w:val="Compact"/>
              <w:jc w:val="left"/>
            </w:pPr>
            <w:r>
              <w:t xml:space="preserve">Cost per useful result, human-review rate, failure recovery and production incidents.</w:t>
            </w:r>
          </w:p>
        </w:tc>
      </w:tr>
    </w:tbl>
    <w:tbl>
      <w:tblPr>
        <w:tblStyle w:val="Table"/>
        <w:tblW w:type="dxa" w:w="9360"/>
        <w:tblLook w:firstRow="1"/>
        <w:tblLayout w:type="fixed"/>
      </w:tblPr>
      <w:tblGrid>
        <w:gridCol w:w="576"/>
        <w:gridCol w:w="8784"/>
      </w:tblGrid>
      <w:tr>
        <w:trPr>
          <w:cnfStyle w:firstRow="1"/>
        </w:trPr>
        <w:tc>
          <w:tcPr>
            <w:tcW w:type="dxa" w:w="576"/>
            <w:tcBorders>
              <w:bottom w:val="single"/>
            </w:tcBorders>
            <w:vAlign w:val="bottom"/>
          </w:tcPr>
          <w:p/>
        </w:tc>
        <w:tc>
          <w:tcPr>
            <w:tcW w:type="dxa" w:w="8784"/>
            <w:tcBorders>
              <w:bottom w:val="single"/>
            </w:tcBorders>
            <w:vAlign w:val="bottom"/>
          </w:tcPr>
          <w:p>
            <w:pPr>
              <w:pStyle w:val="Compact"/>
              <w:jc w:val="left"/>
            </w:pPr>
            <w:r>
              <w:rPr>
                <w:b/>
              </w:rPr>
              <w:t xml:space="preserve">Metrics IN$DEX refuses to optimise as primary goals:</w:t>
            </w:r>
            <w:r>
              <w:t xml:space="preserve"> </w:t>
            </w:r>
            <w:r>
              <w:t xml:space="preserve">Daily visits, streaks, time on screen, likes, follower count, notification opens, posting frequency, token-price attention and unsupported user counts.</w:t>
            </w:r>
          </w:p>
        </w:tc>
      </w:tr>
    </w:tbl>
    <w:p>
      <w:pPr>
        <w:pStyle w:val="Heading1"/>
      </w:pPr>
      <w:bookmarkStart w:id="101" w:name="risks-and-mitigations"/>
      <w:r>
        <w:t xml:space="preserve">26. Risks and Mitigations</w:t>
      </w:r>
      <w:bookmarkEnd w:id="101"/>
    </w:p>
    <w:tbl>
      <w:tblPr>
        <w:tblStyle w:val="Table"/>
        <w:tblW w:type="dxa" w:w="9360"/>
        <w:tblLook w:firstRow="1"/>
        <w:tblLayout w:type="fixed"/>
      </w:tblPr>
      <w:tblGrid>
        <w:gridCol w:w="3120"/>
        <w:gridCol w:w="3120"/>
        <w:gridCol w:w="3120"/>
      </w:tblGrid>
      <w:tr>
        <w:trPr>
          <w:cnfStyle w:firstRow="1"/>
        </w:trPr>
        <w:tc>
          <w:tcPr>
            <w:tcW w:type="dxa" w:w="3120"/>
            <w:tcBorders>
              <w:bottom w:val="single"/>
            </w:tcBorders>
            <w:vAlign w:val="bottom"/>
          </w:tcPr>
          <w:p>
            <w:pPr>
              <w:pStyle w:val="Compact"/>
              <w:jc w:val="left"/>
            </w:pPr>
            <w:r>
              <w:rPr>
                <w:b/>
              </w:rPr>
              <w:t xml:space="preserve">Risk</w:t>
            </w:r>
          </w:p>
        </w:tc>
        <w:tc>
          <w:tcPr>
            <w:tcW w:type="dxa" w:w="3120"/>
            <w:tcBorders>
              <w:bottom w:val="single"/>
            </w:tcBorders>
            <w:vAlign w:val="bottom"/>
          </w:tcPr>
          <w:p>
            <w:pPr>
              <w:pStyle w:val="Compact"/>
              <w:jc w:val="left"/>
            </w:pPr>
            <w:r>
              <w:rPr>
                <w:b/>
              </w:rPr>
              <w:t xml:space="preserve">Why it matters</w:t>
            </w:r>
          </w:p>
        </w:tc>
        <w:tc>
          <w:tcPr>
            <w:tcW w:type="dxa" w:w="3120"/>
            <w:tcBorders>
              <w:bottom w:val="single"/>
            </w:tcBorders>
            <w:vAlign w:val="bottom"/>
          </w:tcPr>
          <w:p>
            <w:pPr>
              <w:pStyle w:val="Compact"/>
              <w:jc w:val="left"/>
            </w:pPr>
            <w:r>
              <w:rPr>
                <w:b/>
              </w:rPr>
              <w:t xml:space="preserve">Mitigation</w:t>
            </w:r>
          </w:p>
        </w:tc>
      </w:tr>
      <w:tr>
        <w:tc>
          <w:tcPr>
            <w:tcW w:type="dxa" w:w="3120"/>
          </w:tcPr>
          <w:p>
            <w:pPr>
              <w:pStyle w:val="Compact"/>
              <w:jc w:val="left"/>
            </w:pPr>
            <w:r>
              <w:t xml:space="preserve">Scope expansion</w:t>
            </w:r>
          </w:p>
        </w:tc>
        <w:tc>
          <w:tcPr>
            <w:tcW w:type="dxa" w:w="3120"/>
          </w:tcPr>
          <w:p>
            <w:pPr>
              <w:pStyle w:val="Compact"/>
              <w:jc w:val="left"/>
            </w:pPr>
            <w:r>
              <w:t xml:space="preserve">The civilisation vision creates endless features.</w:t>
            </w:r>
          </w:p>
        </w:tc>
        <w:tc>
          <w:tcPr>
            <w:tcW w:type="dxa" w:w="3120"/>
          </w:tcPr>
          <w:p>
            <w:pPr>
              <w:pStyle w:val="Compact"/>
              <w:jc w:val="left"/>
            </w:pPr>
            <w:r>
              <w:t xml:space="preserve">Freeze new scope until golden paths and pilot materials pass.</w:t>
            </w:r>
          </w:p>
        </w:tc>
      </w:tr>
      <w:tr>
        <w:tc>
          <w:tcPr>
            <w:tcW w:type="dxa" w:w="3120"/>
          </w:tcPr>
          <w:p>
            <w:pPr>
              <w:pStyle w:val="Compact"/>
              <w:jc w:val="left"/>
            </w:pPr>
            <w:r>
              <w:t xml:space="preserve">Regulatory misclassification</w:t>
            </w:r>
          </w:p>
        </w:tc>
        <w:tc>
          <w:tcPr>
            <w:tcW w:type="dxa" w:w="3120"/>
          </w:tcPr>
          <w:p>
            <w:pPr>
              <w:pStyle w:val="Compact"/>
              <w:jc w:val="left"/>
            </w:pPr>
            <w:r>
              <w:t xml:space="preserve">A feature may be a financial, payment, credit, custody, insurance or market service.</w:t>
            </w:r>
          </w:p>
        </w:tc>
        <w:tc>
          <w:tcPr>
            <w:tcW w:type="dxa" w:w="3120"/>
          </w:tcPr>
          <w:p>
            <w:pPr>
              <w:pStyle w:val="Compact"/>
              <w:jc w:val="left"/>
            </w:pPr>
            <w:r>
              <w:t xml:space="preserve">Product boundary register, counsel, licensed partners and release gates.</w:t>
            </w:r>
          </w:p>
        </w:tc>
      </w:tr>
      <w:tr>
        <w:tc>
          <w:tcPr>
            <w:tcW w:type="dxa" w:w="3120"/>
          </w:tcPr>
          <w:p>
            <w:pPr>
              <w:pStyle w:val="Compact"/>
              <w:jc w:val="left"/>
            </w:pPr>
            <w:r>
              <w:t xml:space="preserve">False completion</w:t>
            </w:r>
          </w:p>
        </w:tc>
        <w:tc>
          <w:tcPr>
            <w:tcW w:type="dxa" w:w="3120"/>
          </w:tcPr>
          <w:p>
            <w:pPr>
              <w:pStyle w:val="Compact"/>
              <w:jc w:val="left"/>
            </w:pPr>
            <w:r>
              <w:t xml:space="preserve">Screens or local data look operational.</w:t>
            </w:r>
          </w:p>
        </w:tc>
        <w:tc>
          <w:tcPr>
            <w:tcW w:type="dxa" w:w="3120"/>
          </w:tcPr>
          <w:p>
            <w:pPr>
              <w:pStyle w:val="Compact"/>
              <w:jc w:val="left"/>
            </w:pPr>
            <w:r>
              <w:t xml:space="preserve">Product Reality Matrix, positive production tests and evidence receipts.</w:t>
            </w:r>
          </w:p>
        </w:tc>
      </w:tr>
      <w:tr>
        <w:tc>
          <w:tcPr>
            <w:tcW w:type="dxa" w:w="3120"/>
          </w:tcPr>
          <w:p>
            <w:pPr>
              <w:pStyle w:val="Compact"/>
              <w:jc w:val="left"/>
            </w:pPr>
            <w:r>
              <w:t xml:space="preserve">Token speculation</w:t>
            </w:r>
          </w:p>
        </w:tc>
        <w:tc>
          <w:tcPr>
            <w:tcW w:type="dxa" w:w="3120"/>
          </w:tcPr>
          <w:p>
            <w:pPr>
              <w:pStyle w:val="Compact"/>
              <w:jc w:val="left"/>
            </w:pPr>
            <w:r>
              <w:t xml:space="preserve">Marketing may overshadow citizen value.</w:t>
            </w:r>
          </w:p>
        </w:tc>
        <w:tc>
          <w:tcPr>
            <w:tcW w:type="dxa" w:w="3120"/>
          </w:tcPr>
          <w:p>
            <w:pPr>
              <w:pStyle w:val="Compact"/>
              <w:jc w:val="left"/>
            </w:pPr>
            <w:r>
              <w:t xml:space="preserve">No price targets or yield promises; service-led business model.</w:t>
            </w:r>
          </w:p>
        </w:tc>
      </w:tr>
      <w:tr>
        <w:tc>
          <w:tcPr>
            <w:tcW w:type="dxa" w:w="3120"/>
          </w:tcPr>
          <w:p>
            <w:pPr>
              <w:pStyle w:val="Compact"/>
              <w:jc w:val="left"/>
            </w:pPr>
            <w:r>
              <w:t xml:space="preserve">Provider dependency</w:t>
            </w:r>
          </w:p>
        </w:tc>
        <w:tc>
          <w:tcPr>
            <w:tcW w:type="dxa" w:w="3120"/>
          </w:tcPr>
          <w:p>
            <w:pPr>
              <w:pStyle w:val="Compact"/>
              <w:jc w:val="left"/>
            </w:pPr>
            <w:r>
              <w:t xml:space="preserve">One bank, chain, model or telecom can block citizens.</w:t>
            </w:r>
          </w:p>
        </w:tc>
        <w:tc>
          <w:tcPr>
            <w:tcW w:type="dxa" w:w="3120"/>
          </w:tcPr>
          <w:p>
            <w:pPr>
              <w:pStyle w:val="Compact"/>
              <w:jc w:val="left"/>
            </w:pPr>
            <w:r>
              <w:t xml:space="preserve">Adapters, secondary providers, export and exit plans.</w:t>
            </w:r>
          </w:p>
        </w:tc>
      </w:tr>
      <w:tr>
        <w:tc>
          <w:tcPr>
            <w:tcW w:type="dxa" w:w="3120"/>
          </w:tcPr>
          <w:p>
            <w:pPr>
              <w:pStyle w:val="Compact"/>
              <w:jc w:val="left"/>
            </w:pPr>
            <w:r>
              <w:t xml:space="preserve">Agent overreach</w:t>
            </w:r>
          </w:p>
        </w:tc>
        <w:tc>
          <w:tcPr>
            <w:tcW w:type="dxa" w:w="3120"/>
          </w:tcPr>
          <w:p>
            <w:pPr>
              <w:pStyle w:val="Compact"/>
              <w:jc w:val="left"/>
            </w:pPr>
            <w:r>
              <w:t xml:space="preserve">SIINDEX executes beyond the citizen’s intent.</w:t>
            </w:r>
          </w:p>
        </w:tc>
        <w:tc>
          <w:tcPr>
            <w:tcW w:type="dxa" w:w="3120"/>
          </w:tcPr>
          <w:p>
            <w:pPr>
              <w:pStyle w:val="Compact"/>
              <w:jc w:val="left"/>
            </w:pPr>
            <w:r>
              <w:t xml:space="preserve">Work mandates, authority levels, approval inbox, tool limits and kill switches.</w:t>
            </w:r>
          </w:p>
        </w:tc>
      </w:tr>
      <w:tr>
        <w:tc>
          <w:tcPr>
            <w:tcW w:type="dxa" w:w="3120"/>
          </w:tcPr>
          <w:p>
            <w:pPr>
              <w:pStyle w:val="Compact"/>
              <w:jc w:val="left"/>
            </w:pPr>
            <w:r>
              <w:t xml:space="preserve">Privacy and surveillance</w:t>
            </w:r>
          </w:p>
        </w:tc>
        <w:tc>
          <w:tcPr>
            <w:tcW w:type="dxa" w:w="3120"/>
          </w:tcPr>
          <w:p>
            <w:pPr>
              <w:pStyle w:val="Compact"/>
              <w:jc w:val="left"/>
            </w:pPr>
            <w:r>
              <w:t xml:space="preserve">Personalisation becomes data extraction.</w:t>
            </w:r>
          </w:p>
        </w:tc>
        <w:tc>
          <w:tcPr>
            <w:tcW w:type="dxa" w:w="3120"/>
          </w:tcPr>
          <w:p>
            <w:pPr>
              <w:pStyle w:val="Compact"/>
              <w:jc w:val="left"/>
            </w:pPr>
            <w:r>
              <w:t xml:space="preserve">Purpose limitation, granular consent, no silent memory and private-by-default data.</w:t>
            </w:r>
          </w:p>
        </w:tc>
      </w:tr>
      <w:tr>
        <w:tc>
          <w:tcPr>
            <w:tcW w:type="dxa" w:w="3120"/>
          </w:tcPr>
          <w:p>
            <w:pPr>
              <w:pStyle w:val="Compact"/>
              <w:jc w:val="left"/>
            </w:pPr>
            <w:r>
              <w:t xml:space="preserve">Cultural misappropriation</w:t>
            </w:r>
          </w:p>
        </w:tc>
        <w:tc>
          <w:tcPr>
            <w:tcW w:type="dxa" w:w="3120"/>
          </w:tcPr>
          <w:p>
            <w:pPr>
              <w:pStyle w:val="Compact"/>
              <w:jc w:val="left"/>
            </w:pPr>
            <w:r>
              <w:t xml:space="preserve">Generic systems commercialise restricted knowledge.</w:t>
            </w:r>
          </w:p>
        </w:tc>
        <w:tc>
          <w:tcPr>
            <w:tcW w:type="dxa" w:w="3120"/>
          </w:tcPr>
          <w:p>
            <w:pPr>
              <w:pStyle w:val="Compact"/>
              <w:jc w:val="left"/>
            </w:pPr>
            <w:r>
              <w:t xml:space="preserve">Authorised cultural review, classification, attribution and revocation.</w:t>
            </w:r>
          </w:p>
        </w:tc>
      </w:tr>
      <w:tr>
        <w:tc>
          <w:tcPr>
            <w:tcW w:type="dxa" w:w="3120"/>
          </w:tcPr>
          <w:p>
            <w:pPr>
              <w:pStyle w:val="Compact"/>
              <w:jc w:val="left"/>
            </w:pPr>
            <w:r>
              <w:t xml:space="preserve">Fraud and irreversible loss</w:t>
            </w:r>
          </w:p>
        </w:tc>
        <w:tc>
          <w:tcPr>
            <w:tcW w:type="dxa" w:w="3120"/>
          </w:tcPr>
          <w:p>
            <w:pPr>
              <w:pStyle w:val="Compact"/>
              <w:jc w:val="left"/>
            </w:pPr>
            <w:r>
              <w:t xml:space="preserve">Scams, address substitution or account takeover.</w:t>
            </w:r>
          </w:p>
        </w:tc>
        <w:tc>
          <w:tcPr>
            <w:tcW w:type="dxa" w:w="3120"/>
          </w:tcPr>
          <w:p>
            <w:pPr>
              <w:pStyle w:val="Compact"/>
              <w:jc w:val="left"/>
            </w:pPr>
            <w:r>
              <w:t xml:space="preserve">Citizen Shield, destination verification, step-up auth, limits and recovery.</w:t>
            </w:r>
          </w:p>
        </w:tc>
      </w:tr>
      <w:tr>
        <w:tc>
          <w:tcPr>
            <w:tcW w:type="dxa" w:w="3120"/>
          </w:tcPr>
          <w:p>
            <w:pPr>
              <w:pStyle w:val="Compact"/>
              <w:jc w:val="left"/>
            </w:pPr>
            <w:r>
              <w:t xml:space="preserve">Low connectivity</w:t>
            </w:r>
          </w:p>
        </w:tc>
        <w:tc>
          <w:tcPr>
            <w:tcW w:type="dxa" w:w="3120"/>
          </w:tcPr>
          <w:p>
            <w:pPr>
              <w:pStyle w:val="Compact"/>
              <w:jc w:val="left"/>
            </w:pPr>
            <w:r>
              <w:t xml:space="preserve">Services fail where needed most.</w:t>
            </w:r>
          </w:p>
        </w:tc>
        <w:tc>
          <w:tcPr>
            <w:tcW w:type="dxa" w:w="3120"/>
          </w:tcPr>
          <w:p>
            <w:pPr>
              <w:pStyle w:val="Compact"/>
              <w:jc w:val="left"/>
            </w:pPr>
            <w:r>
              <w:t xml:space="preserve">Low-data, offline preparation, assisted mode and telecom partnerships.</w:t>
            </w:r>
          </w:p>
        </w:tc>
      </w:tr>
      <w:tr>
        <w:tc>
          <w:tcPr>
            <w:tcW w:type="dxa" w:w="3120"/>
          </w:tcPr>
          <w:p>
            <w:pPr>
              <w:pStyle w:val="Compact"/>
              <w:jc w:val="left"/>
            </w:pPr>
            <w:r>
              <w:t xml:space="preserve">Founder concentration</w:t>
            </w:r>
          </w:p>
        </w:tc>
        <w:tc>
          <w:tcPr>
            <w:tcW w:type="dxa" w:w="3120"/>
          </w:tcPr>
          <w:p>
            <w:pPr>
              <w:pStyle w:val="Compact"/>
              <w:jc w:val="left"/>
            </w:pPr>
            <w:r>
              <w:t xml:space="preserve">Key decisions and knowledge depend on one person.</w:t>
            </w:r>
          </w:p>
        </w:tc>
        <w:tc>
          <w:tcPr>
            <w:tcW w:type="dxa" w:w="3120"/>
          </w:tcPr>
          <w:p>
            <w:pPr>
              <w:pStyle w:val="Compact"/>
              <w:jc w:val="left"/>
            </w:pPr>
            <w:r>
              <w:t xml:space="preserve">Company governance, documentation, advisers, delegation and succession plan.</w:t>
            </w:r>
          </w:p>
        </w:tc>
      </w:tr>
      <w:tr>
        <w:tc>
          <w:tcPr>
            <w:tcW w:type="dxa" w:w="3120"/>
          </w:tcPr>
          <w:p>
            <w:pPr>
              <w:pStyle w:val="Compact"/>
              <w:jc w:val="left"/>
            </w:pPr>
            <w:r>
              <w:t xml:space="preserve">Financial sustainability</w:t>
            </w:r>
          </w:p>
        </w:tc>
        <w:tc>
          <w:tcPr>
            <w:tcW w:type="dxa" w:w="3120"/>
          </w:tcPr>
          <w:p>
            <w:pPr>
              <w:pStyle w:val="Compact"/>
              <w:jc w:val="left"/>
            </w:pPr>
            <w:r>
              <w:t xml:space="preserve">Infrastructure and review cost exceed revenue.</w:t>
            </w:r>
          </w:p>
        </w:tc>
        <w:tc>
          <w:tcPr>
            <w:tcW w:type="dxa" w:w="3120"/>
          </w:tcPr>
          <w:p>
            <w:pPr>
              <w:pStyle w:val="Compact"/>
              <w:jc w:val="left"/>
            </w:pPr>
            <w:r>
              <w:t xml:space="preserve">Pilot unit economics, non-token revenue and phased scale.</w:t>
            </w:r>
          </w:p>
        </w:tc>
      </w:tr>
    </w:tbl>
    <w:p>
      <w:pPr>
        <w:pStyle w:val="Heading1"/>
      </w:pPr>
      <w:bookmarkStart w:id="102" w:name="team-and-accountability"/>
      <w:r>
        <w:t xml:space="preserve">27. Team and Accountability</w:t>
      </w:r>
      <w:bookmarkEnd w:id="102"/>
    </w:p>
    <w:p>
      <w:pPr>
        <w:pStyle w:val="Heading2"/>
      </w:pPr>
      <w:bookmarkStart w:id="103" w:name="founder"/>
      <w:r>
        <w:t xml:space="preserve">Founder</w:t>
      </w:r>
      <w:bookmarkEnd w:id="103"/>
    </w:p>
    <w:p>
      <w:pPr>
        <w:pStyle w:val="FirstParagraph"/>
      </w:pPr>
      <w:r>
        <w:t xml:space="preserve">Arthur John Henry is the founder and current accountable operator of IN$DEX. He defines the civilisation mission, product doctrine, Pacific-first position and SIINDEX identity. The project must now add formal corporate, legal, security, compliance, finance, cultural and technical accountability around the founder.</w:t>
      </w:r>
    </w:p>
    <w:p>
      <w:pPr>
        <w:pStyle w:val="Heading2"/>
      </w:pPr>
      <w:bookmarkStart w:id="104" w:name="siindex-1"/>
      <w:r>
        <w:t xml:space="preserve">SIINDEX</w:t>
      </w:r>
      <w:bookmarkEnd w:id="104"/>
    </w:p>
    <w:p>
      <w:pPr>
        <w:pStyle w:val="FirstParagraph"/>
      </w:pPr>
      <w:r>
        <w:t xml:space="preserve">SIINDEX is the synthetic executive operating system. She prepares strategy and operations but does not replace legal directors, regulated officers or human authority.</w:t>
      </w:r>
    </w:p>
    <w:p>
      <w:pPr>
        <w:pStyle w:val="Heading2"/>
      </w:pPr>
      <w:bookmarkStart w:id="105" w:name="required-prelaunch-roles"/>
      <w:r>
        <w:t xml:space="preserve">Required prelaunch roles</w:t>
      </w:r>
      <w:bookmarkEnd w:id="105"/>
    </w:p>
    <w:p>
      <w:pPr>
        <w:numPr>
          <w:ilvl w:val="0"/>
          <w:numId w:val="1045"/>
        </w:numPr>
        <w:pStyle w:val="Compact"/>
      </w:pPr>
      <w:r>
        <w:t xml:space="preserve">Corporate and digital-assets lawyer.</w:t>
      </w:r>
    </w:p>
    <w:p>
      <w:pPr>
        <w:numPr>
          <w:ilvl w:val="0"/>
          <w:numId w:val="1045"/>
        </w:numPr>
        <w:pStyle w:val="Compact"/>
      </w:pPr>
      <w:r>
        <w:t xml:space="preserve">AML/CTF adviser or independent reviewer.</w:t>
      </w:r>
    </w:p>
    <w:p>
      <w:pPr>
        <w:numPr>
          <w:ilvl w:val="0"/>
          <w:numId w:val="1045"/>
        </w:numPr>
        <w:pStyle w:val="Compact"/>
      </w:pPr>
      <w:r>
        <w:t xml:space="preserve">Security architect and penetration-testing partner.</w:t>
      </w:r>
    </w:p>
    <w:p>
      <w:pPr>
        <w:numPr>
          <w:ilvl w:val="0"/>
          <w:numId w:val="1045"/>
        </w:numPr>
        <w:pStyle w:val="Compact"/>
      </w:pPr>
      <w:r>
        <w:t xml:space="preserve">Finance and treasury controller.</w:t>
      </w:r>
    </w:p>
    <w:p>
      <w:pPr>
        <w:numPr>
          <w:ilvl w:val="0"/>
          <w:numId w:val="1045"/>
        </w:numPr>
        <w:pStyle w:val="Compact"/>
      </w:pPr>
      <w:r>
        <w:t xml:space="preserve">Product and engineering lead accountable for golden paths.</w:t>
      </w:r>
    </w:p>
    <w:p>
      <w:pPr>
        <w:numPr>
          <w:ilvl w:val="0"/>
          <w:numId w:val="1045"/>
        </w:numPr>
        <w:pStyle w:val="Compact"/>
      </w:pPr>
      <w:r>
        <w:t xml:space="preserve">Pacific community and cultural advisers.</w:t>
      </w:r>
    </w:p>
    <w:p>
      <w:pPr>
        <w:numPr>
          <w:ilvl w:val="0"/>
          <w:numId w:val="1045"/>
        </w:numPr>
        <w:pStyle w:val="Compact"/>
      </w:pPr>
      <w:r>
        <w:t xml:space="preserve">Partnership and pilot lead.</w:t>
      </w:r>
    </w:p>
    <w:p>
      <w:pPr>
        <w:numPr>
          <w:ilvl w:val="0"/>
          <w:numId w:val="1045"/>
        </w:numPr>
        <w:pStyle w:val="Compact"/>
      </w:pPr>
      <w:r>
        <w:t xml:space="preserve">Privacy and data-governance lead.</w:t>
      </w:r>
    </w:p>
    <w:p>
      <w:pPr>
        <w:numPr>
          <w:ilvl w:val="0"/>
          <w:numId w:val="1045"/>
        </w:numPr>
        <w:pStyle w:val="Compact"/>
      </w:pPr>
      <w:r>
        <w:t xml:space="preserve">Independent adviser or board member with regulated-finance experience.</w:t>
      </w:r>
    </w:p>
    <w:p>
      <w:pPr>
        <w:pStyle w:val="Heading2"/>
      </w:pPr>
      <w:bookmarkStart w:id="106" w:name="operating-principle"/>
      <w:r>
        <w:t xml:space="preserve">Operating principle</w:t>
      </w:r>
      <w:bookmarkEnd w:id="106"/>
    </w:p>
    <w:p>
      <w:pPr>
        <w:pStyle w:val="FirstParagraph"/>
      </w:pPr>
      <w:r>
        <w:t xml:space="preserve">Every critical responsibility requires a named human owner, an evidence source, an escalation path and a backup. SIINDEX coordinates the operating system. Humans remain accountable for the institution.</w:t>
      </w:r>
    </w:p>
    <w:p>
      <w:pPr>
        <w:pStyle w:val="Heading1"/>
      </w:pPr>
      <w:bookmarkStart w:id="107" w:name="evidence-gated-roadmap"/>
      <w:r>
        <w:t xml:space="preserve">28. Evidence-Gated Roadmap</w:t>
      </w:r>
      <w:bookmarkEnd w:id="107"/>
    </w:p>
    <w:p>
      <w:pPr>
        <w:pStyle w:val="FirstParagraph"/>
      </w:pPr>
      <w:r>
        <w:rPr>
          <w:i/>
        </w:rPr>
        <w:t xml:space="preserve">Figure 3. Evidence-gated roadmap.</w:t>
      </w:r>
    </w:p>
    <w:p>
      <w:pPr>
        <w:pStyle w:val="Heading2"/>
      </w:pPr>
      <w:bookmarkStart w:id="108" w:name="immediate-prelaunch-by-1-august-2026"/>
      <w:r>
        <w:t xml:space="preserve">Immediate prelaunch: by 1 August 2026</w:t>
      </w:r>
      <w:bookmarkEnd w:id="108"/>
    </w:p>
    <w:p>
      <w:pPr>
        <w:numPr>
          <w:ilvl w:val="0"/>
          <w:numId w:val="1046"/>
        </w:numPr>
        <w:pStyle w:val="Compact"/>
      </w:pPr>
      <w:r>
        <w:t xml:space="preserve">Complete and positively verify the SIINDEX founder executive golden path.</w:t>
      </w:r>
    </w:p>
    <w:p>
      <w:pPr>
        <w:numPr>
          <w:ilvl w:val="0"/>
          <w:numId w:val="1046"/>
        </w:numPr>
        <w:pStyle w:val="Compact"/>
      </w:pPr>
      <w:r>
        <w:t xml:space="preserve">Complete one controlled citizen private journey and cross-citizen isolation test.</w:t>
      </w:r>
    </w:p>
    <w:p>
      <w:pPr>
        <w:numPr>
          <w:ilvl w:val="0"/>
          <w:numId w:val="1046"/>
        </w:numPr>
        <w:pStyle w:val="Compact"/>
      </w:pPr>
      <w:r>
        <w:t xml:space="preserve">Complete one merchant or opportunity journey with a real deliverable and receipt.</w:t>
      </w:r>
    </w:p>
    <w:p>
      <w:pPr>
        <w:numPr>
          <w:ilvl w:val="0"/>
          <w:numId w:val="1046"/>
        </w:numPr>
        <w:pStyle w:val="Compact"/>
      </w:pPr>
      <w:r>
        <w:t xml:space="preserve">Publish Whitepaper v2, a partner one-page brief, a ten-slide deck and a five-minute verified demonstration.</w:t>
      </w:r>
    </w:p>
    <w:p>
      <w:pPr>
        <w:numPr>
          <w:ilvl w:val="0"/>
          <w:numId w:val="1046"/>
        </w:numPr>
        <w:pStyle w:val="Compact"/>
      </w:pPr>
      <w:r>
        <w:t xml:space="preserve">Create the Product Reality Matrix and partner data room.</w:t>
      </w:r>
    </w:p>
    <w:p>
      <w:pPr>
        <w:numPr>
          <w:ilvl w:val="0"/>
          <w:numId w:val="1046"/>
        </w:numPr>
        <w:pStyle w:val="Compact"/>
      </w:pPr>
      <w:r>
        <w:t xml:space="preserve">Remove or quarantine speculative financial, fake-live and unsupported partner claims.</w:t>
      </w:r>
    </w:p>
    <w:p>
      <w:pPr>
        <w:numPr>
          <w:ilvl w:val="0"/>
          <w:numId w:val="1046"/>
        </w:numPr>
        <w:pStyle w:val="Compact"/>
      </w:pPr>
      <w:r>
        <w:t xml:space="preserve">Track AUSTRAC outcomes and obtain legal review of public claims.</w:t>
      </w:r>
    </w:p>
    <w:p>
      <w:pPr>
        <w:numPr>
          <w:ilvl w:val="0"/>
          <w:numId w:val="1046"/>
        </w:numPr>
        <w:pStyle w:val="Compact"/>
      </w:pPr>
      <w:r>
        <w:t xml:space="preserve">Begin company and IP structure work.</w:t>
      </w:r>
    </w:p>
    <w:p>
      <w:pPr>
        <w:pStyle w:val="Heading2"/>
      </w:pPr>
      <w:bookmarkStart w:id="109" w:name="august-to-september-2026"/>
      <w:r>
        <w:t xml:space="preserve">August to September 2026</w:t>
      </w:r>
      <w:bookmarkEnd w:id="109"/>
    </w:p>
    <w:p>
      <w:pPr>
        <w:numPr>
          <w:ilvl w:val="0"/>
          <w:numId w:val="1047"/>
        </w:numPr>
        <w:pStyle w:val="Compact"/>
      </w:pPr>
      <w:r>
        <w:t xml:space="preserve">Conduct partner discovery meetings.</w:t>
      </w:r>
    </w:p>
    <w:p>
      <w:pPr>
        <w:numPr>
          <w:ilvl w:val="0"/>
          <w:numId w:val="1047"/>
        </w:numPr>
        <w:pStyle w:val="Compact"/>
      </w:pPr>
      <w:r>
        <w:t xml:space="preserve">Sign one controlled non-financial or provider-sandbox pilot.</w:t>
      </w:r>
    </w:p>
    <w:p>
      <w:pPr>
        <w:numPr>
          <w:ilvl w:val="0"/>
          <w:numId w:val="1047"/>
        </w:numPr>
        <w:pStyle w:val="Compact"/>
      </w:pPr>
      <w:r>
        <w:t xml:space="preserve">Complete token on-chain capability and legal classification audits.</w:t>
      </w:r>
    </w:p>
    <w:p>
      <w:pPr>
        <w:numPr>
          <w:ilvl w:val="0"/>
          <w:numId w:val="1047"/>
        </w:numPr>
        <w:pStyle w:val="Compact"/>
      </w:pPr>
      <w:r>
        <w:t xml:space="preserve">Complete security architecture review and penetration-test plan.</w:t>
      </w:r>
    </w:p>
    <w:p>
      <w:pPr>
        <w:numPr>
          <w:ilvl w:val="0"/>
          <w:numId w:val="1047"/>
        </w:numPr>
        <w:pStyle w:val="Compact"/>
      </w:pPr>
      <w:r>
        <w:t xml:space="preserve">Formalise cultural review and community advisory process.</w:t>
      </w:r>
    </w:p>
    <w:p>
      <w:pPr>
        <w:numPr>
          <w:ilvl w:val="0"/>
          <w:numId w:val="1047"/>
        </w:numPr>
        <w:pStyle w:val="Compact"/>
      </w:pPr>
      <w:r>
        <w:t xml:space="preserve">Create pilot participant support, complaints, incident and exit procedures.</w:t>
      </w:r>
    </w:p>
    <w:p>
      <w:pPr>
        <w:pStyle w:val="Heading2"/>
      </w:pPr>
      <w:bookmarkStart w:id="110" w:name="q4-2026"/>
      <w:r>
        <w:t xml:space="preserve">Q4 2026</w:t>
      </w:r>
      <w:bookmarkEnd w:id="110"/>
    </w:p>
    <w:p>
      <w:pPr>
        <w:numPr>
          <w:ilvl w:val="0"/>
          <w:numId w:val="1048"/>
        </w:numPr>
        <w:pStyle w:val="Compact"/>
      </w:pPr>
      <w:r>
        <w:t xml:space="preserve">Run controlled merchant, citizen protection or learning pilots.</w:t>
      </w:r>
    </w:p>
    <w:p>
      <w:pPr>
        <w:numPr>
          <w:ilvl w:val="0"/>
          <w:numId w:val="1048"/>
        </w:numPr>
        <w:pStyle w:val="Compact"/>
      </w:pPr>
      <w:r>
        <w:t xml:space="preserve">Integrate one approved provider sandbox.</w:t>
      </w:r>
    </w:p>
    <w:p>
      <w:pPr>
        <w:numPr>
          <w:ilvl w:val="0"/>
          <w:numId w:val="1048"/>
        </w:numPr>
        <w:pStyle w:val="Compact"/>
      </w:pPr>
      <w:r>
        <w:t xml:space="preserve">Measure comprehension, completion, cost, failure and recovery.</w:t>
      </w:r>
    </w:p>
    <w:p>
      <w:pPr>
        <w:numPr>
          <w:ilvl w:val="0"/>
          <w:numId w:val="1048"/>
        </w:numPr>
        <w:pStyle w:val="Compact"/>
      </w:pPr>
      <w:r>
        <w:t xml:space="preserve">Publish a verified pilot report with limitations.</w:t>
      </w:r>
    </w:p>
    <w:p>
      <w:pPr>
        <w:numPr>
          <w:ilvl w:val="0"/>
          <w:numId w:val="1048"/>
        </w:numPr>
        <w:pStyle w:val="Compact"/>
      </w:pPr>
      <w:r>
        <w:t xml:space="preserve">Decide which proposed services to advance, defer or retire.</w:t>
      </w:r>
    </w:p>
    <w:p>
      <w:pPr>
        <w:pStyle w:val="Heading2"/>
      </w:pPr>
      <w:bookmarkStart w:id="111" w:name="and-beyond"/>
      <w:r>
        <w:t xml:space="preserve">2027 and beyond</w:t>
      </w:r>
      <w:bookmarkEnd w:id="111"/>
    </w:p>
    <w:p>
      <w:pPr>
        <w:pStyle w:val="FirstParagraph"/>
      </w:pPr>
      <w:r>
        <w:t xml:space="preserve">Expand only the services that show real citizen value, lawful delivery, sustainable unit economics, provider resilience and cultural fit. Corridor expansion, embedded connectivity, token utility, regulated financial products, institutional deployments and citizen governance each receive separate evidence gates.</w:t>
      </w:r>
    </w:p>
    <w:p>
      <w:pPr>
        <w:pStyle w:val="Heading1"/>
      </w:pPr>
      <w:bookmarkStart w:id="112" w:name="partnership-invitation"/>
      <w:r>
        <w:t xml:space="preserve">29. Partnership Invitation</w:t>
      </w:r>
      <w:bookmarkEnd w:id="112"/>
    </w:p>
    <w:p>
      <w:pPr>
        <w:pStyle w:val="FirstParagraph"/>
      </w:pPr>
      <w:r>
        <w:t xml:space="preserve">IN$DEX is seeking partners who believe the next generation of digital infrastructure should be understandable, portable, culturally aware and accountable to the people using it.</w:t>
      </w:r>
    </w:p>
    <w:p>
      <w:pPr>
        <w:pStyle w:val="BodyText"/>
      </w:pPr>
      <w:r>
        <w:t xml:space="preserve">The strongest collaboration is a controlled pilot with one defined citizen problem, one accountable partner, one measurable result and one complete evidence chain.</w:t>
      </w:r>
    </w:p>
    <w:p>
      <w:pPr>
        <w:pStyle w:val="Heading2"/>
      </w:pPr>
      <w:bookmarkStart w:id="113" w:name="current-partnership-priorities"/>
      <w:r>
        <w:t xml:space="preserve">Current partnership priorities</w:t>
      </w:r>
      <w:bookmarkEnd w:id="113"/>
    </w:p>
    <w:p>
      <w:pPr>
        <w:numPr>
          <w:ilvl w:val="0"/>
          <w:numId w:val="1049"/>
        </w:numPr>
        <w:pStyle w:val="Compact"/>
      </w:pPr>
      <w:r>
        <w:t xml:space="preserve">A Pacific community or worker-support organisation for co-design and participant support.</w:t>
      </w:r>
    </w:p>
    <w:p>
      <w:pPr>
        <w:numPr>
          <w:ilvl w:val="0"/>
          <w:numId w:val="1049"/>
        </w:numPr>
        <w:pStyle w:val="Compact"/>
      </w:pPr>
      <w:r>
        <w:t xml:space="preserve">A registered remittance, payment or virtual-asset provider for a controlled service sandbox.</w:t>
      </w:r>
    </w:p>
    <w:p>
      <w:pPr>
        <w:numPr>
          <w:ilvl w:val="0"/>
          <w:numId w:val="1049"/>
        </w:numPr>
        <w:pStyle w:val="Compact"/>
      </w:pPr>
      <w:r>
        <w:t xml:space="preserve">A TAFE, university or training provider for portable credentials and opportunity pathways.</w:t>
      </w:r>
    </w:p>
    <w:p>
      <w:pPr>
        <w:numPr>
          <w:ilvl w:val="0"/>
          <w:numId w:val="1049"/>
        </w:numPr>
        <w:pStyle w:val="Compact"/>
      </w:pPr>
      <w:r>
        <w:t xml:space="preserve">A telecom or embedded-connectivity provider for low-data and Pacific access discovery.</w:t>
      </w:r>
    </w:p>
    <w:p>
      <w:pPr>
        <w:numPr>
          <w:ilvl w:val="0"/>
          <w:numId w:val="1049"/>
        </w:numPr>
        <w:pStyle w:val="Compact"/>
      </w:pPr>
      <w:r>
        <w:t xml:space="preserve">A micro-merchant or merchant association for the Merchant Operating System pilot.</w:t>
      </w:r>
    </w:p>
    <w:p>
      <w:pPr>
        <w:numPr>
          <w:ilvl w:val="0"/>
          <w:numId w:val="1049"/>
        </w:numPr>
        <w:pStyle w:val="Compact"/>
      </w:pPr>
      <w:r>
        <w:t xml:space="preserve">Legal, compliance and security advisers for independent readiness review.</w:t>
      </w:r>
    </w:p>
    <w:p>
      <w:pPr>
        <w:pStyle w:val="Heading2"/>
      </w:pPr>
      <w:bookmarkStart w:id="114" w:name="pilot-conversation"/>
      <w:r>
        <w:t xml:space="preserve">Pilot conversation</w:t>
      </w:r>
      <w:bookmarkEnd w:id="114"/>
    </w:p>
    <w:p>
      <w:pPr>
        <w:pStyle w:val="FirstParagraph"/>
      </w:pPr>
      <w:r>
        <w:t xml:space="preserve">A partner discussion should answer:</w:t>
      </w:r>
    </w:p>
    <w:p>
      <w:pPr>
        <w:numPr>
          <w:ilvl w:val="0"/>
          <w:numId w:val="1050"/>
        </w:numPr>
        <w:pStyle w:val="Compact"/>
      </w:pPr>
      <w:r>
        <w:t xml:space="preserve">Which citizen problem are we solving?</w:t>
      </w:r>
    </w:p>
    <w:p>
      <w:pPr>
        <w:numPr>
          <w:ilvl w:val="0"/>
          <w:numId w:val="1050"/>
        </w:numPr>
        <w:pStyle w:val="Compact"/>
      </w:pPr>
      <w:r>
        <w:t xml:space="preserve">Who is legally and operationally responsible for each part?</w:t>
      </w:r>
    </w:p>
    <w:p>
      <w:pPr>
        <w:numPr>
          <w:ilvl w:val="0"/>
          <w:numId w:val="1050"/>
        </w:numPr>
        <w:pStyle w:val="Compact"/>
      </w:pPr>
      <w:r>
        <w:t xml:space="preserve">Which information is required and where does it go?</w:t>
      </w:r>
    </w:p>
    <w:p>
      <w:pPr>
        <w:numPr>
          <w:ilvl w:val="0"/>
          <w:numId w:val="1050"/>
        </w:numPr>
        <w:pStyle w:val="Compact"/>
      </w:pPr>
      <w:r>
        <w:t xml:space="preserve">What is the complete citizen journey, including failure and exit?</w:t>
      </w:r>
    </w:p>
    <w:p>
      <w:pPr>
        <w:numPr>
          <w:ilvl w:val="0"/>
          <w:numId w:val="1050"/>
        </w:numPr>
        <w:pStyle w:val="Compact"/>
      </w:pPr>
      <w:r>
        <w:t xml:space="preserve">What evidence proves success?</w:t>
      </w:r>
    </w:p>
    <w:p>
      <w:pPr>
        <w:numPr>
          <w:ilvl w:val="0"/>
          <w:numId w:val="1050"/>
        </w:numPr>
        <w:pStyle w:val="Compact"/>
      </w:pPr>
      <w:r>
        <w:t xml:space="preserve">What will we learn before deciding to scale?</w:t>
      </w:r>
    </w:p>
    <w:tbl>
      <w:tblPr>
        <w:tblStyle w:val="Table"/>
        <w:tblW w:type="dxa" w:w="9360"/>
        <w:tblLook w:firstRow="1"/>
        <w:tblLayout w:type="fixed"/>
      </w:tblPr>
      <w:tblGrid>
        <w:gridCol w:w="576"/>
        <w:gridCol w:w="8784"/>
      </w:tblGrid>
      <w:tr>
        <w:trPr>
          <w:cnfStyle w:firstRow="1"/>
        </w:trPr>
        <w:tc>
          <w:tcPr>
            <w:tcW w:type="dxa" w:w="576"/>
            <w:tcBorders>
              <w:bottom w:val="single"/>
            </w:tcBorders>
            <w:vAlign w:val="bottom"/>
          </w:tcPr>
          <w:p/>
        </w:tc>
        <w:tc>
          <w:tcPr>
            <w:tcW w:type="dxa" w:w="8784"/>
            <w:tcBorders>
              <w:bottom w:val="single"/>
            </w:tcBorders>
            <w:vAlign w:val="bottom"/>
          </w:tcPr>
          <w:p>
            <w:pPr>
              <w:pStyle w:val="Compact"/>
              <w:jc w:val="left"/>
            </w:pPr>
            <w:r>
              <w:rPr>
                <w:b/>
              </w:rPr>
              <w:t xml:space="preserve">The invitation:</w:t>
            </w:r>
            <w:r>
              <w:t xml:space="preserve"> </w:t>
            </w:r>
            <w:r>
              <w:t xml:space="preserve">Do not partner with IN$DEX because it claims to have built a civilisation. Partner with IN$DEX to prove one citizen can move through a fragmented system with more control, understanding, opportunity and trust.</w:t>
            </w:r>
          </w:p>
        </w:tc>
      </w:tr>
    </w:tbl>
    <w:p>
      <w:pPr>
        <w:pStyle w:val="Heading1"/>
      </w:pPr>
      <w:bookmarkStart w:id="115" w:name="appendix-a-product-reality-definitions"/>
      <w:r>
        <w:t xml:space="preserve">Appendix A: Product Reality Definitions</w:t>
      </w:r>
      <w:bookmarkEnd w:id="115"/>
    </w:p>
    <w:p>
      <w:pPr>
        <w:pStyle w:val="FirstParagraph"/>
      </w:pPr>
      <w:r>
        <w:t xml:space="preserve">IN$DEX public materials use the following evidence language. These definitions override informal terms such as complete, live, working, secure or production-ready.</w:t>
      </w:r>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Label</w:t>
            </w:r>
          </w:p>
        </w:tc>
        <w:tc>
          <w:tcPr>
            <w:tcW w:type="dxa" w:w="4680"/>
            <w:tcBorders>
              <w:bottom w:val="single"/>
            </w:tcBorders>
            <w:vAlign w:val="bottom"/>
          </w:tcPr>
          <w:p>
            <w:pPr>
              <w:pStyle w:val="Compact"/>
              <w:jc w:val="left"/>
            </w:pPr>
            <w:r>
              <w:rPr>
                <w:b/>
              </w:rPr>
              <w:t xml:space="preserve">Required evidence</w:t>
            </w:r>
          </w:p>
        </w:tc>
      </w:tr>
      <w:tr>
        <w:tc>
          <w:tcPr>
            <w:tcW w:type="dxa" w:w="4680"/>
          </w:tcPr>
          <w:p>
            <w:pPr>
              <w:pStyle w:val="Compact"/>
              <w:jc w:val="left"/>
            </w:pPr>
            <w:r>
              <w:t xml:space="preserve">REGISTERED</w:t>
            </w:r>
          </w:p>
        </w:tc>
        <w:tc>
          <w:tcPr>
            <w:tcW w:type="dxa" w:w="4680"/>
          </w:tcPr>
          <w:p>
            <w:pPr>
              <w:pStyle w:val="Compact"/>
              <w:jc w:val="left"/>
            </w:pPr>
            <w:r>
              <w:t xml:space="preserve">Code, schema, policy, model, provider or document exists.</w:t>
            </w:r>
          </w:p>
        </w:tc>
      </w:tr>
      <w:tr>
        <w:tc>
          <w:tcPr>
            <w:tcW w:type="dxa" w:w="4680"/>
          </w:tcPr>
          <w:p>
            <w:pPr>
              <w:pStyle w:val="Compact"/>
              <w:jc w:val="left"/>
            </w:pPr>
            <w:r>
              <w:t xml:space="preserve">ENFORCED</w:t>
            </w:r>
          </w:p>
        </w:tc>
        <w:tc>
          <w:tcPr>
            <w:tcW w:type="dxa" w:w="4680"/>
          </w:tcPr>
          <w:p>
            <w:pPr>
              <w:pStyle w:val="Compact"/>
              <w:jc w:val="left"/>
            </w:pPr>
            <w:r>
              <w:t xml:space="preserve">Runtime blocks or requires the stated behaviour.</w:t>
            </w:r>
          </w:p>
        </w:tc>
      </w:tr>
      <w:tr>
        <w:tc>
          <w:tcPr>
            <w:tcW w:type="dxa" w:w="4680"/>
          </w:tcPr>
          <w:p>
            <w:pPr>
              <w:pStyle w:val="Compact"/>
              <w:jc w:val="left"/>
            </w:pPr>
            <w:r>
              <w:t xml:space="preserve">POSITIVE TESTED</w:t>
            </w:r>
          </w:p>
        </w:tc>
        <w:tc>
          <w:tcPr>
            <w:tcW w:type="dxa" w:w="4680"/>
          </w:tcPr>
          <w:p>
            <w:pPr>
              <w:pStyle w:val="Compact"/>
              <w:jc w:val="left"/>
            </w:pPr>
            <w:r>
              <w:t xml:space="preserve">An authorised actor successfully completed the intended action.</w:t>
            </w:r>
          </w:p>
        </w:tc>
      </w:tr>
      <w:tr>
        <w:tc>
          <w:tcPr>
            <w:tcW w:type="dxa" w:w="4680"/>
          </w:tcPr>
          <w:p>
            <w:pPr>
              <w:pStyle w:val="Compact"/>
              <w:jc w:val="left"/>
            </w:pPr>
            <w:r>
              <w:t xml:space="preserve">NEGATIVE TESTED</w:t>
            </w:r>
          </w:p>
        </w:tc>
        <w:tc>
          <w:tcPr>
            <w:tcW w:type="dxa" w:w="4680"/>
          </w:tcPr>
          <w:p>
            <w:pPr>
              <w:pStyle w:val="Compact"/>
              <w:jc w:val="left"/>
            </w:pPr>
            <w:r>
              <w:t xml:space="preserve">Unauthorised or unsafe actions failed as intended.</w:t>
            </w:r>
          </w:p>
        </w:tc>
      </w:tr>
      <w:tr>
        <w:tc>
          <w:tcPr>
            <w:tcW w:type="dxa" w:w="4680"/>
          </w:tcPr>
          <w:p>
            <w:pPr>
              <w:pStyle w:val="Compact"/>
              <w:jc w:val="left"/>
            </w:pPr>
            <w:r>
              <w:t xml:space="preserve">ACTUALLY WORKING</w:t>
            </w:r>
          </w:p>
        </w:tc>
        <w:tc>
          <w:tcPr>
            <w:tcW w:type="dxa" w:w="4680"/>
          </w:tcPr>
          <w:p>
            <w:pPr>
              <w:pStyle w:val="Compact"/>
              <w:jc w:val="left"/>
            </w:pPr>
            <w:r>
              <w:t xml:space="preserve">A complete real interface journey produced the verified result.</w:t>
            </w:r>
          </w:p>
        </w:tc>
      </w:tr>
      <w:tr>
        <w:tc>
          <w:tcPr>
            <w:tcW w:type="dxa" w:w="4680"/>
          </w:tcPr>
          <w:p>
            <w:pPr>
              <w:pStyle w:val="Compact"/>
              <w:jc w:val="left"/>
            </w:pPr>
            <w:r>
              <w:t xml:space="preserve">PRODUCTION VERIFIED</w:t>
            </w:r>
          </w:p>
        </w:tc>
        <w:tc>
          <w:tcPr>
            <w:tcW w:type="dxa" w:w="4680"/>
          </w:tcPr>
          <w:p>
            <w:pPr>
              <w:pStyle w:val="Compact"/>
              <w:jc w:val="left"/>
            </w:pPr>
            <w:r>
              <w:t xml:space="preserve">The deployed version matches the approved release and passed the complete production journey.</w:t>
            </w:r>
          </w:p>
        </w:tc>
      </w:tr>
      <w:tr>
        <w:tc>
          <w:tcPr>
            <w:tcW w:type="dxa" w:w="4680"/>
          </w:tcPr>
          <w:p>
            <w:pPr>
              <w:pStyle w:val="Compact"/>
              <w:jc w:val="left"/>
            </w:pPr>
            <w:r>
              <w:t xml:space="preserve">FAILED OR BLOCKED</w:t>
            </w:r>
          </w:p>
        </w:tc>
        <w:tc>
          <w:tcPr>
            <w:tcW w:type="dxa" w:w="4680"/>
          </w:tcPr>
          <w:p>
            <w:pPr>
              <w:pStyle w:val="Compact"/>
              <w:jc w:val="left"/>
            </w:pPr>
            <w:r>
              <w:t xml:space="preserve">The journey or dependency is known not to work.</w:t>
            </w:r>
          </w:p>
        </w:tc>
      </w:tr>
      <w:tr>
        <w:tc>
          <w:tcPr>
            <w:tcW w:type="dxa" w:w="4680"/>
          </w:tcPr>
          <w:p>
            <w:pPr>
              <w:pStyle w:val="Compact"/>
              <w:jc w:val="left"/>
            </w:pPr>
            <w:r>
              <w:t xml:space="preserve">NOT ATTEMPTED</w:t>
            </w:r>
          </w:p>
        </w:tc>
        <w:tc>
          <w:tcPr>
            <w:tcW w:type="dxa" w:w="4680"/>
          </w:tcPr>
          <w:p>
            <w:pPr>
              <w:pStyle w:val="Compact"/>
              <w:jc w:val="left"/>
            </w:pPr>
            <w:r>
              <w:t xml:space="preserve">No valid test has occurred.</w:t>
            </w:r>
          </w:p>
        </w:tc>
      </w:tr>
    </w:tbl>
    <w:p>
      <w:pPr>
        <w:pStyle w:val="Heading1"/>
      </w:pPr>
      <w:bookmarkStart w:id="116" w:name="appendix-b-changes-from-whitepaper-v1.0"/>
      <w:r>
        <w:t xml:space="preserve">Appendix B: Changes from Whitepaper v1.0</w:t>
      </w:r>
      <w:bookmarkEnd w:id="116"/>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v1.0 claim or structure</w:t>
            </w:r>
          </w:p>
        </w:tc>
        <w:tc>
          <w:tcPr>
            <w:tcW w:type="dxa" w:w="4680"/>
            <w:tcBorders>
              <w:bottom w:val="single"/>
            </w:tcBorders>
            <w:vAlign w:val="bottom"/>
          </w:tcPr>
          <w:p>
            <w:pPr>
              <w:pStyle w:val="Compact"/>
              <w:jc w:val="left"/>
            </w:pPr>
            <w:r>
              <w:rPr>
                <w:b/>
              </w:rPr>
              <w:t xml:space="preserve">v2.0 treatment</w:t>
            </w:r>
          </w:p>
        </w:tc>
      </w:tr>
      <w:tr>
        <w:tc>
          <w:tcPr>
            <w:tcW w:type="dxa" w:w="4680"/>
          </w:tcPr>
          <w:p>
            <w:pPr>
              <w:pStyle w:val="Compact"/>
              <w:jc w:val="left"/>
            </w:pPr>
            <w:r>
              <w:t xml:space="preserve">Zero KYC or no ID for all services</w:t>
            </w:r>
          </w:p>
        </w:tc>
        <w:tc>
          <w:tcPr>
            <w:tcW w:type="dxa" w:w="4680"/>
          </w:tcPr>
          <w:p>
            <w:pPr>
              <w:pStyle w:val="Compact"/>
              <w:jc w:val="left"/>
            </w:pPr>
            <w:r>
              <w:t xml:space="preserve">Replaced with risk-based progressive verification and provider-compatible CDD.</w:t>
            </w:r>
          </w:p>
        </w:tc>
      </w:tr>
      <w:tr>
        <w:tc>
          <w:tcPr>
            <w:tcW w:type="dxa" w:w="4680"/>
          </w:tcPr>
          <w:p>
            <w:pPr>
              <w:pStyle w:val="Compact"/>
              <w:jc w:val="left"/>
            </w:pPr>
            <w:r>
              <w:t xml:space="preserve">$1 trillion valuation and price targets</w:t>
            </w:r>
          </w:p>
        </w:tc>
        <w:tc>
          <w:tcPr>
            <w:tcW w:type="dxa" w:w="4680"/>
          </w:tcPr>
          <w:p>
            <w:pPr>
              <w:pStyle w:val="Compact"/>
              <w:jc w:val="left"/>
            </w:pPr>
            <w:r>
              <w:t xml:space="preserve">Removed.</w:t>
            </w:r>
          </w:p>
        </w:tc>
      </w:tr>
      <w:tr>
        <w:tc>
          <w:tcPr>
            <w:tcW w:type="dxa" w:w="4680"/>
          </w:tcPr>
          <w:p>
            <w:pPr>
              <w:pStyle w:val="Compact"/>
              <w:jc w:val="left"/>
            </w:pPr>
            <w:r>
              <w:t xml:space="preserve">Fixed staking and yield promises</w:t>
            </w:r>
          </w:p>
        </w:tc>
        <w:tc>
          <w:tcPr>
            <w:tcW w:type="dxa" w:w="4680"/>
          </w:tcPr>
          <w:p>
            <w:pPr>
              <w:pStyle w:val="Compact"/>
              <w:jc w:val="left"/>
            </w:pPr>
            <w:r>
              <w:t xml:space="preserve">Removed pending legal classification and audited source of return.</w:t>
            </w:r>
          </w:p>
        </w:tc>
      </w:tr>
      <w:tr>
        <w:tc>
          <w:tcPr>
            <w:tcW w:type="dxa" w:w="4680"/>
          </w:tcPr>
          <w:p>
            <w:pPr>
              <w:pStyle w:val="Compact"/>
              <w:jc w:val="left"/>
            </w:pPr>
            <w:r>
              <w:t xml:space="preserve">Everything launches complete on one date</w:t>
            </w:r>
          </w:p>
        </w:tc>
        <w:tc>
          <w:tcPr>
            <w:tcW w:type="dxa" w:w="4680"/>
          </w:tcPr>
          <w:p>
            <w:pPr>
              <w:pStyle w:val="Compact"/>
              <w:jc w:val="left"/>
            </w:pPr>
            <w:r>
              <w:t xml:space="preserve">Replaced with controlled pilots and evidence gates.</w:t>
            </w:r>
          </w:p>
        </w:tc>
      </w:tr>
      <w:tr>
        <w:tc>
          <w:tcPr>
            <w:tcW w:type="dxa" w:w="4680"/>
          </w:tcPr>
          <w:p>
            <w:pPr>
              <w:pStyle w:val="Compact"/>
              <w:jc w:val="left"/>
            </w:pPr>
            <w:r>
              <w:t xml:space="preserve">Selected or integrated partners without agreements</w:t>
            </w:r>
          </w:p>
        </w:tc>
        <w:tc>
          <w:tcPr>
            <w:tcW w:type="dxa" w:w="4680"/>
          </w:tcPr>
          <w:p>
            <w:pPr>
              <w:pStyle w:val="Compact"/>
              <w:jc w:val="left"/>
            </w:pPr>
            <w:r>
              <w:t xml:space="preserve">Reclassified as candidates until authorised evidence exists.</w:t>
            </w:r>
          </w:p>
        </w:tc>
      </w:tr>
      <w:tr>
        <w:tc>
          <w:tcPr>
            <w:tcW w:type="dxa" w:w="4680"/>
          </w:tcPr>
          <w:p>
            <w:pPr>
              <w:pStyle w:val="Compact"/>
              <w:jc w:val="left"/>
            </w:pPr>
            <w:r>
              <w:t xml:space="preserve">SIINDEX autonomously runs compliance, liquidity and governance</w:t>
            </w:r>
          </w:p>
        </w:tc>
        <w:tc>
          <w:tcPr>
            <w:tcW w:type="dxa" w:w="4680"/>
          </w:tcPr>
          <w:p>
            <w:pPr>
              <w:pStyle w:val="Compact"/>
              <w:jc w:val="left"/>
            </w:pPr>
            <w:r>
              <w:t xml:space="preserve">Reframed as an accountable executive operating system under human authority.</w:t>
            </w:r>
          </w:p>
        </w:tc>
      </w:tr>
      <w:tr>
        <w:tc>
          <w:tcPr>
            <w:tcW w:type="dxa" w:w="4680"/>
          </w:tcPr>
          <w:p>
            <w:pPr>
              <w:pStyle w:val="Compact"/>
              <w:jc w:val="left"/>
            </w:pPr>
            <w:r>
              <w:t xml:space="preserve">Automatic legal compensation and data royalties</w:t>
            </w:r>
          </w:p>
        </w:tc>
        <w:tc>
          <w:tcPr>
            <w:tcW w:type="dxa" w:w="4680"/>
          </w:tcPr>
          <w:p>
            <w:pPr>
              <w:pStyle w:val="Compact"/>
              <w:jc w:val="left"/>
            </w:pPr>
            <w:r>
              <w:t xml:space="preserve">Removed from launch; replaced with consent, evidence, complaint and contractual support.</w:t>
            </w:r>
          </w:p>
        </w:tc>
      </w:tr>
      <w:tr>
        <w:tc>
          <w:tcPr>
            <w:tcW w:type="dxa" w:w="4680"/>
          </w:tcPr>
          <w:p>
            <w:pPr>
              <w:pStyle w:val="Compact"/>
              <w:jc w:val="left"/>
            </w:pPr>
            <w:r>
              <w:t xml:space="preserve">One-token-one-vote and engagement-based authority</w:t>
            </w:r>
          </w:p>
        </w:tc>
        <w:tc>
          <w:tcPr>
            <w:tcW w:type="dxa" w:w="4680"/>
          </w:tcPr>
          <w:p>
            <w:pPr>
              <w:pStyle w:val="Compact"/>
              <w:jc w:val="left"/>
            </w:pPr>
            <w:r>
              <w:t xml:space="preserve">Replaced with subject-specific governance and human legal accountability.</w:t>
            </w:r>
          </w:p>
        </w:tc>
      </w:tr>
      <w:tr>
        <w:tc>
          <w:tcPr>
            <w:tcW w:type="dxa" w:w="4680"/>
          </w:tcPr>
          <w:p>
            <w:pPr>
              <w:pStyle w:val="Compact"/>
              <w:jc w:val="left"/>
            </w:pPr>
            <w:r>
              <w:t xml:space="preserve">Identity, wallet and domain treated as one thing</w:t>
            </w:r>
          </w:p>
        </w:tc>
        <w:tc>
          <w:tcPr>
            <w:tcW w:type="dxa" w:w="4680"/>
          </w:tcPr>
          <w:p>
            <w:pPr>
              <w:pStyle w:val="Compact"/>
              <w:jc w:val="left"/>
            </w:pPr>
            <w:r>
              <w:t xml:space="preserve">Separated into root account, authentication, proofing, credentials, domain and replaceable endpoints.</w:t>
            </w:r>
          </w:p>
        </w:tc>
      </w:tr>
      <w:tr>
        <w:tc>
          <w:tcPr>
            <w:tcW w:type="dxa" w:w="4680"/>
          </w:tcPr>
          <w:p>
            <w:pPr>
              <w:pStyle w:val="Compact"/>
              <w:jc w:val="left"/>
            </w:pPr>
            <w:r>
              <w:t xml:space="preserve">Universal 98/2 fee</w:t>
            </w:r>
          </w:p>
        </w:tc>
        <w:tc>
          <w:tcPr>
            <w:tcW w:type="dxa" w:w="4680"/>
          </w:tcPr>
          <w:p>
            <w:pPr>
              <w:pStyle w:val="Compact"/>
              <w:jc w:val="left"/>
            </w:pPr>
            <w:r>
              <w:t xml:space="preserve">Narrowed to defined distributable IN$DEX-native service revenue with external costs separately disclosed.</w:t>
            </w:r>
          </w:p>
        </w:tc>
      </w:tr>
      <w:tr>
        <w:tc>
          <w:tcPr>
            <w:tcW w:type="dxa" w:w="4680"/>
          </w:tcPr>
          <w:p>
            <w:pPr>
              <w:pStyle w:val="Compact"/>
              <w:jc w:val="left"/>
            </w:pPr>
            <w:r>
              <w:t xml:space="preserve">Internal build diary inside public whitepaper</w:t>
            </w:r>
          </w:p>
        </w:tc>
        <w:tc>
          <w:tcPr>
            <w:tcW w:type="dxa" w:w="4680"/>
          </w:tcPr>
          <w:p>
            <w:pPr>
              <w:pStyle w:val="Compact"/>
              <w:jc w:val="left"/>
            </w:pPr>
            <w:r>
              <w:t xml:space="preserve">Moved to a private Reality Ledger.</w:t>
            </w:r>
          </w:p>
        </w:tc>
      </w:tr>
      <w:tr>
        <w:tc>
          <w:tcPr>
            <w:tcW w:type="dxa" w:w="4680"/>
          </w:tcPr>
          <w:p>
            <w:pPr>
              <w:pStyle w:val="Compact"/>
              <w:jc w:val="left"/>
            </w:pPr>
            <w:r>
              <w:t xml:space="preserve">Quantum-safe and instant fraud detection as current facts</w:t>
            </w:r>
          </w:p>
        </w:tc>
        <w:tc>
          <w:tcPr>
            <w:tcW w:type="dxa" w:w="4680"/>
          </w:tcPr>
          <w:p>
            <w:pPr>
              <w:pStyle w:val="Compact"/>
              <w:jc w:val="left"/>
            </w:pPr>
            <w:r>
              <w:t xml:space="preserve">Replaced with current controls and a post-quantum migration plan.</w:t>
            </w:r>
          </w:p>
        </w:tc>
      </w:tr>
    </w:tbl>
    <w:p>
      <w:pPr>
        <w:pStyle w:val="Heading1"/>
      </w:pPr>
      <w:bookmarkStart w:id="117" w:name="appendix-c-partner-due-diligence-minimum"/>
      <w:r>
        <w:t xml:space="preserve">Appendix C: Partner Due-Diligence Minimum</w:t>
      </w:r>
      <w:bookmarkEnd w:id="117"/>
    </w:p>
    <w:p>
      <w:pPr>
        <w:numPr>
          <w:ilvl w:val="0"/>
          <w:numId w:val="1051"/>
        </w:numPr>
        <w:pStyle w:val="Compact"/>
      </w:pPr>
      <w:r>
        <w:t xml:space="preserve">Legal identity, ownership, licence and regulator.</w:t>
      </w:r>
    </w:p>
    <w:p>
      <w:pPr>
        <w:numPr>
          <w:ilvl w:val="0"/>
          <w:numId w:val="1051"/>
        </w:numPr>
        <w:pStyle w:val="Compact"/>
      </w:pPr>
      <w:r>
        <w:t xml:space="preserve">Jurisdictions, excluded regions and customer types.</w:t>
      </w:r>
    </w:p>
    <w:p>
      <w:pPr>
        <w:numPr>
          <w:ilvl w:val="0"/>
          <w:numId w:val="1051"/>
        </w:numPr>
        <w:pStyle w:val="Compact"/>
      </w:pPr>
      <w:r>
        <w:t xml:space="preserve">Product scope and prohibited use.</w:t>
      </w:r>
    </w:p>
    <w:p>
      <w:pPr>
        <w:numPr>
          <w:ilvl w:val="0"/>
          <w:numId w:val="1051"/>
        </w:numPr>
        <w:pStyle w:val="Compact"/>
      </w:pPr>
      <w:r>
        <w:t xml:space="preserve">Fees, spreads, limits, reserves and settlement time.</w:t>
      </w:r>
    </w:p>
    <w:p>
      <w:pPr>
        <w:numPr>
          <w:ilvl w:val="0"/>
          <w:numId w:val="1051"/>
        </w:numPr>
        <w:pStyle w:val="Compact"/>
      </w:pPr>
      <w:r>
        <w:t xml:space="preserve">Customer due diligence, sanctions and Travel Rule responsibilities.</w:t>
      </w:r>
    </w:p>
    <w:p>
      <w:pPr>
        <w:numPr>
          <w:ilvl w:val="0"/>
          <w:numId w:val="1051"/>
        </w:numPr>
        <w:pStyle w:val="Compact"/>
      </w:pPr>
      <w:r>
        <w:t xml:space="preserve">Custody, safeguarding, deposit protection or insolvency treatment.</w:t>
      </w:r>
    </w:p>
    <w:p>
      <w:pPr>
        <w:numPr>
          <w:ilvl w:val="0"/>
          <w:numId w:val="1051"/>
        </w:numPr>
        <w:pStyle w:val="Compact"/>
      </w:pPr>
      <w:r>
        <w:t xml:space="preserve">Data location, subprocessors, retention and model use.</w:t>
      </w:r>
    </w:p>
    <w:p>
      <w:pPr>
        <w:numPr>
          <w:ilvl w:val="0"/>
          <w:numId w:val="1051"/>
        </w:numPr>
        <w:pStyle w:val="Compact"/>
      </w:pPr>
      <w:r>
        <w:t xml:space="preserve">Authentication, security testing, incident history and audit evidence.</w:t>
      </w:r>
    </w:p>
    <w:p>
      <w:pPr>
        <w:numPr>
          <w:ilvl w:val="0"/>
          <w:numId w:val="1051"/>
        </w:numPr>
        <w:pStyle w:val="Compact"/>
      </w:pPr>
      <w:r>
        <w:t xml:space="preserve">APIs, webhooks, sandbox, service levels and support.</w:t>
      </w:r>
    </w:p>
    <w:p>
      <w:pPr>
        <w:numPr>
          <w:ilvl w:val="0"/>
          <w:numId w:val="1051"/>
        </w:numPr>
        <w:pStyle w:val="Compact"/>
      </w:pPr>
      <w:r>
        <w:t xml:space="preserve">Complaints, dispute, fraud and reimbursement process.</w:t>
      </w:r>
    </w:p>
    <w:p>
      <w:pPr>
        <w:numPr>
          <w:ilvl w:val="0"/>
          <w:numId w:val="1051"/>
        </w:numPr>
        <w:pStyle w:val="Compact"/>
      </w:pPr>
      <w:r>
        <w:t xml:space="preserve">Business continuity, recovery and provider exit.</w:t>
      </w:r>
    </w:p>
    <w:p>
      <w:pPr>
        <w:numPr>
          <w:ilvl w:val="0"/>
          <w:numId w:val="1051"/>
        </w:numPr>
        <w:pStyle w:val="Compact"/>
      </w:pPr>
      <w:r>
        <w:t xml:space="preserve">Contract, pilot approval and public-reference permission.</w:t>
      </w:r>
    </w:p>
    <w:p>
      <w:pPr>
        <w:pStyle w:val="Heading1"/>
      </w:pPr>
      <w:bookmarkStart w:id="118" w:name="X539e166858e2d2ee0ab7804e8ec43bfd5de9d04"/>
      <w:r>
        <w:t xml:space="preserve">Appendix D: Selected Standards and Authoritative Sources</w:t>
      </w:r>
      <w:bookmarkEnd w:id="118"/>
    </w:p>
    <w:p>
      <w:pPr>
        <w:pStyle w:val="FirstParagraph"/>
      </w:pPr>
      <w:r>
        <w:t xml:space="preserve">[1] World Bank, Global Findex 2025 press release and report.</w:t>
      </w:r>
      <w:r>
        <w:t xml:space="preserve"> </w:t>
      </w:r>
      <w:hyperlink r:id="rId119">
        <w:r>
          <w:rPr>
            <w:rStyle w:val="Hyperlink"/>
          </w:rPr>
          <w:t xml:space="preserve">Source</w:t>
        </w:r>
      </w:hyperlink>
    </w:p>
    <w:p>
      <w:pPr>
        <w:pStyle w:val="BodyText"/>
      </w:pPr>
      <w:r>
        <w:t xml:space="preserve">[2] GSMA,</w:t>
      </w:r>
      <w:r>
        <w:t xml:space="preserve"> </w:t>
      </w:r>
      <w:r>
        <w:rPr>
          <w:i/>
        </w:rPr>
        <w:t xml:space="preserve">Mobile Investment Gaps: Pacific Islands</w:t>
      </w:r>
      <w:r>
        <w:t xml:space="preserve">, 2025.</w:t>
      </w:r>
      <w:r>
        <w:t xml:space="preserve"> </w:t>
      </w:r>
      <w:hyperlink r:id="rId120">
        <w:r>
          <w:rPr>
            <w:rStyle w:val="Hyperlink"/>
          </w:rPr>
          <w:t xml:space="preserve">Source</w:t>
        </w:r>
      </w:hyperlink>
    </w:p>
    <w:p>
      <w:pPr>
        <w:pStyle w:val="BodyText"/>
      </w:pPr>
      <w:r>
        <w:t xml:space="preserve">[3] Australian DFAT,</w:t>
      </w:r>
      <w:r>
        <w:t xml:space="preserve"> </w:t>
      </w:r>
      <w:r>
        <w:rPr>
          <w:i/>
        </w:rPr>
        <w:t xml:space="preserve">Official Development Assistance Budget Summary 2026–27</w:t>
      </w:r>
      <w:r>
        <w:t xml:space="preserve">.</w:t>
      </w:r>
      <w:r>
        <w:t xml:space="preserve"> </w:t>
      </w:r>
      <w:hyperlink r:id="rId121">
        <w:r>
          <w:rPr>
            <w:rStyle w:val="Hyperlink"/>
          </w:rPr>
          <w:t xml:space="preserve">Source</w:t>
        </w:r>
      </w:hyperlink>
    </w:p>
    <w:p>
      <w:pPr>
        <w:pStyle w:val="BodyText"/>
      </w:pPr>
      <w:r>
        <w:t xml:space="preserve">[4] World Bank,</w:t>
      </w:r>
      <w:r>
        <w:t xml:space="preserve"> </w:t>
      </w:r>
      <w:r>
        <w:rPr>
          <w:i/>
        </w:rPr>
        <w:t xml:space="preserve">Global Digital Public Infrastructure Program</w:t>
      </w:r>
      <w:r>
        <w:t xml:space="preserve">, 2026.</w:t>
      </w:r>
      <w:r>
        <w:t xml:space="preserve"> </w:t>
      </w:r>
      <w:hyperlink r:id="rId122">
        <w:r>
          <w:rPr>
            <w:rStyle w:val="Hyperlink"/>
          </w:rPr>
          <w:t xml:space="preserve">Source</w:t>
        </w:r>
      </w:hyperlink>
    </w:p>
    <w:p>
      <w:pPr>
        <w:pStyle w:val="BodyText"/>
      </w:pPr>
      <w:r>
        <w:t xml:space="preserve">[5] World Bank,</w:t>
      </w:r>
      <w:r>
        <w:t xml:space="preserve"> </w:t>
      </w:r>
      <w:r>
        <w:rPr>
          <w:i/>
        </w:rPr>
        <w:t xml:space="preserve">Remittance Prices Worldwide: Australia to Tonga</w:t>
      </w:r>
      <w:r>
        <w:t xml:space="preserve">, Q3 2025.</w:t>
      </w:r>
      <w:r>
        <w:t xml:space="preserve"> </w:t>
      </w:r>
      <w:hyperlink r:id="rId123">
        <w:r>
          <w:rPr>
            <w:rStyle w:val="Hyperlink"/>
          </w:rPr>
          <w:t xml:space="preserve">Source</w:t>
        </w:r>
      </w:hyperlink>
    </w:p>
    <w:p>
      <w:pPr>
        <w:pStyle w:val="BodyText"/>
      </w:pPr>
      <w:r>
        <w:t xml:space="preserve">[6] W3C,</w:t>
      </w:r>
      <w:r>
        <w:t xml:space="preserve"> </w:t>
      </w:r>
      <w:r>
        <w:rPr>
          <w:i/>
        </w:rPr>
        <w:t xml:space="preserve">Verifiable Credentials Data Model v2.0</w:t>
      </w:r>
      <w:r>
        <w:t xml:space="preserve">, Recommendation, 2025.</w:t>
      </w:r>
      <w:r>
        <w:t xml:space="preserve"> </w:t>
      </w:r>
      <w:hyperlink r:id="rId124">
        <w:r>
          <w:rPr>
            <w:rStyle w:val="Hyperlink"/>
          </w:rPr>
          <w:t xml:space="preserve">Source</w:t>
        </w:r>
      </w:hyperlink>
    </w:p>
    <w:p>
      <w:pPr>
        <w:pStyle w:val="BodyText"/>
      </w:pPr>
      <w:r>
        <w:t xml:space="preserve">[7] OpenID Foundation,</w:t>
      </w:r>
      <w:r>
        <w:t xml:space="preserve"> </w:t>
      </w:r>
      <w:r>
        <w:rPr>
          <w:i/>
        </w:rPr>
        <w:t xml:space="preserve">OpenID for Verifiable Credential Issuance 1.0</w:t>
      </w:r>
      <w:r>
        <w:t xml:space="preserve">, Final, 2025.</w:t>
      </w:r>
      <w:r>
        <w:t xml:space="preserve"> </w:t>
      </w:r>
      <w:hyperlink r:id="rId125">
        <w:r>
          <w:rPr>
            <w:rStyle w:val="Hyperlink"/>
          </w:rPr>
          <w:t xml:space="preserve">Source</w:t>
        </w:r>
      </w:hyperlink>
    </w:p>
    <w:p>
      <w:pPr>
        <w:pStyle w:val="BodyText"/>
      </w:pPr>
      <w:r>
        <w:t xml:space="preserve">[8] OpenID Foundation,</w:t>
      </w:r>
      <w:r>
        <w:t xml:space="preserve"> </w:t>
      </w:r>
      <w:r>
        <w:rPr>
          <w:i/>
        </w:rPr>
        <w:t xml:space="preserve">OpenID for Verifiable Presentations 1.0</w:t>
      </w:r>
      <w:r>
        <w:t xml:space="preserve">, Final, 2025.</w:t>
      </w:r>
      <w:r>
        <w:t xml:space="preserve"> </w:t>
      </w:r>
      <w:hyperlink r:id="rId126">
        <w:r>
          <w:rPr>
            <w:rStyle w:val="Hyperlink"/>
          </w:rPr>
          <w:t xml:space="preserve">Source</w:t>
        </w:r>
      </w:hyperlink>
    </w:p>
    <w:p>
      <w:pPr>
        <w:pStyle w:val="BodyText"/>
      </w:pPr>
      <w:r>
        <w:t xml:space="preserve">[9] NIST SP 800-63-4,</w:t>
      </w:r>
      <w:r>
        <w:t xml:space="preserve"> </w:t>
      </w:r>
      <w:r>
        <w:rPr>
          <w:i/>
        </w:rPr>
        <w:t xml:space="preserve">Digital Identity Guidelines</w:t>
      </w:r>
      <w:r>
        <w:t xml:space="preserve">, 2025.</w:t>
      </w:r>
      <w:r>
        <w:t xml:space="preserve"> </w:t>
      </w:r>
      <w:hyperlink r:id="rId127">
        <w:r>
          <w:rPr>
            <w:rStyle w:val="Hyperlink"/>
          </w:rPr>
          <w:t xml:space="preserve">Source</w:t>
        </w:r>
      </w:hyperlink>
    </w:p>
    <w:p>
      <w:pPr>
        <w:pStyle w:val="BodyText"/>
      </w:pPr>
      <w:r>
        <w:t xml:space="preserve">[10] AUSTRAC,</w:t>
      </w:r>
      <w:r>
        <w:t xml:space="preserve"> </w:t>
      </w:r>
      <w:r>
        <w:rPr>
          <w:i/>
        </w:rPr>
        <w:t xml:space="preserve">Register as a Remittance or Virtual Asset Service Provider</w:t>
      </w:r>
      <w:r>
        <w:t xml:space="preserve">, 2026.</w:t>
      </w:r>
      <w:r>
        <w:t xml:space="preserve"> </w:t>
      </w:r>
      <w:hyperlink r:id="rId128">
        <w:r>
          <w:rPr>
            <w:rStyle w:val="Hyperlink"/>
          </w:rPr>
          <w:t xml:space="preserve">Source</w:t>
        </w:r>
      </w:hyperlink>
    </w:p>
    <w:p>
      <w:pPr>
        <w:pStyle w:val="BodyText"/>
      </w:pPr>
      <w:r>
        <w:t xml:space="preserve">[11] AUSTRAC,</w:t>
      </w:r>
      <w:r>
        <w:t xml:space="preserve"> </w:t>
      </w:r>
      <w:r>
        <w:rPr>
          <w:i/>
        </w:rPr>
        <w:t xml:space="preserve">Virtual Asset Service Provider Register Goes Public</w:t>
      </w:r>
      <w:r>
        <w:t xml:space="preserve">, 2026.</w:t>
      </w:r>
      <w:r>
        <w:t xml:space="preserve"> </w:t>
      </w:r>
      <w:hyperlink r:id="rId129">
        <w:r>
          <w:rPr>
            <w:rStyle w:val="Hyperlink"/>
          </w:rPr>
          <w:t xml:space="preserve">Source</w:t>
        </w:r>
      </w:hyperlink>
    </w:p>
    <w:p>
      <w:pPr>
        <w:pStyle w:val="BodyText"/>
      </w:pPr>
      <w:r>
        <w:t xml:space="preserve">[12] ASIC,</w:t>
      </w:r>
      <w:r>
        <w:t xml:space="preserve"> </w:t>
      </w:r>
      <w:r>
        <w:rPr>
          <w:i/>
        </w:rPr>
        <w:t xml:space="preserve">No-Action Position Extended to 30 September 2026</w:t>
      </w:r>
      <w:r>
        <w:t xml:space="preserve">.</w:t>
      </w:r>
      <w:r>
        <w:t xml:space="preserve"> </w:t>
      </w:r>
      <w:hyperlink r:id="rId130">
        <w:r>
          <w:rPr>
            <w:rStyle w:val="Hyperlink"/>
          </w:rPr>
          <w:t xml:space="preserve">Source</w:t>
        </w:r>
      </w:hyperlink>
    </w:p>
    <w:p>
      <w:pPr>
        <w:pStyle w:val="BodyText"/>
      </w:pPr>
      <w:r>
        <w:t xml:space="preserve">[13] WIPO,</w:t>
      </w:r>
      <w:r>
        <w:t xml:space="preserve"> </w:t>
      </w:r>
      <w:r>
        <w:rPr>
          <w:i/>
        </w:rPr>
        <w:t xml:space="preserve">Traditional Knowledge and Traditional Cultural Expressions</w:t>
      </w:r>
      <w:r>
        <w:t xml:space="preserve">.</w:t>
      </w:r>
      <w:r>
        <w:t xml:space="preserve"> </w:t>
      </w:r>
      <w:hyperlink r:id="rId131">
        <w:r>
          <w:rPr>
            <w:rStyle w:val="Hyperlink"/>
          </w:rPr>
          <w:t xml:space="preserve">Source</w:t>
        </w:r>
      </w:hyperlink>
    </w:p>
    <w:p>
      <w:pPr>
        <w:pStyle w:val="BodyText"/>
      </w:pPr>
      <w:r>
        <w:t xml:space="preserve">[14] WIPO,</w:t>
      </w:r>
      <w:r>
        <w:t xml:space="preserve"> </w:t>
      </w:r>
      <w:r>
        <w:rPr>
          <w:i/>
        </w:rPr>
        <w:t xml:space="preserve">Treaty on Intellectual Property, Genetic Resources and Associated Traditional Knowledge</w:t>
      </w:r>
      <w:r>
        <w:t xml:space="preserve">, 2024.</w:t>
      </w:r>
      <w:r>
        <w:t xml:space="preserve"> </w:t>
      </w:r>
      <w:hyperlink r:id="rId132">
        <w:r>
          <w:rPr>
            <w:rStyle w:val="Hyperlink"/>
          </w:rPr>
          <w:t xml:space="preserve">Source</w:t>
        </w:r>
      </w:hyperlink>
    </w:p>
    <w:p>
      <w:pPr>
        <w:pStyle w:val="BodyText"/>
      </w:pPr>
      <w:r>
        <w:t xml:space="preserve">[15] OAIC,</w:t>
      </w:r>
      <w:r>
        <w:t xml:space="preserve"> </w:t>
      </w:r>
      <w:r>
        <w:rPr>
          <w:i/>
        </w:rPr>
        <w:t xml:space="preserve">Australian Privacy Principles Guidelines</w:t>
      </w:r>
      <w:r>
        <w:t xml:space="preserve">, updated 2026.</w:t>
      </w:r>
      <w:r>
        <w:t xml:space="preserve"> </w:t>
      </w:r>
      <w:hyperlink r:id="rId133">
        <w:r>
          <w:rPr>
            <w:rStyle w:val="Hyperlink"/>
          </w:rPr>
          <w:t xml:space="preserve">Source</w:t>
        </w:r>
      </w:hyperlink>
    </w:p>
    <w:p>
      <w:pPr>
        <w:pStyle w:val="BodyText"/>
      </w:pPr>
      <w:r>
        <w:t xml:space="preserve">[16] OAIC,</w:t>
      </w:r>
      <w:r>
        <w:t xml:space="preserve"> </w:t>
      </w:r>
      <w:r>
        <w:rPr>
          <w:i/>
        </w:rPr>
        <w:t xml:space="preserve">APP 13: Correction of Personal Information</w:t>
      </w:r>
      <w:r>
        <w:t xml:space="preserve">.</w:t>
      </w:r>
      <w:r>
        <w:t xml:space="preserve"> </w:t>
      </w:r>
      <w:hyperlink r:id="rId134">
        <w:r>
          <w:rPr>
            <w:rStyle w:val="Hyperlink"/>
          </w:rPr>
          <w:t xml:space="preserve">Source</w:t>
        </w:r>
      </w:hyperlink>
    </w:p>
    <w:p>
      <w:pPr>
        <w:pStyle w:val="BodyText"/>
      </w:pPr>
      <w:r>
        <w:t xml:space="preserve">[17] Solana,</w:t>
      </w:r>
      <w:r>
        <w:t xml:space="preserve"> </w:t>
      </w:r>
      <w:r>
        <w:rPr>
          <w:i/>
        </w:rPr>
        <w:t xml:space="preserve">Token Extensions Documentation</w:t>
      </w:r>
      <w:r>
        <w:t xml:space="preserve">.</w:t>
      </w:r>
      <w:r>
        <w:t xml:space="preserve"> </w:t>
      </w:r>
      <w:hyperlink r:id="rId135">
        <w:r>
          <w:rPr>
            <w:rStyle w:val="Hyperlink"/>
          </w:rPr>
          <w:t xml:space="preserve">Source</w:t>
        </w:r>
      </w:hyperlink>
    </w:p>
    <w:p>
      <w:pPr>
        <w:pStyle w:val="BodyText"/>
      </w:pPr>
      <w:r>
        <w:t xml:space="preserve">[18] Solana,</w:t>
      </w:r>
      <w:r>
        <w:t xml:space="preserve"> </w:t>
      </w:r>
      <w:r>
        <w:rPr>
          <w:i/>
        </w:rPr>
        <w:t xml:space="preserve">Permanent Delegate Extension</w:t>
      </w:r>
      <w:r>
        <w:t xml:space="preserve">.</w:t>
      </w:r>
      <w:r>
        <w:t xml:space="preserve"> </w:t>
      </w:r>
      <w:hyperlink r:id="rId136">
        <w:r>
          <w:rPr>
            <w:rStyle w:val="Hyperlink"/>
          </w:rPr>
          <w:t xml:space="preserve">Source</w:t>
        </w:r>
      </w:hyperlink>
    </w:p>
    <w:p>
      <w:pPr>
        <w:pStyle w:val="BodyText"/>
      </w:pPr>
      <w:r>
        <w:t xml:space="preserve">[19] ISO/IEC 27001:2022,</w:t>
      </w:r>
      <w:r>
        <w:t xml:space="preserve"> </w:t>
      </w:r>
      <w:r>
        <w:rPr>
          <w:i/>
        </w:rPr>
        <w:t xml:space="preserve">Information Security Management Systems</w:t>
      </w:r>
      <w:r>
        <w:t xml:space="preserve">.</w:t>
      </w:r>
      <w:r>
        <w:t xml:space="preserve"> </w:t>
      </w:r>
      <w:hyperlink r:id="rId137">
        <w:r>
          <w:rPr>
            <w:rStyle w:val="Hyperlink"/>
          </w:rPr>
          <w:t xml:space="preserve">Source</w:t>
        </w:r>
      </w:hyperlink>
    </w:p>
    <w:p>
      <w:pPr>
        <w:pStyle w:val="BodyText"/>
      </w:pPr>
      <w:r>
        <w:t xml:space="preserve">[20] ISO 22301:2019,</w:t>
      </w:r>
      <w:r>
        <w:t xml:space="preserve"> </w:t>
      </w:r>
      <w:r>
        <w:rPr>
          <w:i/>
        </w:rPr>
        <w:t xml:space="preserve">Business Continuity Management Systems</w:t>
      </w:r>
      <w:r>
        <w:t xml:space="preserve">.</w:t>
      </w:r>
      <w:r>
        <w:t xml:space="preserve"> </w:t>
      </w:r>
      <w:hyperlink r:id="rId138">
        <w:r>
          <w:rPr>
            <w:rStyle w:val="Hyperlink"/>
          </w:rPr>
          <w:t xml:space="preserve">Source</w:t>
        </w:r>
      </w:hyperlink>
    </w:p>
    <w:p>
      <w:pPr>
        <w:pStyle w:val="BodyText"/>
      </w:pPr>
      <w:r>
        <w:t xml:space="preserve">[21] NIST,</w:t>
      </w:r>
      <w:r>
        <w:t xml:space="preserve"> </w:t>
      </w:r>
      <w:r>
        <w:rPr>
          <w:i/>
        </w:rPr>
        <w:t xml:space="preserve">AI Risk Management Framework and Generative AI Profile</w:t>
      </w:r>
      <w:r>
        <w:t xml:space="preserve">.</w:t>
      </w:r>
      <w:r>
        <w:t xml:space="preserve"> </w:t>
      </w:r>
      <w:hyperlink r:id="rId139">
        <w:r>
          <w:rPr>
            <w:rStyle w:val="Hyperlink"/>
          </w:rPr>
          <w:t xml:space="preserve">Source</w:t>
        </w:r>
      </w:hyperlink>
    </w:p>
    <w:p>
      <w:pPr>
        <w:pStyle w:val="BodyText"/>
      </w:pPr>
      <w:r>
        <w:t xml:space="preserve">[22] NIST,</w:t>
      </w:r>
      <w:r>
        <w:t xml:space="preserve"> </w:t>
      </w:r>
      <w:r>
        <w:rPr>
          <w:i/>
        </w:rPr>
        <w:t xml:space="preserve">AI Agent Standards Initiative</w:t>
      </w:r>
      <w:r>
        <w:t xml:space="preserve">, 2026.</w:t>
      </w:r>
      <w:r>
        <w:t xml:space="preserve"> </w:t>
      </w:r>
      <w:hyperlink r:id="rId140">
        <w:r>
          <w:rPr>
            <w:rStyle w:val="Hyperlink"/>
          </w:rPr>
          <w:t xml:space="preserve">Source</w:t>
        </w:r>
      </w:hyperlink>
    </w:p>
    <w:p>
      <w:pPr>
        <w:pStyle w:val="BodyText"/>
      </w:pPr>
      <w:r>
        <w:t xml:space="preserve">[23] Australian Government,</w:t>
      </w:r>
      <w:r>
        <w:t xml:space="preserve"> </w:t>
      </w:r>
      <w:r>
        <w:rPr>
          <w:i/>
        </w:rPr>
        <w:t xml:space="preserve">Change a Sole Trader Business to a Company</w:t>
      </w:r>
      <w:r>
        <w:t xml:space="preserve">.</w:t>
      </w:r>
      <w:r>
        <w:t xml:space="preserve"> </w:t>
      </w:r>
      <w:hyperlink r:id="rId141">
        <w:r>
          <w:rPr>
            <w:rStyle w:val="Hyperlink"/>
          </w:rPr>
          <w:t xml:space="preserve">Source</w:t>
        </w:r>
      </w:hyperlink>
    </w:p>
    <w:p>
      <w:pPr>
        <w:pStyle w:val="BodyText"/>
      </w:pPr>
      <w:r>
        <w:t xml:space="preserve">[24] ASIC,</w:t>
      </w:r>
      <w:r>
        <w:t xml:space="preserve"> </w:t>
      </w:r>
      <w:r>
        <w:rPr>
          <w:i/>
        </w:rPr>
        <w:t xml:space="preserve">How to Become a Company Director</w:t>
      </w:r>
      <w:r>
        <w:t xml:space="preserve">.</w:t>
      </w:r>
      <w:r>
        <w:t xml:space="preserve"> </w:t>
      </w:r>
      <w:hyperlink r:id="rId142">
        <w:r>
          <w:rPr>
            <w:rStyle w:val="Hyperlink"/>
          </w:rPr>
          <w:t xml:space="preserve">Source</w:t>
        </w:r>
      </w:hyperlink>
    </w:p>
    <w:p>
      <w:pPr>
        <w:pStyle w:val="BodyText"/>
      </w:pPr>
      <w:r>
        <w:t xml:space="preserve">[25] FATF,</w:t>
      </w:r>
      <w:r>
        <w:t xml:space="preserve"> </w:t>
      </w:r>
      <w:r>
        <w:rPr>
          <w:i/>
        </w:rPr>
        <w:t xml:space="preserve">Guidance on Digital Identity</w:t>
      </w:r>
      <w:r>
        <w:t xml:space="preserve">.</w:t>
      </w:r>
      <w:r>
        <w:t xml:space="preserve"> </w:t>
      </w:r>
      <w:hyperlink r:id="rId143">
        <w:r>
          <w:rPr>
            <w:rStyle w:val="Hyperlink"/>
          </w:rPr>
          <w:t xml:space="preserve">Source</w:t>
        </w:r>
      </w:hyperlink>
    </w:p>
    <w:p>
      <w:pPr>
        <w:pStyle w:val="BodyText"/>
      </w:pPr>
      <w:r>
        <w:t xml:space="preserve">[26] FATF,</w:t>
      </w:r>
      <w:r>
        <w:t xml:space="preserve"> </w:t>
      </w:r>
      <w:r>
        <w:rPr>
          <w:i/>
        </w:rPr>
        <w:t xml:space="preserve">2025 Targeted Update on Virtual Assets and VASPs</w:t>
      </w:r>
      <w:r>
        <w:t xml:space="preserve">.</w:t>
      </w:r>
      <w:r>
        <w:t xml:space="preserve"> </w:t>
      </w:r>
      <w:hyperlink r:id="rId144">
        <w:r>
          <w:rPr>
            <w:rStyle w:val="Hyperlink"/>
          </w:rPr>
          <w:t xml:space="preserve">Source</w:t>
        </w:r>
      </w:hyperlink>
    </w:p>
    <w:p>
      <w:pPr>
        <w:pStyle w:val="Heading1"/>
      </w:pPr>
      <w:bookmarkStart w:id="145" w:name="appendix-e-glossary"/>
      <w:r>
        <w:t xml:space="preserve">Appendix E: Glossary</w:t>
      </w:r>
      <w:bookmarkEnd w:id="145"/>
    </w:p>
    <w:tbl>
      <w:tblPr>
        <w:tblStyle w:val="Table"/>
        <w:tblW w:type="dxa" w:w="9360"/>
        <w:tblLook w:firstRow="1"/>
        <w:tblLayout w:type="fixed"/>
      </w:tblPr>
      <w:tblGrid>
        <w:gridCol w:w="4680"/>
        <w:gridCol w:w="4680"/>
      </w:tblGrid>
      <w:tr>
        <w:trPr>
          <w:cnfStyle w:firstRow="1"/>
        </w:trPr>
        <w:tc>
          <w:tcPr>
            <w:tcW w:type="dxa" w:w="4680"/>
            <w:tcBorders>
              <w:bottom w:val="single"/>
            </w:tcBorders>
            <w:vAlign w:val="bottom"/>
          </w:tcPr>
          <w:p>
            <w:pPr>
              <w:pStyle w:val="Compact"/>
              <w:jc w:val="left"/>
            </w:pPr>
            <w:r>
              <w:rPr>
                <w:b/>
              </w:rPr>
              <w:t xml:space="preserve">Term</w:t>
            </w:r>
          </w:p>
        </w:tc>
        <w:tc>
          <w:tcPr>
            <w:tcW w:type="dxa" w:w="4680"/>
            <w:tcBorders>
              <w:bottom w:val="single"/>
            </w:tcBorders>
            <w:vAlign w:val="bottom"/>
          </w:tcPr>
          <w:p>
            <w:pPr>
              <w:pStyle w:val="Compact"/>
              <w:jc w:val="left"/>
            </w:pPr>
            <w:r>
              <w:rPr>
                <w:b/>
              </w:rPr>
              <w:t xml:space="preserve">Meaning</w:t>
            </w:r>
          </w:p>
        </w:tc>
      </w:tr>
      <w:tr>
        <w:tc>
          <w:tcPr>
            <w:tcW w:type="dxa" w:w="4680"/>
          </w:tcPr>
          <w:p>
            <w:pPr>
              <w:pStyle w:val="Compact"/>
              <w:jc w:val="left"/>
            </w:pPr>
            <w:r>
              <w:t xml:space="preserve">Citizen</w:t>
            </w:r>
          </w:p>
        </w:tc>
        <w:tc>
          <w:tcPr>
            <w:tcW w:type="dxa" w:w="4680"/>
          </w:tcPr>
          <w:p>
            <w:pPr>
              <w:pStyle w:val="Compact"/>
              <w:jc w:val="left"/>
            </w:pPr>
            <w:r>
              <w:t xml:space="preserve">A person with an IN$DEX relationship. The term does not claim legal nationality or state citizenship.</w:t>
            </w:r>
          </w:p>
        </w:tc>
      </w:tr>
      <w:tr>
        <w:tc>
          <w:tcPr>
            <w:tcW w:type="dxa" w:w="4680"/>
          </w:tcPr>
          <w:p>
            <w:pPr>
              <w:pStyle w:val="Compact"/>
              <w:jc w:val="left"/>
            </w:pPr>
            <w:r>
              <w:t xml:space="preserve">Civilisation</w:t>
            </w:r>
          </w:p>
        </w:tc>
        <w:tc>
          <w:tcPr>
            <w:tcW w:type="dxa" w:w="4680"/>
          </w:tcPr>
          <w:p>
            <w:pPr>
              <w:pStyle w:val="Compact"/>
              <w:jc w:val="left"/>
            </w:pPr>
            <w:r>
              <w:t xml:space="preserve">The combined rights, services, institutions, culture, governance and infrastructure of IN$DEX.</w:t>
            </w:r>
          </w:p>
        </w:tc>
      </w:tr>
      <w:tr>
        <w:tc>
          <w:tcPr>
            <w:tcW w:type="dxa" w:w="4680"/>
          </w:tcPr>
          <w:p>
            <w:pPr>
              <w:pStyle w:val="Compact"/>
              <w:jc w:val="left"/>
            </w:pPr>
            <w:r>
              <w:t xml:space="preserve">Grid Account</w:t>
            </w:r>
          </w:p>
        </w:tc>
        <w:tc>
          <w:tcPr>
            <w:tcW w:type="dxa" w:w="4680"/>
          </w:tcPr>
          <w:p>
            <w:pPr>
              <w:pStyle w:val="Compact"/>
              <w:jc w:val="left"/>
            </w:pPr>
            <w:r>
              <w:t xml:space="preserve">The citizen’s service container for identity, credentials, missions, permissions, receipts and approved endpoints.</w:t>
            </w:r>
          </w:p>
        </w:tc>
      </w:tr>
      <w:tr>
        <w:tc>
          <w:tcPr>
            <w:tcW w:type="dxa" w:w="4680"/>
          </w:tcPr>
          <w:p>
            <w:pPr>
              <w:pStyle w:val="Compact"/>
              <w:jc w:val="left"/>
            </w:pPr>
            <w:r>
              <w:t xml:space="preserve">SIINDEX</w:t>
            </w:r>
          </w:p>
        </w:tc>
        <w:tc>
          <w:tcPr>
            <w:tcW w:type="dxa" w:w="4680"/>
          </w:tcPr>
          <w:p>
            <w:pPr>
              <w:pStyle w:val="Compact"/>
              <w:jc w:val="left"/>
            </w:pPr>
            <w:r>
              <w:t xml:space="preserve">The Synthetic Executive Operating System and canonical relationship persona of IN$DEX.</w:t>
            </w:r>
          </w:p>
        </w:tc>
      </w:tr>
      <w:tr>
        <w:tc>
          <w:tcPr>
            <w:tcW w:type="dxa" w:w="4680"/>
          </w:tcPr>
          <w:p>
            <w:pPr>
              <w:pStyle w:val="Compact"/>
              <w:jc w:val="left"/>
            </w:pPr>
            <w:r>
              <w:t xml:space="preserve">Sovereign Life Domain</w:t>
            </w:r>
          </w:p>
        </w:tc>
        <w:tc>
          <w:tcPr>
            <w:tcW w:type="dxa" w:w="4680"/>
          </w:tcPr>
          <w:p>
            <w:pPr>
              <w:pStyle w:val="Compact"/>
              <w:jc w:val="left"/>
            </w:pPr>
            <w:r>
              <w:t xml:space="preserve">A human-readable IN$DEX alias and optional profile, such as</w:t>
            </w:r>
            <w:r>
              <w:t xml:space="preserve"> </w:t>
            </w:r>
            <w:r>
              <w:rPr>
                <w:rStyle w:val="VerbatimChar"/>
              </w:rPr>
              <w:t xml:space="preserve">yourname.IN$DEX</w:t>
            </w:r>
            <w:r>
              <w:t xml:space="preserve">.</w:t>
            </w:r>
          </w:p>
        </w:tc>
      </w:tr>
      <w:tr>
        <w:tc>
          <w:tcPr>
            <w:tcW w:type="dxa" w:w="4680"/>
          </w:tcPr>
          <w:p>
            <w:pPr>
              <w:pStyle w:val="Compact"/>
              <w:jc w:val="left"/>
            </w:pPr>
            <w:r>
              <w:t xml:space="preserve">Work Mandate</w:t>
            </w:r>
          </w:p>
        </w:tc>
        <w:tc>
          <w:tcPr>
            <w:tcW w:type="dxa" w:w="4680"/>
          </w:tcPr>
          <w:p>
            <w:pPr>
              <w:pStyle w:val="Compact"/>
              <w:jc w:val="left"/>
            </w:pPr>
            <w:r>
              <w:t xml:space="preserve">A bounded grant describing objective, data, tools, actions, budget, tests, approvals and expiry.</w:t>
            </w:r>
          </w:p>
        </w:tc>
      </w:tr>
      <w:tr>
        <w:tc>
          <w:tcPr>
            <w:tcW w:type="dxa" w:w="4680"/>
          </w:tcPr>
          <w:p>
            <w:pPr>
              <w:pStyle w:val="Compact"/>
              <w:jc w:val="left"/>
            </w:pPr>
            <w:r>
              <w:t xml:space="preserve">Sovereign Receipt</w:t>
            </w:r>
          </w:p>
        </w:tc>
        <w:tc>
          <w:tcPr>
            <w:tcW w:type="dxa" w:w="4680"/>
          </w:tcPr>
          <w:p>
            <w:pPr>
              <w:pStyle w:val="Compact"/>
              <w:jc w:val="left"/>
            </w:pPr>
            <w:r>
              <w:t xml:space="preserve">Human-readable and machine-verifiable evidence of a material action or outcome.</w:t>
            </w:r>
          </w:p>
        </w:tc>
      </w:tr>
      <w:tr>
        <w:tc>
          <w:tcPr>
            <w:tcW w:type="dxa" w:w="4680"/>
          </w:tcPr>
          <w:p>
            <w:pPr>
              <w:pStyle w:val="Compact"/>
              <w:jc w:val="left"/>
            </w:pPr>
            <w:r>
              <w:t xml:space="preserve">Provider Passport</w:t>
            </w:r>
          </w:p>
        </w:tc>
        <w:tc>
          <w:tcPr>
            <w:tcW w:type="dxa" w:w="4680"/>
          </w:tcPr>
          <w:p>
            <w:pPr>
              <w:pStyle w:val="Compact"/>
              <w:jc w:val="left"/>
            </w:pPr>
            <w:r>
              <w:t xml:space="preserve">Due-diligence and status record for an external service provider.</w:t>
            </w:r>
          </w:p>
        </w:tc>
      </w:tr>
      <w:tr>
        <w:tc>
          <w:tcPr>
            <w:tcW w:type="dxa" w:w="4680"/>
          </w:tcPr>
          <w:p>
            <w:pPr>
              <w:pStyle w:val="Compact"/>
              <w:jc w:val="left"/>
            </w:pPr>
            <w:r>
              <w:t xml:space="preserve">Product Reality Matrix</w:t>
            </w:r>
          </w:p>
        </w:tc>
        <w:tc>
          <w:tcPr>
            <w:tcW w:type="dxa" w:w="4680"/>
          </w:tcPr>
          <w:p>
            <w:pPr>
              <w:pStyle w:val="Compact"/>
              <w:jc w:val="left"/>
            </w:pPr>
            <w:r>
              <w:t xml:space="preserve">The single evidence-state register for every capability.</w:t>
            </w:r>
          </w:p>
        </w:tc>
      </w:tr>
      <w:tr>
        <w:tc>
          <w:tcPr>
            <w:tcW w:type="dxa" w:w="4680"/>
          </w:tcPr>
          <w:p>
            <w:pPr>
              <w:pStyle w:val="Compact"/>
              <w:jc w:val="left"/>
            </w:pPr>
            <w:r>
              <w:t xml:space="preserve">98/2 Covenant</w:t>
            </w:r>
          </w:p>
        </w:tc>
        <w:tc>
          <w:tcPr>
            <w:tcW w:type="dxa" w:w="4680"/>
          </w:tcPr>
          <w:p>
            <w:pPr>
              <w:pStyle w:val="Compact"/>
              <w:jc w:val="left"/>
            </w:pPr>
            <w:r>
              <w:t xml:space="preserve">Allocation rule for defined eligible IN$DEX-native distributable service revenue.</w:t>
            </w:r>
          </w:p>
        </w:tc>
      </w:tr>
      <w:tr>
        <w:tc>
          <w:tcPr>
            <w:tcW w:type="dxa" w:w="4680"/>
          </w:tcPr>
          <w:p>
            <w:pPr>
              <w:pStyle w:val="Compact"/>
              <w:jc w:val="left"/>
            </w:pPr>
            <w:r>
              <w:t xml:space="preserve">INDX</w:t>
            </w:r>
          </w:p>
        </w:tc>
        <w:tc>
          <w:tcPr>
            <w:tcW w:type="dxa" w:w="4680"/>
          </w:tcPr>
          <w:p>
            <w:pPr>
              <w:pStyle w:val="Compact"/>
              <w:jc w:val="left"/>
            </w:pPr>
            <w:r>
              <w:t xml:space="preserve">The proposed IN$DEX digital utility and settlement asset, subject to legal and technical approval.</w:t>
            </w:r>
          </w:p>
        </w:tc>
      </w:tr>
      <w:tr>
        <w:tc>
          <w:tcPr>
            <w:tcW w:type="dxa" w:w="4680"/>
          </w:tcPr>
          <w:p>
            <w:pPr>
              <w:pStyle w:val="Compact"/>
              <w:jc w:val="left"/>
            </w:pPr>
            <w:r>
              <w:t xml:space="preserve">Pacific first</w:t>
            </w:r>
          </w:p>
        </w:tc>
        <w:tc>
          <w:tcPr>
            <w:tcW w:type="dxa" w:w="4680"/>
          </w:tcPr>
          <w:p>
            <w:pPr>
              <w:pStyle w:val="Compact"/>
              <w:jc w:val="left"/>
            </w:pPr>
            <w:r>
              <w:t xml:space="preserve">Design first for Pacific realities and communities, without limiting future global use.</w:t>
            </w:r>
          </w:p>
        </w:tc>
      </w:tr>
    </w:tbl>
    <w:p>
      <w:pPr>
        <w:pStyle w:val="BodyText"/>
      </w:pPr>
      <w:r>
        <w:rPr>
          <w:b/>
        </w:rPr>
        <w:t xml:space="preserve">The civilisation remains the long-term product.</w:t>
      </w:r>
      <w:r>
        <w:t xml:space="preserve"> </w:t>
      </w:r>
      <w:r>
        <w:rPr>
          <w:b/>
        </w:rPr>
        <w:t xml:space="preserve">Verified citizen usefulness is the path to it.</w:t>
      </w:r>
    </w:p>
    <w:p>
      <w:pPr>
        <w:pStyle w:val="BodyText"/>
      </w:pPr>
      <w:r>
        <w:t xml:space="preserve">IN$DEX | Image Nation Decentralised Exchange | Founded by Arthur John Henry</w:t>
      </w:r>
    </w:p>
    <w:sect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4fbe019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5">
    <w:nsid w:val="91a27d85"/>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615f1ed2"/>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238d8174"/>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8">
    <w:nsid w:val="41f388d6"/>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9">
    <w:nsid w:val="da4300bd"/>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0">
    <w:nsid w:val="8c1c03f9"/>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1">
    <w:nsid w:val="5504a012"/>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2">
    <w:nsid w:val="5a538d88"/>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994113">
    <w:nsid w:val="8a296d99"/>
    <w:multiLevelType w:val="multilevel"/>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994114">
    <w:nsid w:val="87b17300"/>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994115">
    <w:nsid w:val="7b86e438"/>
    <w:multiLevelType w:val="multilevel"/>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abstractNum w:abstractNumId="994116">
    <w:nsid w:val="387f082c"/>
    <w:multiLevelType w:val="multilevel"/>
    <w:lvl w:ilvl="0">
      <w:start w:val="16"/>
      <w:numFmt w:val="decimal"/>
      <w:lvlText w:val="%1."/>
      <w:lvlJc w:val="left"/>
      <w:pPr>
        <w:tabs>
          <w:tab w:val="num" w:pos="0"/>
        </w:tabs>
        <w:ind w:left="480" w:hanging="480"/>
      </w:pPr>
    </w:lvl>
    <w:lvl w:ilvl="1">
      <w:start w:val="16"/>
      <w:numFmt w:val="decimal"/>
      <w:lvlText w:val="%2."/>
      <w:lvlJc w:val="left"/>
      <w:pPr>
        <w:tabs>
          <w:tab w:val="num" w:pos="720"/>
        </w:tabs>
        <w:ind w:left="1200" w:hanging="480"/>
      </w:pPr>
    </w:lvl>
    <w:lvl w:ilvl="2">
      <w:start w:val="16"/>
      <w:numFmt w:val="decimal"/>
      <w:lvlText w:val="%3."/>
      <w:lvlJc w:val="left"/>
      <w:pPr>
        <w:tabs>
          <w:tab w:val="num" w:pos="1440"/>
        </w:tabs>
        <w:ind w:left="1920" w:hanging="480"/>
      </w:pPr>
    </w:lvl>
    <w:lvl w:ilvl="3">
      <w:start w:val="16"/>
      <w:numFmt w:val="decimal"/>
      <w:lvlText w:val="%4."/>
      <w:lvlJc w:val="left"/>
      <w:pPr>
        <w:tabs>
          <w:tab w:val="num" w:pos="2160"/>
        </w:tabs>
        <w:ind w:left="2640" w:hanging="480"/>
      </w:pPr>
    </w:lvl>
    <w:lvl w:ilvl="4">
      <w:start w:val="16"/>
      <w:numFmt w:val="decimal"/>
      <w:lvlText w:val="%5."/>
      <w:lvlJc w:val="left"/>
      <w:pPr>
        <w:tabs>
          <w:tab w:val="num" w:pos="2880"/>
        </w:tabs>
        <w:ind w:left="3360" w:hanging="480"/>
      </w:pPr>
    </w:lvl>
    <w:lvl w:ilvl="5">
      <w:start w:val="16"/>
      <w:numFmt w:val="decimal"/>
      <w:lvlText w:val="%6."/>
      <w:lvlJc w:val="left"/>
      <w:pPr>
        <w:tabs>
          <w:tab w:val="num" w:pos="3600"/>
        </w:tabs>
        <w:ind w:left="4080" w:hanging="480"/>
      </w:pPr>
    </w:lvl>
    <w:lvl w:ilvl="6">
      <w:start w:val="16"/>
      <w:numFmt w:val="decimal"/>
      <w:lvlText w:val="%7."/>
      <w:lvlJc w:val="left"/>
      <w:pPr>
        <w:tabs>
          <w:tab w:val="num" w:pos="4320"/>
        </w:tabs>
        <w:ind w:left="4800" w:hanging="480"/>
      </w:pPr>
    </w:lvl>
    <w:lvl w:ilvl="7">
      <w:start w:val="16"/>
      <w:numFmt w:val="decimal"/>
      <w:lvlText w:val="%8."/>
      <w:lvlJc w:val="left"/>
      <w:pPr>
        <w:tabs>
          <w:tab w:val="num" w:pos="5040"/>
        </w:tabs>
        <w:ind w:left="5520" w:hanging="480"/>
      </w:pPr>
    </w:lvl>
    <w:lvl w:ilvl="8">
      <w:start w:val="16"/>
      <w:numFmt w:val="decimal"/>
      <w:lvlText w:val="%9."/>
      <w:lvlJc w:val="left"/>
      <w:pPr>
        <w:tabs>
          <w:tab w:val="num" w:pos="5760"/>
        </w:tabs>
        <w:ind w:left="6240" w:hanging="480"/>
      </w:pPr>
    </w:lvl>
  </w:abstractNum>
  <w:abstractNum w:abstractNumId="994117">
    <w:nsid w:val="cebfcc7d"/>
    <w:multiLevelType w:val="multilevel"/>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994118">
    <w:nsid w:val="7cc89fe4"/>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19">
    <w:nsid w:val="fd23932f"/>
    <w:multiLevelType w:val="multilevel"/>
    <w:lvl w:ilvl="0">
      <w:start w:val="19"/>
      <w:numFmt w:val="decimal"/>
      <w:lvlText w:val="%1."/>
      <w:lvlJc w:val="left"/>
      <w:pPr>
        <w:tabs>
          <w:tab w:val="num" w:pos="0"/>
        </w:tabs>
        <w:ind w:left="480" w:hanging="480"/>
      </w:pPr>
    </w:lvl>
    <w:lvl w:ilvl="1">
      <w:start w:val="19"/>
      <w:numFmt w:val="decimal"/>
      <w:lvlText w:val="%2."/>
      <w:lvlJc w:val="left"/>
      <w:pPr>
        <w:tabs>
          <w:tab w:val="num" w:pos="720"/>
        </w:tabs>
        <w:ind w:left="1200" w:hanging="480"/>
      </w:pPr>
    </w:lvl>
    <w:lvl w:ilvl="2">
      <w:start w:val="19"/>
      <w:numFmt w:val="decimal"/>
      <w:lvlText w:val="%3."/>
      <w:lvlJc w:val="left"/>
      <w:pPr>
        <w:tabs>
          <w:tab w:val="num" w:pos="1440"/>
        </w:tabs>
        <w:ind w:left="1920" w:hanging="480"/>
      </w:pPr>
    </w:lvl>
    <w:lvl w:ilvl="3">
      <w:start w:val="19"/>
      <w:numFmt w:val="decimal"/>
      <w:lvlText w:val="%4."/>
      <w:lvlJc w:val="left"/>
      <w:pPr>
        <w:tabs>
          <w:tab w:val="num" w:pos="2160"/>
        </w:tabs>
        <w:ind w:left="2640" w:hanging="480"/>
      </w:pPr>
    </w:lvl>
    <w:lvl w:ilvl="4">
      <w:start w:val="19"/>
      <w:numFmt w:val="decimal"/>
      <w:lvlText w:val="%5."/>
      <w:lvlJc w:val="left"/>
      <w:pPr>
        <w:tabs>
          <w:tab w:val="num" w:pos="2880"/>
        </w:tabs>
        <w:ind w:left="3360" w:hanging="480"/>
      </w:pPr>
    </w:lvl>
    <w:lvl w:ilvl="5">
      <w:start w:val="19"/>
      <w:numFmt w:val="decimal"/>
      <w:lvlText w:val="%6."/>
      <w:lvlJc w:val="left"/>
      <w:pPr>
        <w:tabs>
          <w:tab w:val="num" w:pos="3600"/>
        </w:tabs>
        <w:ind w:left="4080" w:hanging="480"/>
      </w:pPr>
    </w:lvl>
    <w:lvl w:ilvl="6">
      <w:start w:val="19"/>
      <w:numFmt w:val="decimal"/>
      <w:lvlText w:val="%7."/>
      <w:lvlJc w:val="left"/>
      <w:pPr>
        <w:tabs>
          <w:tab w:val="num" w:pos="4320"/>
        </w:tabs>
        <w:ind w:left="4800" w:hanging="480"/>
      </w:pPr>
    </w:lvl>
    <w:lvl w:ilvl="7">
      <w:start w:val="19"/>
      <w:numFmt w:val="decimal"/>
      <w:lvlText w:val="%8."/>
      <w:lvlJc w:val="left"/>
      <w:pPr>
        <w:tabs>
          <w:tab w:val="num" w:pos="5040"/>
        </w:tabs>
        <w:ind w:left="5520" w:hanging="480"/>
      </w:pPr>
    </w:lvl>
    <w:lvl w:ilvl="8">
      <w:start w:val="19"/>
      <w:numFmt w:val="decimal"/>
      <w:lvlText w:val="%9."/>
      <w:lvlJc w:val="left"/>
      <w:pPr>
        <w:tabs>
          <w:tab w:val="num" w:pos="5760"/>
        </w:tabs>
        <w:ind w:left="6240" w:hanging="480"/>
      </w:pPr>
    </w:lvl>
  </w:abstractNum>
  <w:abstractNum w:abstractNumId="994120">
    <w:nsid w:val="abcc5f24"/>
    <w:multiLevelType w:val="multilevel"/>
    <w:lvl w:ilvl="0">
      <w:start w:val="20"/>
      <w:numFmt w:val="decimal"/>
      <w:lvlText w:val="%1."/>
      <w:lvlJc w:val="left"/>
      <w:pPr>
        <w:tabs>
          <w:tab w:val="num" w:pos="0"/>
        </w:tabs>
        <w:ind w:left="480" w:hanging="480"/>
      </w:pPr>
    </w:lvl>
    <w:lvl w:ilvl="1">
      <w:start w:val="20"/>
      <w:numFmt w:val="decimal"/>
      <w:lvlText w:val="%2."/>
      <w:lvlJc w:val="left"/>
      <w:pPr>
        <w:tabs>
          <w:tab w:val="num" w:pos="720"/>
        </w:tabs>
        <w:ind w:left="1200" w:hanging="480"/>
      </w:pPr>
    </w:lvl>
    <w:lvl w:ilvl="2">
      <w:start w:val="20"/>
      <w:numFmt w:val="decimal"/>
      <w:lvlText w:val="%3."/>
      <w:lvlJc w:val="left"/>
      <w:pPr>
        <w:tabs>
          <w:tab w:val="num" w:pos="1440"/>
        </w:tabs>
        <w:ind w:left="1920" w:hanging="480"/>
      </w:pPr>
    </w:lvl>
    <w:lvl w:ilvl="3">
      <w:start w:val="20"/>
      <w:numFmt w:val="decimal"/>
      <w:lvlText w:val="%4."/>
      <w:lvlJc w:val="left"/>
      <w:pPr>
        <w:tabs>
          <w:tab w:val="num" w:pos="2160"/>
        </w:tabs>
        <w:ind w:left="2640" w:hanging="480"/>
      </w:pPr>
    </w:lvl>
    <w:lvl w:ilvl="4">
      <w:start w:val="20"/>
      <w:numFmt w:val="decimal"/>
      <w:lvlText w:val="%5."/>
      <w:lvlJc w:val="left"/>
      <w:pPr>
        <w:tabs>
          <w:tab w:val="num" w:pos="2880"/>
        </w:tabs>
        <w:ind w:left="3360" w:hanging="480"/>
      </w:pPr>
    </w:lvl>
    <w:lvl w:ilvl="5">
      <w:start w:val="20"/>
      <w:numFmt w:val="decimal"/>
      <w:lvlText w:val="%6."/>
      <w:lvlJc w:val="left"/>
      <w:pPr>
        <w:tabs>
          <w:tab w:val="num" w:pos="3600"/>
        </w:tabs>
        <w:ind w:left="4080" w:hanging="480"/>
      </w:pPr>
    </w:lvl>
    <w:lvl w:ilvl="6">
      <w:start w:val="20"/>
      <w:numFmt w:val="decimal"/>
      <w:lvlText w:val="%7."/>
      <w:lvlJc w:val="left"/>
      <w:pPr>
        <w:tabs>
          <w:tab w:val="num" w:pos="4320"/>
        </w:tabs>
        <w:ind w:left="4800" w:hanging="480"/>
      </w:pPr>
    </w:lvl>
    <w:lvl w:ilvl="7">
      <w:start w:val="20"/>
      <w:numFmt w:val="decimal"/>
      <w:lvlText w:val="%8."/>
      <w:lvlJc w:val="left"/>
      <w:pPr>
        <w:tabs>
          <w:tab w:val="num" w:pos="5040"/>
        </w:tabs>
        <w:ind w:left="5520" w:hanging="480"/>
      </w:pPr>
    </w:lvl>
    <w:lvl w:ilvl="8">
      <w:start w:val="20"/>
      <w:numFmt w:val="decimal"/>
      <w:lvlText w:val="%9."/>
      <w:lvlJc w:val="left"/>
      <w:pPr>
        <w:tabs>
          <w:tab w:val="num" w:pos="5760"/>
        </w:tabs>
        <w:ind w:left="6240" w:hanging="480"/>
      </w:pPr>
    </w:lvl>
  </w:abstractNum>
  <w:abstractNum w:abstractNumId="994121">
    <w:nsid w:val="ea63e02b"/>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994122">
    <w:nsid w:val="c9be6b2a"/>
    <w:multiLevelType w:val="multilevel"/>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abstractNum w:abstractNumId="994123">
    <w:nsid w:val="f5f50f4f"/>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4124">
    <w:nsid w:val="69a63b9e"/>
    <w:multiLevelType w:val="multilevel"/>
    <w:lvl w:ilvl="0">
      <w:start w:val="24"/>
      <w:numFmt w:val="decimal"/>
      <w:lvlText w:val="%1."/>
      <w:lvlJc w:val="left"/>
      <w:pPr>
        <w:tabs>
          <w:tab w:val="num" w:pos="0"/>
        </w:tabs>
        <w:ind w:left="480" w:hanging="480"/>
      </w:pPr>
    </w:lvl>
    <w:lvl w:ilvl="1">
      <w:start w:val="24"/>
      <w:numFmt w:val="decimal"/>
      <w:lvlText w:val="%2."/>
      <w:lvlJc w:val="left"/>
      <w:pPr>
        <w:tabs>
          <w:tab w:val="num" w:pos="720"/>
        </w:tabs>
        <w:ind w:left="1200" w:hanging="480"/>
      </w:pPr>
    </w:lvl>
    <w:lvl w:ilvl="2">
      <w:start w:val="24"/>
      <w:numFmt w:val="decimal"/>
      <w:lvlText w:val="%3."/>
      <w:lvlJc w:val="left"/>
      <w:pPr>
        <w:tabs>
          <w:tab w:val="num" w:pos="1440"/>
        </w:tabs>
        <w:ind w:left="1920" w:hanging="480"/>
      </w:pPr>
    </w:lvl>
    <w:lvl w:ilvl="3">
      <w:start w:val="24"/>
      <w:numFmt w:val="decimal"/>
      <w:lvlText w:val="%4."/>
      <w:lvlJc w:val="left"/>
      <w:pPr>
        <w:tabs>
          <w:tab w:val="num" w:pos="2160"/>
        </w:tabs>
        <w:ind w:left="2640" w:hanging="480"/>
      </w:pPr>
    </w:lvl>
    <w:lvl w:ilvl="4">
      <w:start w:val="24"/>
      <w:numFmt w:val="decimal"/>
      <w:lvlText w:val="%5."/>
      <w:lvlJc w:val="left"/>
      <w:pPr>
        <w:tabs>
          <w:tab w:val="num" w:pos="2880"/>
        </w:tabs>
        <w:ind w:left="3360" w:hanging="480"/>
      </w:pPr>
    </w:lvl>
    <w:lvl w:ilvl="5">
      <w:start w:val="24"/>
      <w:numFmt w:val="decimal"/>
      <w:lvlText w:val="%6."/>
      <w:lvlJc w:val="left"/>
      <w:pPr>
        <w:tabs>
          <w:tab w:val="num" w:pos="3600"/>
        </w:tabs>
        <w:ind w:left="4080" w:hanging="480"/>
      </w:pPr>
    </w:lvl>
    <w:lvl w:ilvl="6">
      <w:start w:val="24"/>
      <w:numFmt w:val="decimal"/>
      <w:lvlText w:val="%7."/>
      <w:lvlJc w:val="left"/>
      <w:pPr>
        <w:tabs>
          <w:tab w:val="num" w:pos="4320"/>
        </w:tabs>
        <w:ind w:left="4800" w:hanging="480"/>
      </w:pPr>
    </w:lvl>
    <w:lvl w:ilvl="7">
      <w:start w:val="24"/>
      <w:numFmt w:val="decimal"/>
      <w:lvlText w:val="%8."/>
      <w:lvlJc w:val="left"/>
      <w:pPr>
        <w:tabs>
          <w:tab w:val="num" w:pos="5040"/>
        </w:tabs>
        <w:ind w:left="5520" w:hanging="480"/>
      </w:pPr>
    </w:lvl>
    <w:lvl w:ilvl="8">
      <w:start w:val="24"/>
      <w:numFmt w:val="decimal"/>
      <w:lvlText w:val="%9."/>
      <w:lvlJc w:val="left"/>
      <w:pPr>
        <w:tabs>
          <w:tab w:val="num" w:pos="5760"/>
        </w:tabs>
        <w:ind w:left="6240" w:hanging="480"/>
      </w:pPr>
    </w:lvl>
  </w:abstractNum>
  <w:abstractNum w:abstractNumId="994125">
    <w:nsid w:val="fb5c8216"/>
    <w:multiLevelType w:val="multilevel"/>
    <w:lvl w:ilvl="0">
      <w:start w:val="25"/>
      <w:numFmt w:val="decimal"/>
      <w:lvlText w:val="%1."/>
      <w:lvlJc w:val="left"/>
      <w:pPr>
        <w:tabs>
          <w:tab w:val="num" w:pos="0"/>
        </w:tabs>
        <w:ind w:left="480" w:hanging="480"/>
      </w:pPr>
    </w:lvl>
    <w:lvl w:ilvl="1">
      <w:start w:val="25"/>
      <w:numFmt w:val="decimal"/>
      <w:lvlText w:val="%2."/>
      <w:lvlJc w:val="left"/>
      <w:pPr>
        <w:tabs>
          <w:tab w:val="num" w:pos="720"/>
        </w:tabs>
        <w:ind w:left="1200" w:hanging="480"/>
      </w:pPr>
    </w:lvl>
    <w:lvl w:ilvl="2">
      <w:start w:val="25"/>
      <w:numFmt w:val="decimal"/>
      <w:lvlText w:val="%3."/>
      <w:lvlJc w:val="left"/>
      <w:pPr>
        <w:tabs>
          <w:tab w:val="num" w:pos="1440"/>
        </w:tabs>
        <w:ind w:left="1920" w:hanging="480"/>
      </w:pPr>
    </w:lvl>
    <w:lvl w:ilvl="3">
      <w:start w:val="25"/>
      <w:numFmt w:val="decimal"/>
      <w:lvlText w:val="%4."/>
      <w:lvlJc w:val="left"/>
      <w:pPr>
        <w:tabs>
          <w:tab w:val="num" w:pos="2160"/>
        </w:tabs>
        <w:ind w:left="2640" w:hanging="480"/>
      </w:pPr>
    </w:lvl>
    <w:lvl w:ilvl="4">
      <w:start w:val="25"/>
      <w:numFmt w:val="decimal"/>
      <w:lvlText w:val="%5."/>
      <w:lvlJc w:val="left"/>
      <w:pPr>
        <w:tabs>
          <w:tab w:val="num" w:pos="2880"/>
        </w:tabs>
        <w:ind w:left="3360" w:hanging="480"/>
      </w:pPr>
    </w:lvl>
    <w:lvl w:ilvl="5">
      <w:start w:val="25"/>
      <w:numFmt w:val="decimal"/>
      <w:lvlText w:val="%6."/>
      <w:lvlJc w:val="left"/>
      <w:pPr>
        <w:tabs>
          <w:tab w:val="num" w:pos="3600"/>
        </w:tabs>
        <w:ind w:left="4080" w:hanging="480"/>
      </w:pPr>
    </w:lvl>
    <w:lvl w:ilvl="6">
      <w:start w:val="25"/>
      <w:numFmt w:val="decimal"/>
      <w:lvlText w:val="%7."/>
      <w:lvlJc w:val="left"/>
      <w:pPr>
        <w:tabs>
          <w:tab w:val="num" w:pos="4320"/>
        </w:tabs>
        <w:ind w:left="4800" w:hanging="480"/>
      </w:pPr>
    </w:lvl>
    <w:lvl w:ilvl="7">
      <w:start w:val="25"/>
      <w:numFmt w:val="decimal"/>
      <w:lvlText w:val="%8."/>
      <w:lvlJc w:val="left"/>
      <w:pPr>
        <w:tabs>
          <w:tab w:val="num" w:pos="5040"/>
        </w:tabs>
        <w:ind w:left="5520" w:hanging="480"/>
      </w:pPr>
    </w:lvl>
    <w:lvl w:ilvl="8">
      <w:start w:val="25"/>
      <w:numFmt w:val="decimal"/>
      <w:lvlText w:val="%9."/>
      <w:lvlJc w:val="left"/>
      <w:pPr>
        <w:tabs>
          <w:tab w:val="num" w:pos="5760"/>
        </w:tabs>
        <w:ind w:left="6240" w:hanging="480"/>
      </w:pPr>
    </w:lvl>
  </w:abstractNum>
  <w:abstractNum w:abstractNumId="994126">
    <w:nsid w:val="8820b3b9"/>
    <w:multiLevelType w:val="multilevel"/>
    <w:lvl w:ilvl="0">
      <w:start w:val="26"/>
      <w:numFmt w:val="decimal"/>
      <w:lvlText w:val="%1."/>
      <w:lvlJc w:val="left"/>
      <w:pPr>
        <w:tabs>
          <w:tab w:val="num" w:pos="0"/>
        </w:tabs>
        <w:ind w:left="480" w:hanging="480"/>
      </w:pPr>
    </w:lvl>
    <w:lvl w:ilvl="1">
      <w:start w:val="26"/>
      <w:numFmt w:val="decimal"/>
      <w:lvlText w:val="%2."/>
      <w:lvlJc w:val="left"/>
      <w:pPr>
        <w:tabs>
          <w:tab w:val="num" w:pos="720"/>
        </w:tabs>
        <w:ind w:left="1200" w:hanging="480"/>
      </w:pPr>
    </w:lvl>
    <w:lvl w:ilvl="2">
      <w:start w:val="26"/>
      <w:numFmt w:val="decimal"/>
      <w:lvlText w:val="%3."/>
      <w:lvlJc w:val="left"/>
      <w:pPr>
        <w:tabs>
          <w:tab w:val="num" w:pos="1440"/>
        </w:tabs>
        <w:ind w:left="1920" w:hanging="480"/>
      </w:pPr>
    </w:lvl>
    <w:lvl w:ilvl="3">
      <w:start w:val="26"/>
      <w:numFmt w:val="decimal"/>
      <w:lvlText w:val="%4."/>
      <w:lvlJc w:val="left"/>
      <w:pPr>
        <w:tabs>
          <w:tab w:val="num" w:pos="2160"/>
        </w:tabs>
        <w:ind w:left="2640" w:hanging="480"/>
      </w:pPr>
    </w:lvl>
    <w:lvl w:ilvl="4">
      <w:start w:val="26"/>
      <w:numFmt w:val="decimal"/>
      <w:lvlText w:val="%5."/>
      <w:lvlJc w:val="left"/>
      <w:pPr>
        <w:tabs>
          <w:tab w:val="num" w:pos="2880"/>
        </w:tabs>
        <w:ind w:left="3360" w:hanging="480"/>
      </w:pPr>
    </w:lvl>
    <w:lvl w:ilvl="5">
      <w:start w:val="26"/>
      <w:numFmt w:val="decimal"/>
      <w:lvlText w:val="%6."/>
      <w:lvlJc w:val="left"/>
      <w:pPr>
        <w:tabs>
          <w:tab w:val="num" w:pos="3600"/>
        </w:tabs>
        <w:ind w:left="4080" w:hanging="480"/>
      </w:pPr>
    </w:lvl>
    <w:lvl w:ilvl="6">
      <w:start w:val="26"/>
      <w:numFmt w:val="decimal"/>
      <w:lvlText w:val="%7."/>
      <w:lvlJc w:val="left"/>
      <w:pPr>
        <w:tabs>
          <w:tab w:val="num" w:pos="4320"/>
        </w:tabs>
        <w:ind w:left="4800" w:hanging="480"/>
      </w:pPr>
    </w:lvl>
    <w:lvl w:ilvl="7">
      <w:start w:val="26"/>
      <w:numFmt w:val="decimal"/>
      <w:lvlText w:val="%8."/>
      <w:lvlJc w:val="left"/>
      <w:pPr>
        <w:tabs>
          <w:tab w:val="num" w:pos="5040"/>
        </w:tabs>
        <w:ind w:left="5520" w:hanging="480"/>
      </w:pPr>
    </w:lvl>
    <w:lvl w:ilvl="8">
      <w:start w:val="26"/>
      <w:numFmt w:val="decimal"/>
      <w:lvlText w:val="%9."/>
      <w:lvlJc w:val="left"/>
      <w:pPr>
        <w:tabs>
          <w:tab w:val="num" w:pos="5760"/>
        </w:tabs>
        <w:ind w:left="6240" w:hanging="480"/>
      </w:pPr>
    </w:lvl>
  </w:abstractNum>
  <w:abstractNum w:abstractNumId="994127">
    <w:nsid w:val="2c232144"/>
    <w:multiLevelType w:val="multilevel"/>
    <w:lvl w:ilvl="0">
      <w:start w:val="27"/>
      <w:numFmt w:val="decimal"/>
      <w:lvlText w:val="%1."/>
      <w:lvlJc w:val="left"/>
      <w:pPr>
        <w:tabs>
          <w:tab w:val="num" w:pos="0"/>
        </w:tabs>
        <w:ind w:left="480" w:hanging="480"/>
      </w:pPr>
    </w:lvl>
    <w:lvl w:ilvl="1">
      <w:start w:val="27"/>
      <w:numFmt w:val="decimal"/>
      <w:lvlText w:val="%2."/>
      <w:lvlJc w:val="left"/>
      <w:pPr>
        <w:tabs>
          <w:tab w:val="num" w:pos="720"/>
        </w:tabs>
        <w:ind w:left="1200" w:hanging="480"/>
      </w:pPr>
    </w:lvl>
    <w:lvl w:ilvl="2">
      <w:start w:val="27"/>
      <w:numFmt w:val="decimal"/>
      <w:lvlText w:val="%3."/>
      <w:lvlJc w:val="left"/>
      <w:pPr>
        <w:tabs>
          <w:tab w:val="num" w:pos="1440"/>
        </w:tabs>
        <w:ind w:left="1920" w:hanging="480"/>
      </w:pPr>
    </w:lvl>
    <w:lvl w:ilvl="3">
      <w:start w:val="27"/>
      <w:numFmt w:val="decimal"/>
      <w:lvlText w:val="%4."/>
      <w:lvlJc w:val="left"/>
      <w:pPr>
        <w:tabs>
          <w:tab w:val="num" w:pos="2160"/>
        </w:tabs>
        <w:ind w:left="2640" w:hanging="480"/>
      </w:pPr>
    </w:lvl>
    <w:lvl w:ilvl="4">
      <w:start w:val="27"/>
      <w:numFmt w:val="decimal"/>
      <w:lvlText w:val="%5."/>
      <w:lvlJc w:val="left"/>
      <w:pPr>
        <w:tabs>
          <w:tab w:val="num" w:pos="2880"/>
        </w:tabs>
        <w:ind w:left="3360" w:hanging="480"/>
      </w:pPr>
    </w:lvl>
    <w:lvl w:ilvl="5">
      <w:start w:val="27"/>
      <w:numFmt w:val="decimal"/>
      <w:lvlText w:val="%6."/>
      <w:lvlJc w:val="left"/>
      <w:pPr>
        <w:tabs>
          <w:tab w:val="num" w:pos="3600"/>
        </w:tabs>
        <w:ind w:left="4080" w:hanging="480"/>
      </w:pPr>
    </w:lvl>
    <w:lvl w:ilvl="6">
      <w:start w:val="27"/>
      <w:numFmt w:val="decimal"/>
      <w:lvlText w:val="%7."/>
      <w:lvlJc w:val="left"/>
      <w:pPr>
        <w:tabs>
          <w:tab w:val="num" w:pos="4320"/>
        </w:tabs>
        <w:ind w:left="4800" w:hanging="480"/>
      </w:pPr>
    </w:lvl>
    <w:lvl w:ilvl="7">
      <w:start w:val="27"/>
      <w:numFmt w:val="decimal"/>
      <w:lvlText w:val="%8."/>
      <w:lvlJc w:val="left"/>
      <w:pPr>
        <w:tabs>
          <w:tab w:val="num" w:pos="5040"/>
        </w:tabs>
        <w:ind w:left="5520" w:hanging="480"/>
      </w:pPr>
    </w:lvl>
    <w:lvl w:ilvl="8">
      <w:start w:val="27"/>
      <w:numFmt w:val="decimal"/>
      <w:lvlText w:val="%9."/>
      <w:lvlJc w:val="left"/>
      <w:pPr>
        <w:tabs>
          <w:tab w:val="num" w:pos="5760"/>
        </w:tabs>
        <w:ind w:left="6240" w:hanging="480"/>
      </w:pPr>
    </w:lvl>
  </w:abstractNum>
  <w:abstractNum w:abstractNumId="994128">
    <w:nsid w:val="2b45298e"/>
    <w:multiLevelType w:val="multilevel"/>
    <w:lvl w:ilvl="0">
      <w:start w:val="28"/>
      <w:numFmt w:val="decimal"/>
      <w:lvlText w:val="%1."/>
      <w:lvlJc w:val="left"/>
      <w:pPr>
        <w:tabs>
          <w:tab w:val="num" w:pos="0"/>
        </w:tabs>
        <w:ind w:left="480" w:hanging="480"/>
      </w:pPr>
    </w:lvl>
    <w:lvl w:ilvl="1">
      <w:start w:val="28"/>
      <w:numFmt w:val="decimal"/>
      <w:lvlText w:val="%2."/>
      <w:lvlJc w:val="left"/>
      <w:pPr>
        <w:tabs>
          <w:tab w:val="num" w:pos="720"/>
        </w:tabs>
        <w:ind w:left="1200" w:hanging="480"/>
      </w:pPr>
    </w:lvl>
    <w:lvl w:ilvl="2">
      <w:start w:val="28"/>
      <w:numFmt w:val="decimal"/>
      <w:lvlText w:val="%3."/>
      <w:lvlJc w:val="left"/>
      <w:pPr>
        <w:tabs>
          <w:tab w:val="num" w:pos="1440"/>
        </w:tabs>
        <w:ind w:left="1920" w:hanging="480"/>
      </w:pPr>
    </w:lvl>
    <w:lvl w:ilvl="3">
      <w:start w:val="28"/>
      <w:numFmt w:val="decimal"/>
      <w:lvlText w:val="%4."/>
      <w:lvlJc w:val="left"/>
      <w:pPr>
        <w:tabs>
          <w:tab w:val="num" w:pos="2160"/>
        </w:tabs>
        <w:ind w:left="2640" w:hanging="480"/>
      </w:pPr>
    </w:lvl>
    <w:lvl w:ilvl="4">
      <w:start w:val="28"/>
      <w:numFmt w:val="decimal"/>
      <w:lvlText w:val="%5."/>
      <w:lvlJc w:val="left"/>
      <w:pPr>
        <w:tabs>
          <w:tab w:val="num" w:pos="2880"/>
        </w:tabs>
        <w:ind w:left="3360" w:hanging="480"/>
      </w:pPr>
    </w:lvl>
    <w:lvl w:ilvl="5">
      <w:start w:val="28"/>
      <w:numFmt w:val="decimal"/>
      <w:lvlText w:val="%6."/>
      <w:lvlJc w:val="left"/>
      <w:pPr>
        <w:tabs>
          <w:tab w:val="num" w:pos="3600"/>
        </w:tabs>
        <w:ind w:left="4080" w:hanging="480"/>
      </w:pPr>
    </w:lvl>
    <w:lvl w:ilvl="6">
      <w:start w:val="28"/>
      <w:numFmt w:val="decimal"/>
      <w:lvlText w:val="%7."/>
      <w:lvlJc w:val="left"/>
      <w:pPr>
        <w:tabs>
          <w:tab w:val="num" w:pos="4320"/>
        </w:tabs>
        <w:ind w:left="4800" w:hanging="480"/>
      </w:pPr>
    </w:lvl>
    <w:lvl w:ilvl="7">
      <w:start w:val="28"/>
      <w:numFmt w:val="decimal"/>
      <w:lvlText w:val="%8."/>
      <w:lvlJc w:val="left"/>
      <w:pPr>
        <w:tabs>
          <w:tab w:val="num" w:pos="5040"/>
        </w:tabs>
        <w:ind w:left="5520" w:hanging="480"/>
      </w:pPr>
    </w:lvl>
    <w:lvl w:ilvl="8">
      <w:start w:val="28"/>
      <w:numFmt w:val="decimal"/>
      <w:lvlText w:val="%9."/>
      <w:lvlJc w:val="left"/>
      <w:pPr>
        <w:tabs>
          <w:tab w:val="num" w:pos="5760"/>
        </w:tabs>
        <w:ind w:left="6240" w:hanging="480"/>
      </w:pPr>
    </w:lvl>
  </w:abstractNum>
  <w:abstractNum w:abstractNumId="994129">
    <w:nsid w:val="59b0f1bf"/>
    <w:multiLevelType w:val="multilevel"/>
    <w:lvl w:ilvl="0">
      <w:start w:val="29"/>
      <w:numFmt w:val="decimal"/>
      <w:lvlText w:val="%1."/>
      <w:lvlJc w:val="left"/>
      <w:pPr>
        <w:tabs>
          <w:tab w:val="num" w:pos="0"/>
        </w:tabs>
        <w:ind w:left="480" w:hanging="480"/>
      </w:pPr>
    </w:lvl>
    <w:lvl w:ilvl="1">
      <w:start w:val="29"/>
      <w:numFmt w:val="decimal"/>
      <w:lvlText w:val="%2."/>
      <w:lvlJc w:val="left"/>
      <w:pPr>
        <w:tabs>
          <w:tab w:val="num" w:pos="720"/>
        </w:tabs>
        <w:ind w:left="1200" w:hanging="480"/>
      </w:pPr>
    </w:lvl>
    <w:lvl w:ilvl="2">
      <w:start w:val="29"/>
      <w:numFmt w:val="decimal"/>
      <w:lvlText w:val="%3."/>
      <w:lvlJc w:val="left"/>
      <w:pPr>
        <w:tabs>
          <w:tab w:val="num" w:pos="1440"/>
        </w:tabs>
        <w:ind w:left="1920" w:hanging="480"/>
      </w:pPr>
    </w:lvl>
    <w:lvl w:ilvl="3">
      <w:start w:val="29"/>
      <w:numFmt w:val="decimal"/>
      <w:lvlText w:val="%4."/>
      <w:lvlJc w:val="left"/>
      <w:pPr>
        <w:tabs>
          <w:tab w:val="num" w:pos="2160"/>
        </w:tabs>
        <w:ind w:left="2640" w:hanging="480"/>
      </w:pPr>
    </w:lvl>
    <w:lvl w:ilvl="4">
      <w:start w:val="29"/>
      <w:numFmt w:val="decimal"/>
      <w:lvlText w:val="%5."/>
      <w:lvlJc w:val="left"/>
      <w:pPr>
        <w:tabs>
          <w:tab w:val="num" w:pos="2880"/>
        </w:tabs>
        <w:ind w:left="3360" w:hanging="480"/>
      </w:pPr>
    </w:lvl>
    <w:lvl w:ilvl="5">
      <w:start w:val="29"/>
      <w:numFmt w:val="decimal"/>
      <w:lvlText w:val="%6."/>
      <w:lvlJc w:val="left"/>
      <w:pPr>
        <w:tabs>
          <w:tab w:val="num" w:pos="3600"/>
        </w:tabs>
        <w:ind w:left="4080" w:hanging="480"/>
      </w:pPr>
    </w:lvl>
    <w:lvl w:ilvl="6">
      <w:start w:val="29"/>
      <w:numFmt w:val="decimal"/>
      <w:lvlText w:val="%7."/>
      <w:lvlJc w:val="left"/>
      <w:pPr>
        <w:tabs>
          <w:tab w:val="num" w:pos="4320"/>
        </w:tabs>
        <w:ind w:left="4800" w:hanging="480"/>
      </w:pPr>
    </w:lvl>
    <w:lvl w:ilvl="7">
      <w:start w:val="29"/>
      <w:numFmt w:val="decimal"/>
      <w:lvlText w:val="%8."/>
      <w:lvlJc w:val="left"/>
      <w:pPr>
        <w:tabs>
          <w:tab w:val="num" w:pos="5040"/>
        </w:tabs>
        <w:ind w:left="5520" w:hanging="480"/>
      </w:pPr>
    </w:lvl>
    <w:lvl w:ilvl="8">
      <w:start w:val="29"/>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42" Type="http://schemas.openxmlformats.org/officeDocument/2006/relationships/hyperlink" Target="https://asic.gov.au/for-business/small-business/starting-a-small-business-company/small-business-company-directors/how-to-become-a-company-director/" TargetMode="External"/><Relationship Id="rId141" Type="http://schemas.openxmlformats.org/officeDocument/2006/relationships/hyperlink" Target="https://business.gov.au/planning/business-structures-and-types/restructuring/change-your-sole-trader-business-to-a-company" TargetMode="External"/><Relationship Id="rId127" Type="http://schemas.openxmlformats.org/officeDocument/2006/relationships/hyperlink" Target="https://csrc.nist.gov/pubs/sp/800/63/4/final" TargetMode="External"/><Relationship Id="rId125" Type="http://schemas.openxmlformats.org/officeDocument/2006/relationships/hyperlink" Target="https://openid.net/specs/openid-4-verifiable-credential-issuance-1_0-final.html" TargetMode="External"/><Relationship Id="rId126" Type="http://schemas.openxmlformats.org/officeDocument/2006/relationships/hyperlink" Target="https://openid.net/specs/openid-4-verifiable-presentations-1_0-final.html" TargetMode="External"/><Relationship Id="rId123" Type="http://schemas.openxmlformats.org/officeDocument/2006/relationships/hyperlink" Target="https://remittanceprices.worldbank.org/corridor/Australia/Tonga" TargetMode="External"/><Relationship Id="rId135" Type="http://schemas.openxmlformats.org/officeDocument/2006/relationships/hyperlink" Target="https://solana.com/docs/tokens/extensions" TargetMode="External"/><Relationship Id="rId136" Type="http://schemas.openxmlformats.org/officeDocument/2006/relationships/hyperlink" Target="https://solana.com/docs/tokens/extensions/permanent-delegate" TargetMode="External"/><Relationship Id="rId130" Type="http://schemas.openxmlformats.org/officeDocument/2006/relationships/hyperlink" Target="https://www.asic.gov.au/about-asic/news-centre/news-items/asic-extends-no-action-position-for-digital-asset-businesses-to-30-september-2026/" TargetMode="External"/><Relationship Id="rId128" Type="http://schemas.openxmlformats.org/officeDocument/2006/relationships/hyperlink" Target="https://www.austrac.gov.au/new-austrac/enrol-or-register/register-us-remittance-or-virtual-asset-service-provider" TargetMode="External"/><Relationship Id="rId129" Type="http://schemas.openxmlformats.org/officeDocument/2006/relationships/hyperlink" Target="https://www.austrac.gov.au/virtual-asset-service-provider-register-goes-public" TargetMode="External"/><Relationship Id="rId121" Type="http://schemas.openxmlformats.org/officeDocument/2006/relationships/hyperlink" Target="https://www.dfat.gov.au/about-us/corporate/portfolio-budget-statements/australias-official-development-assistance-budget-summary-2026-27" TargetMode="External"/><Relationship Id="rId144" Type="http://schemas.openxmlformats.org/officeDocument/2006/relationships/hyperlink" Target="https://www.fatf-gafi.org/en/publications/Fatfrecommendations/targeted-update-virtual-assets-vasps-2025.html" TargetMode="External"/><Relationship Id="rId143" Type="http://schemas.openxmlformats.org/officeDocument/2006/relationships/hyperlink" Target="https://www.fatf-gafi.org/en/publications/Financialinclusionandnpoissues/Digital-identity-guidance.html" TargetMode="External"/><Relationship Id="rId120" Type="http://schemas.openxmlformats.org/officeDocument/2006/relationships/hyperlink" Target="https://www.gsma.com/about-us/regions/asia-pacific/gsma_resources/mobile-investment-gaps-pacific/" TargetMode="External"/><Relationship Id="rId137" Type="http://schemas.openxmlformats.org/officeDocument/2006/relationships/hyperlink" Target="https://www.iso.org/standard/27001" TargetMode="External"/><Relationship Id="rId138" Type="http://schemas.openxmlformats.org/officeDocument/2006/relationships/hyperlink" Target="https://www.iso.org/standard/75106.html" TargetMode="External"/><Relationship Id="rId140" Type="http://schemas.openxmlformats.org/officeDocument/2006/relationships/hyperlink" Target="https://www.nist.gov/artificial-intelligence/ai-agent-standards-initiative" TargetMode="External"/><Relationship Id="rId139" Type="http://schemas.openxmlformats.org/officeDocument/2006/relationships/hyperlink" Target="https://www.nist.gov/itl/ai-risk-management-framework" TargetMode="External"/><Relationship Id="rId133" Type="http://schemas.openxmlformats.org/officeDocument/2006/relationships/hyperlink" Target="https://www.oaic.gov.au/privacy/australian-privacy-principles/australian-privacy-principles-guidelines" TargetMode="External"/><Relationship Id="rId134" Type="http://schemas.openxmlformats.org/officeDocument/2006/relationships/hyperlink" Target="https://www.oaic.gov.au/privacy/australian-privacy-principles/australian-privacy-principles-guidelines/chapter-13-app-13-correction-of-personal-information" TargetMode="External"/><Relationship Id="rId124" Type="http://schemas.openxmlformats.org/officeDocument/2006/relationships/hyperlink" Target="https://www.w3.org/TR/vc-data-model/" TargetMode="External"/><Relationship Id="rId131" Type="http://schemas.openxmlformats.org/officeDocument/2006/relationships/hyperlink" Target="https://www.wipo.int/en/web/traditional-knowledge" TargetMode="External"/><Relationship Id="rId132" Type="http://schemas.openxmlformats.org/officeDocument/2006/relationships/hyperlink" Target="https://www.wipo.int/en/web/treaties/ip/gratk/index" TargetMode="External"/><Relationship Id="rId119" Type="http://schemas.openxmlformats.org/officeDocument/2006/relationships/hyperlink" Target="https://www.worldbank.org/en/news/press-release/2025/07/16/mobile-phone-technology-powers-saving-surge-in-developing-economies" TargetMode="External"/><Relationship Id="rId122" Type="http://schemas.openxmlformats.org/officeDocument/2006/relationships/hyperlink" Target="https://www.worldbank.org/en/results/2026/05/06/global-digital-public-infrastructure-program" TargetMode="External"/></Relationships>
</file>

<file path=word/_rels/footnotes.xml.rels><?xml version='1.0' encoding='UTF-8' standalone='yes'?>
<Relationships xmlns="http://schemas.openxmlformats.org/package/2006/relationships"><Relationship Id="rId142" Type="http://schemas.openxmlformats.org/officeDocument/2006/relationships/hyperlink" Target="https://asic.gov.au/for-business/small-business/starting-a-small-business-company/small-business-company-directors/how-to-become-a-company-director/" TargetMode="External"/><Relationship Id="rId141" Type="http://schemas.openxmlformats.org/officeDocument/2006/relationships/hyperlink" Target="https://business.gov.au/planning/business-structures-and-types/restructuring/change-your-sole-trader-business-to-a-company" TargetMode="External"/><Relationship Id="rId127" Type="http://schemas.openxmlformats.org/officeDocument/2006/relationships/hyperlink" Target="https://csrc.nist.gov/pubs/sp/800/63/4/final" TargetMode="External"/><Relationship Id="rId125" Type="http://schemas.openxmlformats.org/officeDocument/2006/relationships/hyperlink" Target="https://openid.net/specs/openid-4-verifiable-credential-issuance-1_0-final.html" TargetMode="External"/><Relationship Id="rId126" Type="http://schemas.openxmlformats.org/officeDocument/2006/relationships/hyperlink" Target="https://openid.net/specs/openid-4-verifiable-presentations-1_0-final.html" TargetMode="External"/><Relationship Id="rId123" Type="http://schemas.openxmlformats.org/officeDocument/2006/relationships/hyperlink" Target="https://remittanceprices.worldbank.org/corridor/Australia/Tonga" TargetMode="External"/><Relationship Id="rId135" Type="http://schemas.openxmlformats.org/officeDocument/2006/relationships/hyperlink" Target="https://solana.com/docs/tokens/extensions" TargetMode="External"/><Relationship Id="rId136" Type="http://schemas.openxmlformats.org/officeDocument/2006/relationships/hyperlink" Target="https://solana.com/docs/tokens/extensions/permanent-delegate" TargetMode="External"/><Relationship Id="rId130" Type="http://schemas.openxmlformats.org/officeDocument/2006/relationships/hyperlink" Target="https://www.asic.gov.au/about-asic/news-centre/news-items/asic-extends-no-action-position-for-digital-asset-businesses-to-30-september-2026/" TargetMode="External"/><Relationship Id="rId128" Type="http://schemas.openxmlformats.org/officeDocument/2006/relationships/hyperlink" Target="https://www.austrac.gov.au/new-austrac/enrol-or-register/register-us-remittance-or-virtual-asset-service-provider" TargetMode="External"/><Relationship Id="rId129" Type="http://schemas.openxmlformats.org/officeDocument/2006/relationships/hyperlink" Target="https://www.austrac.gov.au/virtual-asset-service-provider-register-goes-public" TargetMode="External"/><Relationship Id="rId121" Type="http://schemas.openxmlformats.org/officeDocument/2006/relationships/hyperlink" Target="https://www.dfat.gov.au/about-us/corporate/portfolio-budget-statements/australias-official-development-assistance-budget-summary-2026-27" TargetMode="External"/><Relationship Id="rId144" Type="http://schemas.openxmlformats.org/officeDocument/2006/relationships/hyperlink" Target="https://www.fatf-gafi.org/en/publications/Fatfrecommendations/targeted-update-virtual-assets-vasps-2025.html" TargetMode="External"/><Relationship Id="rId143" Type="http://schemas.openxmlformats.org/officeDocument/2006/relationships/hyperlink" Target="https://www.fatf-gafi.org/en/publications/Financialinclusionandnpoissues/Digital-identity-guidance.html" TargetMode="External"/><Relationship Id="rId120" Type="http://schemas.openxmlformats.org/officeDocument/2006/relationships/hyperlink" Target="https://www.gsma.com/about-us/regions/asia-pacific/gsma_resources/mobile-investment-gaps-pacific/" TargetMode="External"/><Relationship Id="rId137" Type="http://schemas.openxmlformats.org/officeDocument/2006/relationships/hyperlink" Target="https://www.iso.org/standard/27001" TargetMode="External"/><Relationship Id="rId138" Type="http://schemas.openxmlformats.org/officeDocument/2006/relationships/hyperlink" Target="https://www.iso.org/standard/75106.html" TargetMode="External"/><Relationship Id="rId140" Type="http://schemas.openxmlformats.org/officeDocument/2006/relationships/hyperlink" Target="https://www.nist.gov/artificial-intelligence/ai-agent-standards-initiative" TargetMode="External"/><Relationship Id="rId139" Type="http://schemas.openxmlformats.org/officeDocument/2006/relationships/hyperlink" Target="https://www.nist.gov/itl/ai-risk-management-framework" TargetMode="External"/><Relationship Id="rId133" Type="http://schemas.openxmlformats.org/officeDocument/2006/relationships/hyperlink" Target="https://www.oaic.gov.au/privacy/australian-privacy-principles/australian-privacy-principles-guidelines" TargetMode="External"/><Relationship Id="rId134" Type="http://schemas.openxmlformats.org/officeDocument/2006/relationships/hyperlink" Target="https://www.oaic.gov.au/privacy/australian-privacy-principles/australian-privacy-principles-guidelines/chapter-13-app-13-correction-of-personal-information" TargetMode="External"/><Relationship Id="rId124" Type="http://schemas.openxmlformats.org/officeDocument/2006/relationships/hyperlink" Target="https://www.w3.org/TR/vc-data-model/" TargetMode="External"/><Relationship Id="rId131" Type="http://schemas.openxmlformats.org/officeDocument/2006/relationships/hyperlink" Target="https://www.wipo.int/en/web/traditional-knowledge" TargetMode="External"/><Relationship Id="rId132" Type="http://schemas.openxmlformats.org/officeDocument/2006/relationships/hyperlink" Target="https://www.wipo.int/en/web/treaties/ip/gratk/index" TargetMode="External"/><Relationship Id="rId119" Type="http://schemas.openxmlformats.org/officeDocument/2006/relationships/hyperlink" Target="https://www.worldbank.org/en/news/press-release/2025/07/16/mobile-phone-technology-powers-saving-surge-in-developing-economies" TargetMode="External"/><Relationship Id="rId122" Type="http://schemas.openxmlformats.org/officeDocument/2006/relationships/hyperlink" Target="https://www.worldbank.org/en/results/2026/05/06/global-digital-public-infrastructur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dc:title>
  <dc:creator>Arthur John Henry, Founder</dc:creator>
  <cp:keywords/>
  <dcterms:created xsi:type="dcterms:W3CDTF">2026-07-18T12:24:40Z</dcterms:created>
  <dcterms:modified xsi:type="dcterms:W3CDTF">2026-07-18T12:24:40Z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Whitepaper v2.0: Partner and Prelaunch Edition | 18 July 2026</vt:lpwstr>
  </property>
  <property fmtid="{D5CDD505-2E9C-101B-9397-08002B2CF9AE}" pid="3" name="subtitle">
    <vt:lpwstr>A Sovereign Digital Civilisation</vt:lpwstr>
  </property>
</Properties>
</file>