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2"/>
        </w:rPr>
      </w:pPr>
      <w:bookmarkStart w:id="2" w:name="_GoBack"/>
      <w:bookmarkEnd w:id="2"/>
      <w:r>
        <w:rPr>
          <w:rFonts w:hint="eastAsia" w:eastAsia="黑体"/>
          <w:b/>
          <w:sz w:val="32"/>
        </w:rPr>
        <w:t>《编译原理》课程教学大纲</w:t>
      </w:r>
    </w:p>
    <w:p>
      <w:pPr>
        <w:jc w:val="center"/>
        <w:rPr>
          <w:rFonts w:eastAsia="黑体"/>
          <w:b/>
          <w:sz w:val="32"/>
        </w:rPr>
      </w:pPr>
    </w:p>
    <w:p>
      <w:pPr>
        <w:pStyle w:val="3"/>
        <w:rPr>
          <w:rFonts w:ascii="宋体" w:hAnsi="宋体"/>
          <w:color w:val="0000FF"/>
          <w:szCs w:val="21"/>
        </w:rPr>
      </w:pPr>
    </w:p>
    <w:tbl>
      <w:tblPr>
        <w:tblStyle w:val="10"/>
        <w:tblW w:w="1405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559"/>
        <w:gridCol w:w="1258"/>
        <w:gridCol w:w="980"/>
        <w:gridCol w:w="1890"/>
        <w:gridCol w:w="1140"/>
        <w:gridCol w:w="1630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pacing w:val="-14"/>
                <w:sz w:val="18"/>
                <w:szCs w:val="18"/>
              </w:rPr>
            </w:pPr>
            <w:r>
              <w:rPr>
                <w:rFonts w:hint="eastAsia" w:ascii="宋体" w:hAnsi="宋体"/>
                <w:spacing w:val="-14"/>
                <w:sz w:val="18"/>
                <w:szCs w:val="18"/>
              </w:rPr>
              <w:t>英文课程名</w:t>
            </w:r>
          </w:p>
        </w:tc>
        <w:tc>
          <w:tcPr>
            <w:tcW w:w="2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The Principle of Compiler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总 学 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    分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课程编码</w:t>
            </w:r>
          </w:p>
        </w:tc>
        <w:tc>
          <w:tcPr>
            <w:tcW w:w="2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G126013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理论教学学时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适用专业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通识课程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实践</w:t>
            </w:r>
          </w:p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教学</w:t>
            </w:r>
          </w:p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学时</w:t>
            </w:r>
          </w:p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实验学时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先修课程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C++程序设计</w:t>
            </w:r>
            <w:r>
              <w:rPr>
                <w:rFonts w:hint="eastAsia" w:ascii="宋体" w:hAnsi="宋体"/>
                <w:sz w:val="18"/>
                <w:szCs w:val="18"/>
              </w:rPr>
              <w:t>,离散数学,</w:t>
            </w:r>
            <w:r>
              <w:rPr>
                <w:rFonts w:ascii="宋体" w:hAnsi="宋体"/>
                <w:sz w:val="18"/>
                <w:szCs w:val="18"/>
              </w:rPr>
              <w:t>数据结构</w:t>
            </w:r>
            <w:r>
              <w:rPr>
                <w:rFonts w:hint="eastAsia" w:ascii="宋体" w:hAnsi="宋体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操作系统原理</w:t>
            </w:r>
            <w:r>
              <w:rPr>
                <w:rFonts w:hint="eastAsia" w:ascii="宋体" w:hAnsi="宋体"/>
                <w:sz w:val="18"/>
                <w:szCs w:val="18"/>
              </w:rPr>
              <w:t>,</w:t>
            </w:r>
            <w:r>
              <w:rPr>
                <w:rFonts w:ascii="宋体" w:hAnsi="宋体"/>
                <w:sz w:val="18"/>
                <w:szCs w:val="18"/>
              </w:rPr>
              <w:t>算法分析与设计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大类基础课程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上机学时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开课学院（部）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计算机科学与技术学院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303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专业课程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必修</w:t>
            </w:r>
          </w:p>
        </w:tc>
        <w:tc>
          <w:tcPr>
            <w:tcW w:w="9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其它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基层教学组织</w:t>
            </w:r>
          </w:p>
        </w:tc>
        <w:tc>
          <w:tcPr>
            <w:tcW w:w="4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计算机基础课程群教学团队</w:t>
            </w:r>
          </w:p>
        </w:tc>
      </w:tr>
    </w:tbl>
    <w:p>
      <w:pPr>
        <w:pStyle w:val="3"/>
        <w:rPr>
          <w:rFonts w:ascii="宋体" w:hAnsi="宋体"/>
        </w:rPr>
      </w:pPr>
    </w:p>
    <w:p>
      <w:pPr>
        <w:adjustRightInd w:val="0"/>
        <w:snapToGrid w:val="0"/>
        <w:spacing w:before="120" w:after="120" w:line="40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一、课程简介</w:t>
      </w:r>
    </w:p>
    <w:p>
      <w:pPr>
        <w:pStyle w:val="3"/>
        <w:spacing w:line="400" w:lineRule="exact"/>
        <w:rPr>
          <w:rFonts w:asciiTheme="minorEastAsia" w:hAnsiTheme="minorEastAsia" w:eastAsiaTheme="minorEastAsia"/>
          <w:b/>
          <w:bCs/>
          <w:sz w:val="24"/>
        </w:rPr>
      </w:pPr>
      <w:r>
        <w:rPr>
          <w:rFonts w:asciiTheme="minorEastAsia" w:hAnsiTheme="minorEastAsia" w:eastAsiaTheme="minorEastAsia"/>
          <w:color w:val="000000"/>
          <w:szCs w:val="21"/>
        </w:rPr>
        <w:t>此课程针对软件工程专业的专业必修课，较为详细地解析了编译过程包括词法分析、语法分析、语义分析、中间代码生成、中间代码优化、目标代码生成与目标代码优化等编译步骤的关键技术。它是计算机形式化理论的入门，也为计算机语言设计提供必要的理论基础。该课程是一门综合课程，不仅需要</w:t>
      </w:r>
      <w:r>
        <w:rPr>
          <w:rFonts w:hint="eastAsia" w:asciiTheme="minorEastAsia" w:hAnsiTheme="minorEastAsia" w:eastAsiaTheme="minorEastAsia"/>
          <w:color w:val="000000"/>
          <w:szCs w:val="21"/>
        </w:rPr>
        <w:t>离散数学、</w:t>
      </w:r>
      <w:r>
        <w:rPr>
          <w:rFonts w:asciiTheme="minorEastAsia" w:hAnsiTheme="minorEastAsia" w:eastAsiaTheme="minorEastAsia"/>
          <w:color w:val="000000"/>
          <w:szCs w:val="21"/>
        </w:rPr>
        <w:t>高级程序语言、操作系统的相关知识，还需要学生了解数据结构和算法设计与分析的基本知识；同时，本课程也能承接软件工程、软件项目管理、软件形式化方法、</w:t>
      </w:r>
      <w:r>
        <w:rPr>
          <w:rFonts w:hint="eastAsia" w:asciiTheme="minorEastAsia" w:hAnsiTheme="minorEastAsia" w:eastAsiaTheme="minorEastAsia"/>
          <w:color w:val="000000"/>
          <w:szCs w:val="21"/>
        </w:rPr>
        <w:t>.</w:t>
      </w:r>
      <w:r>
        <w:rPr>
          <w:rFonts w:asciiTheme="minorEastAsia" w:hAnsiTheme="minorEastAsia" w:eastAsiaTheme="minorEastAsia"/>
          <w:color w:val="000000"/>
          <w:szCs w:val="21"/>
        </w:rPr>
        <w:t>Net技术、Java EE技术、移动应用开发等课程。</w:t>
      </w:r>
      <w:r>
        <w:rPr>
          <w:rFonts w:asciiTheme="minorEastAsia" w:hAnsiTheme="minorEastAsia" w:eastAsiaTheme="minorEastAsia"/>
          <w:szCs w:val="21"/>
        </w:rPr>
        <w:t>主要培养学生综合运用计算机相关理论和技术，设计复杂算法以及设计复杂大型系统软件的能力。</w:t>
      </w:r>
      <w:r>
        <w:rPr>
          <w:rFonts w:hint="eastAsia" w:asciiTheme="minorEastAsia" w:hAnsiTheme="minorEastAsia" w:eastAsiaTheme="minorEastAsia"/>
          <w:color w:val="000000"/>
          <w:szCs w:val="21"/>
        </w:rPr>
        <w:t>课程突出学生知识、能力、素质的协调发展，注重学生学习能力培养。</w:t>
      </w:r>
    </w:p>
    <w:p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二、教学目标</w:t>
      </w:r>
    </w:p>
    <w:p>
      <w:pPr>
        <w:pStyle w:val="3"/>
        <w:spacing w:before="120" w:after="120" w:line="400" w:lineRule="exact"/>
        <w:ind w:firstLine="0" w:firstLineChars="0"/>
        <w:rPr>
          <w:color w:val="000000"/>
          <w:sz w:val="22"/>
          <w:szCs w:val="22"/>
        </w:rPr>
      </w:pPr>
      <w:r>
        <w:rPr>
          <w:rFonts w:eastAsiaTheme="majorEastAsia"/>
          <w:b/>
          <w:bCs/>
          <w:sz w:val="24"/>
        </w:rPr>
        <w:t>2.1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 xml:space="preserve"> 课程目标</w:t>
      </w:r>
      <w:r>
        <w:rPr>
          <w:color w:val="000000"/>
          <w:sz w:val="22"/>
          <w:szCs w:val="22"/>
        </w:rPr>
        <w:t xml:space="preserve"> </w:t>
      </w:r>
    </w:p>
    <w:p>
      <w:pPr>
        <w:pStyle w:val="3"/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课程主要教学目标是培养</w:t>
      </w:r>
      <w:r>
        <w:rPr>
          <w:rFonts w:asciiTheme="minorEastAsia" w:hAnsiTheme="minorEastAsia" w:eastAsiaTheme="minorEastAsia"/>
          <w:color w:val="000000"/>
          <w:szCs w:val="21"/>
        </w:rPr>
        <w:t>学生将较为透彻地理解编译器的概念及原理，掌握编译器中常用的主要算法和技巧，并具有设计实现简单程序语言的能力。</w:t>
      </w:r>
      <w:r>
        <w:rPr>
          <w:rFonts w:hint="eastAsia" w:ascii="宋体" w:hAnsi="宋体"/>
          <w:color w:val="000000"/>
          <w:szCs w:val="21"/>
        </w:rPr>
        <w:t>通过课堂教学、分组讨论、课后自学等方式的教学过程，</w:t>
      </w:r>
      <w:r>
        <w:rPr>
          <w:rFonts w:asciiTheme="minorEastAsia" w:hAnsiTheme="minorEastAsia" w:eastAsiaTheme="minorEastAsia"/>
          <w:color w:val="000000"/>
          <w:szCs w:val="21"/>
        </w:rPr>
        <w:t>努力培养学生具有形式化分析问题的能力，能够将具体的计算问题利用形式化工具建模，从而设计出可求解该计算问题的算法和程序。同时，通过学习构造和实现编译程序的过程和原理，为学生理解程序的正确运行和写出高质量代码打下坚实基础。</w:t>
      </w:r>
      <w:r>
        <w:rPr>
          <w:rFonts w:hint="eastAsia" w:ascii="宋体" w:hAnsi="宋体"/>
          <w:color w:val="000000"/>
          <w:szCs w:val="21"/>
        </w:rPr>
        <w:t>课程要求掌握文法/</w:t>
      </w:r>
      <w:r>
        <w:rPr>
          <w:rFonts w:ascii="宋体" w:hAnsi="宋体"/>
          <w:color w:val="000000"/>
          <w:szCs w:val="21"/>
        </w:rPr>
        <w:t>正规式</w:t>
      </w:r>
      <w:r>
        <w:rPr>
          <w:rFonts w:hint="eastAsia" w:ascii="宋体" w:hAnsi="宋体"/>
          <w:color w:val="000000"/>
          <w:szCs w:val="21"/>
        </w:rPr>
        <w:t>/自动机、</w:t>
      </w:r>
      <w:r>
        <w:rPr>
          <w:rFonts w:asciiTheme="minorEastAsia" w:hAnsiTheme="minorEastAsia" w:eastAsiaTheme="minorEastAsia"/>
          <w:color w:val="000000"/>
          <w:szCs w:val="21"/>
        </w:rPr>
        <w:t>词法分析、语法分析、语义分析、中间代码生成、中间代码优化、目标代码生成与目标代码优化的</w:t>
      </w:r>
      <w:r>
        <w:rPr>
          <w:rFonts w:hint="eastAsia" w:ascii="宋体" w:hAnsi="宋体"/>
          <w:color w:val="000000"/>
          <w:szCs w:val="21"/>
        </w:rPr>
        <w:t>基本原理，为学习和深刻理解计算机专业各后续课程做好必要的知识准备。进一步提高学生的抽象思维、逻辑推理能力和算法设计能力，为从事计算机的应用提供坚实的理论基础。通过课程的学习，要求学生能够达到对概念和方法透彻理解的程度。通过对课程知识点和其演进历史的学习，形成严谨的治学、行事态度和勇于创新、锐意进取的价值取向。</w:t>
      </w:r>
    </w:p>
    <w:p>
      <w:pPr>
        <w:pStyle w:val="3"/>
        <w:spacing w:line="400" w:lineRule="exac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课程的具体目标为：</w:t>
      </w:r>
    </w:p>
    <w:p>
      <w:pPr>
        <w:pStyle w:val="3"/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目标1：掌握文法基础、</w:t>
      </w:r>
      <w:r>
        <w:rPr>
          <w:rFonts w:eastAsiaTheme="minorEastAsia"/>
          <w:sz w:val="20"/>
          <w:szCs w:val="20"/>
        </w:rPr>
        <w:t>有限自动机及其简化</w:t>
      </w:r>
      <w:r>
        <w:rPr>
          <w:color w:val="000000"/>
          <w:szCs w:val="21"/>
        </w:rPr>
        <w:t>、正规式、</w:t>
      </w:r>
      <w:r>
        <w:rPr>
          <w:szCs w:val="21"/>
        </w:rPr>
        <w:t>First集与Follow集与Select集、</w:t>
      </w:r>
      <w:r>
        <w:rPr>
          <w:color w:val="000000"/>
          <w:szCs w:val="21"/>
        </w:rPr>
        <w:t>表驱动LL(1)分析、移进与规约、LR(0)分析、LR(1)分析、属性文法与翻译模式概念、</w:t>
      </w:r>
      <w:r>
        <w:rPr>
          <w:szCs w:val="21"/>
        </w:rPr>
        <w:t>树遍历属性计算</w:t>
      </w:r>
      <w:r>
        <w:rPr>
          <w:color w:val="000000"/>
          <w:szCs w:val="21"/>
        </w:rPr>
        <w:t>、</w:t>
      </w:r>
      <w:r>
        <w:rPr>
          <w:szCs w:val="21"/>
        </w:rPr>
        <w:t>语义分析概念、</w:t>
      </w:r>
      <w:r>
        <w:rPr>
          <w:color w:val="000000"/>
          <w:szCs w:val="21"/>
        </w:rPr>
        <w:t>拉链与代码回填、活动记录组织、过程调用机制、基本块与流图。</w:t>
      </w:r>
    </w:p>
    <w:p>
      <w:pPr>
        <w:pStyle w:val="3"/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目标2：熟悉文法二义性、正规文法与正规式的等价、正规式与有限自动机的等价、</w:t>
      </w:r>
      <w:r>
        <w:rPr>
          <w:szCs w:val="21"/>
        </w:rPr>
        <w:t>词法分析概念、</w:t>
      </w:r>
      <w:r>
        <w:rPr>
          <w:color w:val="000000"/>
          <w:szCs w:val="21"/>
        </w:rPr>
        <w:t>词法分析</w:t>
      </w:r>
      <w:r>
        <w:rPr>
          <w:rFonts w:eastAsiaTheme="minorEastAsia"/>
          <w:sz w:val="20"/>
          <w:szCs w:val="20"/>
        </w:rPr>
        <w:t>程序的</w:t>
      </w:r>
      <w:r>
        <w:rPr>
          <w:color w:val="000000"/>
          <w:szCs w:val="21"/>
        </w:rPr>
        <w:t>设计与实现、消除左递归、消除左公因子、SLR(1)分析、LALR(1)分析、</w:t>
      </w:r>
      <w:r>
        <w:rPr>
          <w:rFonts w:eastAsiaTheme="minorEastAsia"/>
          <w:sz w:val="20"/>
          <w:szCs w:val="20"/>
        </w:rPr>
        <w:t>继承属性与综合属性</w:t>
      </w:r>
      <w:r>
        <w:rPr>
          <w:color w:val="000000"/>
          <w:szCs w:val="21"/>
        </w:rPr>
        <w:t>、</w:t>
      </w:r>
      <w:r>
        <w:rPr>
          <w:szCs w:val="21"/>
        </w:rPr>
        <w:t>常用中间表示方式</w:t>
      </w:r>
      <w:r>
        <w:rPr>
          <w:color w:val="000000"/>
          <w:szCs w:val="21"/>
        </w:rPr>
        <w:t>、布尔表达式语法制导翻译、</w:t>
      </w:r>
      <w:r>
        <w:rPr>
          <w:szCs w:val="21"/>
        </w:rPr>
        <w:t>存储分配策略、参数传递机制</w:t>
      </w:r>
      <w:r>
        <w:rPr>
          <w:color w:val="000000"/>
          <w:szCs w:val="21"/>
        </w:rPr>
        <w:t>、数据流分析、基本块的DAG表示。</w:t>
      </w:r>
    </w:p>
    <w:p>
      <w:pPr>
        <w:pStyle w:val="3"/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目标3：理解编译过程各步骤与衔接、文法分类、</w:t>
      </w:r>
      <w:r>
        <w:rPr>
          <w:rFonts w:eastAsiaTheme="minorEastAsia"/>
          <w:sz w:val="20"/>
          <w:szCs w:val="20"/>
        </w:rPr>
        <w:t>S-属性文法和L-属性文法、S-翻译模式和L-翻译模式</w:t>
      </w:r>
      <w:r>
        <w:rPr>
          <w:color w:val="000000"/>
          <w:szCs w:val="21"/>
        </w:rPr>
        <w:t>、静态语义检查、</w:t>
      </w:r>
      <w:r>
        <w:rPr>
          <w:szCs w:val="21"/>
        </w:rPr>
        <w:t>典型语句中间表示</w:t>
      </w:r>
      <w:r>
        <w:rPr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运行时存储组织的作用与任务</w:t>
      </w:r>
      <w:r>
        <w:rPr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程序运行时存储空间的布局</w:t>
      </w:r>
      <w:r>
        <w:rPr>
          <w:color w:val="000000"/>
          <w:szCs w:val="21"/>
        </w:rPr>
        <w:t>、参数传递机制、目标代码生成。</w:t>
      </w:r>
    </w:p>
    <w:p>
      <w:pPr>
        <w:pStyle w:val="3"/>
        <w:spacing w:line="400" w:lineRule="exact"/>
        <w:rPr>
          <w:color w:val="000000"/>
          <w:szCs w:val="21"/>
        </w:rPr>
      </w:pPr>
      <w:r>
        <w:rPr>
          <w:color w:val="000000"/>
          <w:szCs w:val="21"/>
        </w:rPr>
        <w:t>目标4：</w:t>
      </w:r>
      <w:r>
        <w:rPr>
          <w:rFonts w:hint="eastAsia"/>
          <w:color w:val="000000"/>
          <w:szCs w:val="21"/>
        </w:rPr>
        <w:t>了解</w:t>
      </w:r>
      <w:r>
        <w:rPr>
          <w:color w:val="000000"/>
          <w:szCs w:val="21"/>
        </w:rPr>
        <w:t>编译</w:t>
      </w:r>
      <w:r>
        <w:rPr>
          <w:rFonts w:hint="eastAsia"/>
          <w:color w:val="000000"/>
          <w:szCs w:val="21"/>
        </w:rPr>
        <w:t>程序与其伙伴程序的关系</w:t>
      </w:r>
      <w:r>
        <w:rPr>
          <w:color w:val="000000"/>
          <w:szCs w:val="21"/>
        </w:rPr>
        <w:t>、正规文法与有限自动机的等价、词法分析程序自动构造与Lex、递归下降LL(1)分析、目标代码优化。</w:t>
      </w:r>
    </w:p>
    <w:p>
      <w:pPr>
        <w:pStyle w:val="2"/>
        <w:spacing w:before="120" w:after="120" w:line="400" w:lineRule="exact"/>
        <w:rPr>
          <w:rFonts w:ascii="Times New Roman" w:hAnsi="Times New Roman" w:eastAsia="宋体"/>
          <w:sz w:val="24"/>
        </w:rPr>
      </w:pPr>
      <w:commentRangeStart w:id="0"/>
      <w:r>
        <w:rPr>
          <w:rFonts w:ascii="Times New Roman" w:hAnsi="Times New Roman" w:eastAsia="宋体"/>
          <w:sz w:val="24"/>
        </w:rPr>
        <w:t>2.</w:t>
      </w:r>
      <w:r>
        <w:rPr>
          <w:rFonts w:hint="eastAsia" w:ascii="Times New Roman" w:hAnsi="Times New Roman" w:eastAsia="宋体"/>
          <w:sz w:val="24"/>
        </w:rPr>
        <w:t>2</w:t>
      </w:r>
      <w:r>
        <w:rPr>
          <w:rFonts w:ascii="Times New Roman" w:hAnsi="Times New Roman" w:eastAsia="宋体"/>
          <w:sz w:val="24"/>
        </w:rPr>
        <w:t xml:space="preserve"> 课程</w:t>
      </w:r>
      <w:r>
        <w:rPr>
          <w:rFonts w:hint="eastAsia" w:ascii="Times New Roman" w:hAnsi="Times New Roman" w:eastAsia="宋体"/>
          <w:sz w:val="24"/>
        </w:rPr>
        <w:t>思政</w:t>
      </w:r>
      <w:commentRangeEnd w:id="0"/>
      <w:r>
        <w:commentReference w:id="0"/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8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在学习编译原理时，能够结合部分外国对民族企业的制裁、对民族产业打压的，唤醒危机意识，树立自主精神，培养社会责任感和爱国情怀。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8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结合有限自动机理论、词法分析和语法分析，剖析其理论脉络，解析其中的构造性科学思维和精神。</w:t>
      </w:r>
    </w:p>
    <w:p>
      <w:pPr>
        <w:numPr>
          <w:ilvl w:val="0"/>
          <w:numId w:val="2"/>
        </w:numPr>
        <w:adjustRightInd w:val="0"/>
        <w:snapToGrid w:val="0"/>
        <w:spacing w:line="400" w:lineRule="exact"/>
        <w:ind w:left="8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结合中间代码生成与优化，体会精益求精的过程，培养仔细严谨和一丝不苟的工匠精神。</w:t>
      </w:r>
    </w:p>
    <w:p>
      <w:pPr>
        <w:pStyle w:val="3"/>
        <w:spacing w:before="120" w:after="120" w:line="400" w:lineRule="exact"/>
        <w:ind w:firstLine="0" w:firstLineChars="0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eastAsiaTheme="majorEastAsia"/>
          <w:b/>
          <w:bCs/>
          <w:sz w:val="24"/>
        </w:rPr>
        <w:t>2.3</w:t>
      </w: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 xml:space="preserve"> 课程目标与毕业要求（指标点）对应关系</w:t>
      </w:r>
    </w:p>
    <w:p>
      <w:pPr>
        <w:pStyle w:val="3"/>
        <w:spacing w:line="276" w:lineRule="auto"/>
        <w:ind w:firstLine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本课程所支撑的毕业要求及其细分指标点如下：</w:t>
      </w:r>
    </w:p>
    <w:p>
      <w:pPr>
        <w:spacing w:before="120" w:beforeLines="50" w:line="276" w:lineRule="auto"/>
        <w:ind w:left="1984" w:leftChars="200" w:hanging="1564" w:hangingChars="745"/>
        <w:rPr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 w:eastAsia="黑体"/>
          <w:szCs w:val="21"/>
        </w:rPr>
        <w:t>毕业要求3</w:t>
      </w:r>
      <w:r>
        <w:rPr>
          <w:rFonts w:hint="eastAsia"/>
          <w:szCs w:val="21"/>
        </w:rPr>
        <w:t>】设计/开发解决方案：能够设计针对复杂软件工程问题的解决方案，设计满足特定需求的系统、单元（部件）或工艺流程，并能够在设计环节中体现创新意识，考虑社会、健康、安全、法律、文化以及环境等因素</w:t>
      </w:r>
      <w:r>
        <w:rPr>
          <w:szCs w:val="21"/>
        </w:rPr>
        <w:t>。</w:t>
      </w:r>
    </w:p>
    <w:p>
      <w:pPr>
        <w:spacing w:line="276" w:lineRule="auto"/>
        <w:ind w:left="3686" w:hanging="2006"/>
        <w:rPr>
          <w:szCs w:val="21"/>
        </w:rPr>
      </w:pPr>
      <w:r>
        <w:rPr>
          <w:rFonts w:hint="eastAsia" w:eastAsia="黑体"/>
          <w:szCs w:val="21"/>
        </w:rPr>
        <w:t>【指标点3</w:t>
      </w:r>
      <w:r>
        <w:rPr>
          <w:rFonts w:eastAsia="黑体"/>
          <w:szCs w:val="21"/>
        </w:rPr>
        <w:t>-</w:t>
      </w:r>
      <w:r>
        <w:rPr>
          <w:rFonts w:hint="eastAsia" w:eastAsia="黑体"/>
          <w:szCs w:val="21"/>
        </w:rPr>
        <w:t>2】</w:t>
      </w:r>
      <w:r>
        <w:rPr>
          <w:rFonts w:hint="eastAsia"/>
          <w:szCs w:val="21"/>
        </w:rPr>
        <w:t>：能够对复杂软件工程问题进行需求分析，能够运用软件工程思想构建系统总体解决方案，确定设计目标并进行模块分解</w:t>
      </w:r>
      <w:r>
        <w:rPr>
          <w:szCs w:val="21"/>
        </w:rPr>
        <w:t>。</w:t>
      </w:r>
    </w:p>
    <w:p>
      <w:pPr>
        <w:spacing w:line="276" w:lineRule="auto"/>
        <w:ind w:left="3686" w:hanging="2006"/>
        <w:rPr>
          <w:szCs w:val="21"/>
        </w:rPr>
      </w:pPr>
      <w:r>
        <w:rPr>
          <w:rFonts w:hint="eastAsia" w:eastAsia="黑体"/>
          <w:szCs w:val="21"/>
        </w:rPr>
        <w:t>【指标点3</w:t>
      </w:r>
      <w:r>
        <w:rPr>
          <w:rFonts w:eastAsia="黑体"/>
          <w:szCs w:val="21"/>
        </w:rPr>
        <w:t>-3】</w:t>
      </w:r>
      <w:r>
        <w:rPr>
          <w:rFonts w:hint="eastAsia"/>
          <w:szCs w:val="21"/>
        </w:rPr>
        <w:t>：按照工程化要求对软件系统的子模块、子单元或部件进行设计</w:t>
      </w:r>
      <w:r>
        <w:rPr>
          <w:szCs w:val="21"/>
        </w:rPr>
        <w:t>。</w:t>
      </w:r>
    </w:p>
    <w:p>
      <w:pPr>
        <w:pStyle w:val="3"/>
        <w:spacing w:before="120" w:beforeLines="50" w:line="276" w:lineRule="auto"/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本课程目标与毕业要求（指标点）的对应关系如表1所示。</w:t>
      </w:r>
    </w:p>
    <w:p>
      <w:pPr>
        <w:pStyle w:val="3"/>
        <w:spacing w:before="120" w:beforeLines="50" w:after="120" w:afterLines="50" w:line="276" w:lineRule="auto"/>
        <w:ind w:firstLineChars="0"/>
        <w:jc w:val="center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表1 课程目标与毕业要求（指标点）的对应关系</w:t>
      </w:r>
    </w:p>
    <w:tbl>
      <w:tblPr>
        <w:tblStyle w:val="10"/>
        <w:tblW w:w="117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4394"/>
        <w:gridCol w:w="4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6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/>
                <w:color w:val="000000"/>
                <w:sz w:val="18"/>
                <w:szCs w:val="18"/>
              </w:rPr>
              <w:t>课程</w:t>
            </w: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目标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毕业</w:t>
            </w:r>
            <w:r>
              <w:rPr>
                <w:rFonts w:ascii="黑体" w:hAnsi="黑体" w:eastAsia="黑体"/>
                <w:color w:val="000000"/>
                <w:sz w:val="18"/>
                <w:szCs w:val="18"/>
              </w:rPr>
              <w:t>要求指标点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color w:val="000000"/>
                <w:sz w:val="18"/>
                <w:szCs w:val="18"/>
              </w:rPr>
              <w:t>毕业要求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679" w:type="dxa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1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【课程目标1】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掌握文法基础、</w:t>
            </w:r>
            <w:r>
              <w:rPr>
                <w:rFonts w:eastAsiaTheme="minorEastAsia"/>
                <w:sz w:val="18"/>
                <w:szCs w:val="18"/>
              </w:rPr>
              <w:t>有限自动机及其简化</w:t>
            </w:r>
            <w:r>
              <w:rPr>
                <w:color w:val="000000"/>
                <w:sz w:val="18"/>
                <w:szCs w:val="18"/>
              </w:rPr>
              <w:t>、正规式、</w:t>
            </w:r>
            <w:r>
              <w:rPr>
                <w:sz w:val="18"/>
                <w:szCs w:val="18"/>
              </w:rPr>
              <w:t>First集与Follow集与Select集、</w:t>
            </w:r>
            <w:r>
              <w:rPr>
                <w:color w:val="000000"/>
                <w:sz w:val="18"/>
                <w:szCs w:val="18"/>
              </w:rPr>
              <w:t>表驱动LL(1)分析、移进与规约、LR(0)分析、LR(1)分析、属性文法与翻译模式概念、</w:t>
            </w:r>
            <w:r>
              <w:rPr>
                <w:sz w:val="18"/>
                <w:szCs w:val="18"/>
              </w:rPr>
              <w:t>树遍历属性计算</w:t>
            </w:r>
            <w:r>
              <w:rPr>
                <w:color w:val="000000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语义分析概念、</w:t>
            </w:r>
            <w:r>
              <w:rPr>
                <w:color w:val="000000"/>
                <w:sz w:val="18"/>
                <w:szCs w:val="18"/>
              </w:rPr>
              <w:t>拉链与代码回填、活动记录组织、过程调用机制、基本块与流图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【指标点3</w:t>
            </w:r>
            <w:r>
              <w:rPr>
                <w:rFonts w:eastAsia="黑体"/>
                <w:sz w:val="18"/>
                <w:szCs w:val="18"/>
              </w:rPr>
              <w:t>-3】</w:t>
            </w:r>
            <w:r>
              <w:rPr>
                <w:rFonts w:hint="eastAsia"/>
                <w:sz w:val="18"/>
                <w:szCs w:val="18"/>
              </w:rPr>
              <w:t>：按照工程化要求对软件系统的子模块、子单元或部件进行设计。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>
            <w:pPr>
              <w:pStyle w:val="3"/>
              <w:spacing w:line="300" w:lineRule="auto"/>
              <w:ind w:firstLine="0" w:firstLineChars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【毕业要求3】</w:t>
            </w:r>
            <w:r>
              <w:rPr>
                <w:rFonts w:hint="eastAsia"/>
                <w:sz w:val="18"/>
                <w:szCs w:val="18"/>
              </w:rPr>
              <w:t>设计/开发解决方案：能够设计针对复杂软件工程问题的解决方案，设计满足特定需求的系统、单元（部件）或工艺流程，并能够在设计环节中体现创新意识，考虑社会、健康、安全、法律、文化以及环境等因素</w:t>
            </w:r>
            <w:r>
              <w:rPr>
                <w:sz w:val="18"/>
                <w:szCs w:val="18"/>
              </w:rPr>
              <w:t>。</w:t>
            </w:r>
          </w:p>
          <w:p>
            <w:pPr>
              <w:pStyle w:val="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679" w:type="dxa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2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【课程目标</w:t>
            </w:r>
            <w:r>
              <w:rPr>
                <w:rFonts w:eastAsia="黑体"/>
                <w:sz w:val="18"/>
                <w:szCs w:val="18"/>
              </w:rPr>
              <w:t>2】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color w:val="000000"/>
                <w:sz w:val="18"/>
                <w:szCs w:val="18"/>
              </w:rPr>
              <w:t>熟悉文法二义性、正规文法与正规式的等价、正规式与有限自动机的等价、</w:t>
            </w:r>
            <w:r>
              <w:rPr>
                <w:sz w:val="18"/>
                <w:szCs w:val="18"/>
              </w:rPr>
              <w:t>词法分析概念、</w:t>
            </w:r>
            <w:r>
              <w:rPr>
                <w:color w:val="000000"/>
                <w:sz w:val="18"/>
                <w:szCs w:val="18"/>
              </w:rPr>
              <w:t>词法分析</w:t>
            </w:r>
            <w:r>
              <w:rPr>
                <w:rFonts w:eastAsiaTheme="minorEastAsia"/>
                <w:sz w:val="18"/>
                <w:szCs w:val="18"/>
              </w:rPr>
              <w:t>程序的</w:t>
            </w:r>
            <w:r>
              <w:rPr>
                <w:color w:val="000000"/>
                <w:sz w:val="18"/>
                <w:szCs w:val="18"/>
              </w:rPr>
              <w:t>设计与实现、消除左递归、消除左公因子、SLR(1)分析、LALR(1)分析、</w:t>
            </w:r>
            <w:r>
              <w:rPr>
                <w:rFonts w:eastAsiaTheme="minorEastAsia"/>
                <w:sz w:val="18"/>
                <w:szCs w:val="18"/>
              </w:rPr>
              <w:t>继承属性与综合属性</w:t>
            </w:r>
            <w:r>
              <w:rPr>
                <w:color w:val="000000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常用中间表示方式</w:t>
            </w:r>
            <w:r>
              <w:rPr>
                <w:color w:val="000000"/>
                <w:sz w:val="18"/>
                <w:szCs w:val="18"/>
              </w:rPr>
              <w:t>、布尔表达式语法制导翻译、</w:t>
            </w:r>
            <w:r>
              <w:rPr>
                <w:sz w:val="18"/>
                <w:szCs w:val="18"/>
              </w:rPr>
              <w:t>存储分配策略、参数传递机制</w:t>
            </w:r>
            <w:r>
              <w:rPr>
                <w:color w:val="000000"/>
                <w:sz w:val="18"/>
                <w:szCs w:val="18"/>
              </w:rPr>
              <w:t>、数据流分析、基本块的DAG表示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。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【指标点3</w:t>
            </w:r>
            <w:r>
              <w:rPr>
                <w:rFonts w:eastAsia="黑体"/>
                <w:sz w:val="18"/>
                <w:szCs w:val="18"/>
              </w:rPr>
              <w:t>-</w:t>
            </w:r>
            <w:r>
              <w:rPr>
                <w:rFonts w:hint="eastAsia" w:eastAsia="黑体"/>
                <w:sz w:val="18"/>
                <w:szCs w:val="18"/>
              </w:rPr>
              <w:t>2】</w:t>
            </w:r>
            <w:r>
              <w:rPr>
                <w:rFonts w:hint="eastAsia"/>
                <w:sz w:val="18"/>
                <w:szCs w:val="18"/>
              </w:rPr>
              <w:t>：能够对复杂软件工程问题进行需求分析，能够运用软件工程思想构建系统总体解决方案，确定设计目标并进行模块分解。</w:t>
            </w:r>
          </w:p>
          <w:p>
            <w:pPr>
              <w:pStyle w:val="3"/>
              <w:spacing w:line="276" w:lineRule="auto"/>
              <w:ind w:firstLine="0" w:firstLineChars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pStyle w:val="3"/>
              <w:ind w:firstLine="40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679" w:type="dxa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3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rPr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【课程目标</w:t>
            </w:r>
            <w:r>
              <w:rPr>
                <w:rFonts w:eastAsia="黑体"/>
                <w:sz w:val="18"/>
                <w:szCs w:val="18"/>
              </w:rPr>
              <w:t>3】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eastAsiaTheme="minorEastAsia"/>
                <w:sz w:val="18"/>
                <w:szCs w:val="18"/>
              </w:rPr>
              <w:t>理解编译过程各步骤与衔接、文法分类、S-属性文法和L-属性文法、S-翻译模式和L-翻译模式、静态语义检查、典型语句中间表示、</w:t>
            </w:r>
            <w:r>
              <w:rPr>
                <w:rFonts w:hint="eastAsia" w:eastAsiaTheme="minorEastAsia"/>
                <w:sz w:val="18"/>
                <w:szCs w:val="18"/>
              </w:rPr>
              <w:t>运行时存储组织的作用与任务</w:t>
            </w:r>
            <w:r>
              <w:rPr>
                <w:rFonts w:eastAsiaTheme="minorEastAsia"/>
                <w:sz w:val="18"/>
                <w:szCs w:val="18"/>
              </w:rPr>
              <w:t>、</w:t>
            </w:r>
            <w:r>
              <w:rPr>
                <w:rFonts w:hint="eastAsia" w:eastAsiaTheme="minorEastAsia"/>
                <w:sz w:val="18"/>
                <w:szCs w:val="18"/>
              </w:rPr>
              <w:t>程序运行时存储空间的布局</w:t>
            </w:r>
            <w:r>
              <w:rPr>
                <w:rFonts w:eastAsiaTheme="minorEastAsia"/>
                <w:sz w:val="18"/>
                <w:szCs w:val="18"/>
              </w:rPr>
              <w:t>、参数传递机制、目标代码生成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【指标点3</w:t>
            </w:r>
            <w:r>
              <w:rPr>
                <w:rFonts w:eastAsia="黑体"/>
                <w:sz w:val="18"/>
                <w:szCs w:val="18"/>
              </w:rPr>
              <w:t>-</w:t>
            </w:r>
            <w:r>
              <w:rPr>
                <w:rFonts w:hint="eastAsia" w:eastAsia="黑体"/>
                <w:sz w:val="18"/>
                <w:szCs w:val="18"/>
              </w:rPr>
              <w:t>2】</w:t>
            </w:r>
            <w:r>
              <w:rPr>
                <w:rFonts w:hint="eastAsia"/>
                <w:sz w:val="18"/>
                <w:szCs w:val="18"/>
              </w:rPr>
              <w:t>：能够对复杂软件工程问题进行需求分析，能够运用软件工程思想构建系统总体解决方案，确定设计目标并进行模块分解。</w:t>
            </w: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  <w:jc w:val="center"/>
        </w:trPr>
        <w:tc>
          <w:tcPr>
            <w:tcW w:w="679" w:type="dxa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hint="eastAsia"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4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rPr>
                <w:rFonts w:hint="eastAsia"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【课程目标</w:t>
            </w:r>
            <w:r>
              <w:rPr>
                <w:rFonts w:eastAsia="黑体"/>
                <w:sz w:val="18"/>
                <w:szCs w:val="18"/>
              </w:rPr>
              <w:t>4】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 w:eastAsiaTheme="minorEastAsia"/>
                <w:sz w:val="18"/>
                <w:szCs w:val="18"/>
              </w:rPr>
              <w:t>了解</w:t>
            </w:r>
            <w:r>
              <w:rPr>
                <w:rFonts w:eastAsiaTheme="minorEastAsia"/>
                <w:sz w:val="18"/>
                <w:szCs w:val="18"/>
              </w:rPr>
              <w:t>编译</w:t>
            </w:r>
            <w:r>
              <w:rPr>
                <w:rFonts w:hint="eastAsia" w:eastAsiaTheme="minorEastAsia"/>
                <w:sz w:val="18"/>
                <w:szCs w:val="18"/>
              </w:rPr>
              <w:t>程序与其伙伴程序的关系</w:t>
            </w:r>
            <w:r>
              <w:rPr>
                <w:rFonts w:eastAsiaTheme="minorEastAsia"/>
                <w:sz w:val="18"/>
                <w:szCs w:val="18"/>
              </w:rPr>
              <w:t>、正规文法与有限自动机的等价、词法分析程序自动构造与Lex、递归下降LL(1)分析、目标代码优化。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left"/>
              <w:rPr>
                <w:rFonts w:hint="eastAsia"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【指标点3</w:t>
            </w:r>
            <w:r>
              <w:rPr>
                <w:rFonts w:eastAsia="黑体"/>
                <w:sz w:val="18"/>
                <w:szCs w:val="18"/>
              </w:rPr>
              <w:t>-3】</w:t>
            </w:r>
            <w:r>
              <w:rPr>
                <w:rFonts w:hint="eastAsia"/>
                <w:sz w:val="18"/>
                <w:szCs w:val="18"/>
              </w:rPr>
              <w:t>：按照工程化要求对软件系统的子模块、子单元或部件进行设计。</w:t>
            </w:r>
          </w:p>
        </w:tc>
        <w:tc>
          <w:tcPr>
            <w:tcW w:w="2268" w:type="dxa"/>
            <w:vMerge w:val="continue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</w:tr>
    </w:tbl>
    <w:p>
      <w:pPr>
        <w:adjustRightInd w:val="0"/>
        <w:snapToGrid w:val="0"/>
        <w:spacing w:line="300" w:lineRule="auto"/>
        <w:rPr>
          <w:rFonts w:ascii="宋体" w:hAnsi="宋体"/>
          <w:b/>
          <w:color w:val="000000"/>
          <w:sz w:val="24"/>
        </w:rPr>
      </w:pPr>
    </w:p>
    <w:p>
      <w:pPr>
        <w:spacing w:before="120" w:beforeLines="50" w:line="400" w:lineRule="exact"/>
        <w:ind w:firstLine="420"/>
        <w:rPr>
          <w:szCs w:val="21"/>
        </w:rPr>
      </w:pPr>
      <w:r>
        <w:rPr>
          <w:rFonts w:hint="eastAsia"/>
          <w:szCs w:val="21"/>
        </w:rPr>
        <w:t>课程目标对毕业要求及指标点的支撑权重矩阵如表2所示。</w:t>
      </w:r>
    </w:p>
    <w:p>
      <w:pPr>
        <w:spacing w:before="120" w:beforeLines="50" w:after="120" w:afterLines="50" w:line="40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表2 课程教学目标对毕业要求及指标点的支撑权重矩阵</w:t>
      </w:r>
      <w:r>
        <w:rPr>
          <w:sz w:val="18"/>
          <w:szCs w:val="18"/>
        </w:rPr>
        <w:commentReference w:id="1"/>
      </w:r>
    </w:p>
    <w:tbl>
      <w:tblPr>
        <w:tblStyle w:val="10"/>
        <w:tblW w:w="94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582"/>
        <w:gridCol w:w="1560"/>
        <w:gridCol w:w="1596"/>
        <w:gridCol w:w="1512"/>
        <w:gridCol w:w="1608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510" w:hRule="atLeast"/>
          <w:jc w:val="center"/>
        </w:trPr>
        <w:tc>
          <w:tcPr>
            <w:tcW w:w="3142" w:type="dxa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毕业要求</w:t>
            </w:r>
          </w:p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FFFFFF" w:themeColor="background1"/>
                <w:sz w:val="18"/>
                <w:szCs w:val="18"/>
              </w:rPr>
              <w:t>支</w:t>
            </w:r>
            <w:r>
              <w:rPr>
                <w:rFonts w:hint="eastAsia" w:eastAsia="黑体"/>
                <w:color w:val="000000"/>
                <w:sz w:val="18"/>
                <w:szCs w:val="18"/>
              </w:rPr>
              <w:t>支撑权重</w:t>
            </w:r>
          </w:p>
          <w:p>
            <w:pPr>
              <w:adjustRightInd w:val="0"/>
              <w:snapToGrid w:val="0"/>
              <w:jc w:val="left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课程目标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课程目标</w:t>
            </w:r>
            <w:r>
              <w:rPr>
                <w:rFonts w:hint="eastAsia" w:eastAsia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课程目标2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课程目标3</w:t>
            </w:r>
          </w:p>
        </w:tc>
        <w:tc>
          <w:tcPr>
            <w:tcW w:w="1608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课程目标4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82" w:type="dxa"/>
            <w:vMerge w:val="restart"/>
            <w:shd w:val="clear" w:color="auto" w:fill="auto"/>
            <w:vAlign w:val="center"/>
          </w:tcPr>
          <w:p>
            <w:pPr>
              <w:pStyle w:val="3"/>
              <w:spacing w:line="300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color w:val="000000"/>
                <w:sz w:val="18"/>
                <w:szCs w:val="18"/>
              </w:rPr>
              <w:t>所支撑的毕业要求指标点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3-2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608" w:type="dxa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82" w:type="dxa"/>
            <w:vMerge w:val="continue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3-3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8" w:type="dxa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</w:t>
            </w:r>
          </w:p>
        </w:tc>
      </w:tr>
    </w:tbl>
    <w:p>
      <w:pPr>
        <w:pStyle w:val="2"/>
        <w:spacing w:before="120" w:after="120" w:line="400" w:lineRule="exact"/>
        <w:rPr>
          <w:sz w:val="24"/>
        </w:rPr>
      </w:pPr>
      <w:r>
        <w:rPr>
          <w:rFonts w:hint="eastAsia" w:ascii="Times New Roman" w:hAnsi="Times New Roman" w:eastAsia="宋体"/>
          <w:sz w:val="24"/>
        </w:rPr>
        <w:t>2.4 课程目标的达成方式与支撑教学活动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课程目标主要通过期末考试、作业、实验、课堂讨论这4个环节来达成，主要教学活动对课程目标达成的支撑情况如表3所示。</w:t>
      </w:r>
    </w:p>
    <w:p>
      <w:pPr>
        <w:spacing w:before="120" w:beforeLines="50" w:after="120" w:afterLines="50" w:line="40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表3 课程目标的</w:t>
      </w:r>
      <w:commentRangeStart w:id="2"/>
      <w:r>
        <w:rPr>
          <w:rFonts w:hint="eastAsia"/>
          <w:sz w:val="18"/>
          <w:szCs w:val="18"/>
        </w:rPr>
        <w:t>达成方式</w:t>
      </w:r>
      <w:commentRangeEnd w:id="2"/>
      <w:r>
        <w:commentReference w:id="2"/>
      </w:r>
      <w:r>
        <w:rPr>
          <w:rFonts w:hint="eastAsia"/>
          <w:sz w:val="18"/>
          <w:szCs w:val="18"/>
        </w:rPr>
        <w:t>与主要支撑教学活动</w:t>
      </w:r>
    </w:p>
    <w:tbl>
      <w:tblPr>
        <w:tblStyle w:val="10"/>
        <w:tblW w:w="79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596"/>
        <w:gridCol w:w="1596"/>
        <w:gridCol w:w="1512"/>
        <w:gridCol w:w="1608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510" w:hRule="atLeast"/>
          <w:jc w:val="center"/>
        </w:trPr>
        <w:tc>
          <w:tcPr>
            <w:tcW w:w="159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课程目标</w:t>
            </w:r>
          </w:p>
          <w:p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教学环节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期末考试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作业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实验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</w:rPr>
              <w:t>课堂讨论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bCs/>
                <w:sz w:val="18"/>
                <w:szCs w:val="18"/>
              </w:rPr>
            </w:pPr>
            <w:r>
              <w:rPr>
                <w:rFonts w:eastAsia="黑体"/>
                <w:bCs/>
                <w:sz w:val="18"/>
                <w:szCs w:val="18"/>
              </w:rPr>
              <w:t>课程目标1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bCs/>
                <w:sz w:val="18"/>
                <w:szCs w:val="18"/>
              </w:rPr>
            </w:pPr>
            <w:r>
              <w:rPr>
                <w:rFonts w:eastAsia="黑体"/>
                <w:bCs/>
                <w:sz w:val="18"/>
                <w:szCs w:val="18"/>
              </w:rPr>
              <w:t>课程目标2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bCs/>
                <w:sz w:val="18"/>
                <w:szCs w:val="18"/>
              </w:rPr>
            </w:pPr>
            <w:r>
              <w:rPr>
                <w:rFonts w:eastAsia="黑体"/>
                <w:bCs/>
                <w:sz w:val="18"/>
                <w:szCs w:val="18"/>
              </w:rPr>
              <w:t>课程目标3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eastAsia="黑体"/>
                <w:bCs/>
                <w:sz w:val="18"/>
                <w:szCs w:val="18"/>
              </w:rPr>
            </w:pPr>
            <w:r>
              <w:rPr>
                <w:rFonts w:eastAsia="黑体"/>
                <w:bCs/>
                <w:sz w:val="18"/>
                <w:szCs w:val="18"/>
              </w:rPr>
              <w:t>课程目标4</w:t>
            </w:r>
          </w:p>
        </w:tc>
        <w:tc>
          <w:tcPr>
            <w:tcW w:w="1596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512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608" w:type="dxa"/>
            <w:shd w:val="clear" w:color="auto" w:fill="auto"/>
            <w:vAlign w:val="center"/>
          </w:tcPr>
          <w:p>
            <w:pPr>
              <w:pStyle w:val="3"/>
              <w:spacing w:line="276" w:lineRule="auto"/>
              <w:ind w:firstLine="0" w:firstLineChars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√</w:t>
            </w:r>
          </w:p>
        </w:tc>
      </w:tr>
    </w:tbl>
    <w:p>
      <w:pPr>
        <w:adjustRightInd w:val="0"/>
        <w:snapToGrid w:val="0"/>
        <w:spacing w:line="300" w:lineRule="auto"/>
        <w:rPr>
          <w:rFonts w:ascii="宋体" w:hAnsi="宋体"/>
          <w:b/>
          <w:color w:val="000000"/>
          <w:sz w:val="24"/>
        </w:rPr>
      </w:pPr>
    </w:p>
    <w:p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</w:t>
      </w:r>
      <w:r>
        <w:rPr>
          <w:rFonts w:hint="eastAsia" w:ascii="宋体" w:hAnsi="宋体"/>
          <w:b/>
          <w:sz w:val="24"/>
        </w:rPr>
        <w:t>课程教学内容及学时分配</w:t>
      </w:r>
    </w:p>
    <w:p>
      <w:pPr>
        <w:adjustRightInd w:val="0"/>
        <w:snapToGrid w:val="0"/>
        <w:spacing w:line="360" w:lineRule="auto"/>
        <w:ind w:firstLine="360" w:firstLineChars="150"/>
        <w:rPr>
          <w:rFonts w:ascii="宋体" w:hAnsi="宋体"/>
          <w:color w:val="000000"/>
          <w:sz w:val="24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 w:val="24"/>
        </w:rPr>
      </w:pPr>
      <w:r>
        <w:rPr>
          <w:b/>
          <w:color w:val="000000"/>
          <w:sz w:val="24"/>
        </w:rPr>
        <w:t>3.1</w:t>
      </w:r>
      <w:r>
        <w:rPr>
          <w:rFonts w:hint="eastAsia" w:ascii="宋体" w:hAnsi="宋体"/>
          <w:b/>
          <w:color w:val="000000"/>
          <w:sz w:val="24"/>
        </w:rPr>
        <w:t>理论教学安排</w:t>
      </w:r>
    </w:p>
    <w:tbl>
      <w:tblPr>
        <w:tblStyle w:val="10"/>
        <w:tblW w:w="144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70"/>
        <w:gridCol w:w="2850"/>
        <w:gridCol w:w="900"/>
        <w:gridCol w:w="450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47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章节或知识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点(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模块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)</w:t>
            </w:r>
          </w:p>
        </w:tc>
        <w:tc>
          <w:tcPr>
            <w:tcW w:w="285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教学内容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学时分配</w:t>
            </w:r>
          </w:p>
        </w:tc>
        <w:tc>
          <w:tcPr>
            <w:tcW w:w="4500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教学要求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(应明确教学重点、难点和教学方法)</w:t>
            </w:r>
          </w:p>
        </w:tc>
        <w:tc>
          <w:tcPr>
            <w:tcW w:w="3960" w:type="dxa"/>
            <w:gridSpan w:val="2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学生任务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7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5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500" w:type="dxa"/>
            <w:vMerge w:val="continue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作业要求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要求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(自学/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讨论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绪论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317" w:hanging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什么是编译程序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317" w:hanging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编译过程概述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317" w:hanging="3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编译程序的结构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76" w:lineRule="auto"/>
              <w:ind w:left="317" w:hanging="317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课程要求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掌握编译程序的概念；</w:t>
            </w:r>
          </w:p>
          <w:p>
            <w:pPr>
              <w:pStyle w:val="16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</w:t>
            </w:r>
            <w:r>
              <w:rPr>
                <w:rFonts w:hint="eastAsia" w:eastAsiaTheme="minorEastAsia"/>
                <w:sz w:val="18"/>
                <w:szCs w:val="18"/>
              </w:rPr>
              <w:t>解</w:t>
            </w:r>
            <w:r>
              <w:rPr>
                <w:rFonts w:eastAsiaTheme="minorEastAsia"/>
                <w:sz w:val="18"/>
                <w:szCs w:val="18"/>
              </w:rPr>
              <w:t>编译程序的组成；</w:t>
            </w:r>
          </w:p>
          <w:p>
            <w:pPr>
              <w:pStyle w:val="16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</w:t>
            </w:r>
            <w:r>
              <w:rPr>
                <w:rFonts w:hint="eastAsia" w:eastAsiaTheme="minorEastAsia"/>
                <w:sz w:val="18"/>
                <w:szCs w:val="18"/>
              </w:rPr>
              <w:t>解编译程序的逻辑结构；</w:t>
            </w:r>
          </w:p>
          <w:p>
            <w:pPr>
              <w:pStyle w:val="16"/>
              <w:numPr>
                <w:ilvl w:val="0"/>
                <w:numId w:val="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了解编译程序的伙伴程序。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编译程序的概念；</w:t>
            </w:r>
          </w:p>
          <w:p>
            <w:pPr>
              <w:pStyle w:val="16"/>
              <w:numPr>
                <w:ilvl w:val="0"/>
                <w:numId w:val="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编译程序的组成。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教学难点：编译过程概述。</w:t>
            </w:r>
          </w:p>
          <w:p>
            <w:pPr>
              <w:adjustRightInd w:val="0"/>
              <w:snapToGrid w:val="0"/>
              <w:spacing w:line="300" w:lineRule="auto"/>
              <w:rPr>
                <w:rFonts w:ascii="宋体" w:hAnsi="宋体"/>
                <w:i/>
                <w:color w:val="0000FF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教学方法：讲授+课堂讨论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pStyle w:val="16"/>
              <w:numPr>
                <w:ilvl w:val="0"/>
                <w:numId w:val="6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编译程序的组成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52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编译技术发展的历史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8"/>
              </w:numPr>
              <w:adjustRightInd w:val="0"/>
              <w:snapToGrid w:val="0"/>
              <w:spacing w:before="60" w:beforeLines="25"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编译与解释的关系。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文法与自动机 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文法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有限自动机的概念及化简算法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正规式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正规式与有限自动机的转换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sz w:val="18"/>
                <w:szCs w:val="18"/>
              </w:rPr>
              <w:t xml:space="preserve"> 正规文法与有限自动机的转换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rFonts w:eastAsiaTheme="minorEastAsia"/>
                <w:sz w:val="18"/>
                <w:szCs w:val="18"/>
              </w:rPr>
              <w:t>文法基础；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理解</w:t>
            </w:r>
            <w:r>
              <w:rPr>
                <w:rFonts w:eastAsiaTheme="minorEastAsia"/>
                <w:sz w:val="18"/>
                <w:szCs w:val="18"/>
              </w:rPr>
              <w:t>文法分类；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熟悉文法二义性；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掌握有限自动机及其简化；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掌握正规式；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熟悉正规式与有限自动机的等价；</w:t>
            </w:r>
          </w:p>
          <w:p>
            <w:pPr>
              <w:pStyle w:val="16"/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</w:t>
            </w:r>
            <w:r>
              <w:rPr>
                <w:rFonts w:hint="eastAsia" w:eastAsiaTheme="minorEastAsia"/>
                <w:sz w:val="18"/>
                <w:szCs w:val="18"/>
              </w:rPr>
              <w:t>解</w:t>
            </w:r>
            <w:r>
              <w:rPr>
                <w:color w:val="000000"/>
                <w:sz w:val="18"/>
                <w:szCs w:val="18"/>
              </w:rPr>
              <w:t>正规文法与有限自动机的等价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非确定有限自动机转换为确定有限自动机；</w:t>
            </w:r>
          </w:p>
          <w:p>
            <w:pPr>
              <w:pStyle w:val="16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确定有限自动机的简化</w:t>
            </w:r>
            <w:r>
              <w:rPr>
                <w:rFonts w:hint="eastAsia"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正规式转换为有限自动机。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教学难点：文法二义性、文法分类、非确定有限自动机转换为确定有限自动机、确定有限自动机的简化。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1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给出文法写语言；</w:t>
            </w:r>
          </w:p>
          <w:p>
            <w:pPr>
              <w:pStyle w:val="16"/>
              <w:numPr>
                <w:ilvl w:val="0"/>
                <w:numId w:val="1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给出语义写文法；</w:t>
            </w:r>
          </w:p>
          <w:p>
            <w:pPr>
              <w:pStyle w:val="16"/>
              <w:numPr>
                <w:ilvl w:val="0"/>
                <w:numId w:val="1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判断文法二义性；</w:t>
            </w:r>
          </w:p>
          <w:p>
            <w:pPr>
              <w:pStyle w:val="16"/>
              <w:numPr>
                <w:ilvl w:val="0"/>
                <w:numId w:val="1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推导、归约与语法树。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1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正规文法与有限自动机的等价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1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非确定有限自动机转换为确定有限自动机；</w:t>
            </w:r>
          </w:p>
          <w:p>
            <w:pPr>
              <w:pStyle w:val="16"/>
              <w:numPr>
                <w:ilvl w:val="0"/>
                <w:numId w:val="1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确定有限自动机的简化；</w:t>
            </w:r>
          </w:p>
          <w:p>
            <w:pPr>
              <w:pStyle w:val="16"/>
              <w:numPr>
                <w:ilvl w:val="0"/>
                <w:numId w:val="1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正规式转换为有限自动机。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词法分析概念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eastAsiaTheme="minorEastAsia"/>
                <w:sz w:val="18"/>
                <w:szCs w:val="18"/>
              </w:rPr>
              <w:t>词法分析程序的设计和实现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rFonts w:eastAsiaTheme="minorEastAsia"/>
                <w:sz w:val="18"/>
                <w:szCs w:val="18"/>
              </w:rPr>
              <w:t>词法分析程序的自动构造与</w:t>
            </w:r>
            <w:r>
              <w:rPr>
                <w:sz w:val="18"/>
                <w:szCs w:val="18"/>
              </w:rPr>
              <w:t>LEX简介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hint="eastAsia" w:eastAsia="黑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词法分析概念</w:t>
            </w:r>
            <w:r>
              <w:rPr>
                <w:rFonts w:hint="eastAsia"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 w:eastAsiaTheme="minorEastAsia"/>
                <w:sz w:val="18"/>
                <w:szCs w:val="18"/>
              </w:rPr>
              <w:t>熟悉</w:t>
            </w:r>
            <w:r>
              <w:rPr>
                <w:rFonts w:eastAsiaTheme="minorEastAsia"/>
                <w:sz w:val="18"/>
                <w:szCs w:val="18"/>
              </w:rPr>
              <w:t>词法分析程序的设计和实现</w:t>
            </w:r>
            <w:r>
              <w:rPr>
                <w:rFonts w:hint="eastAsia"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理解词法分析程序的自动构造和Lex。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1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词法分析程序的设计和实现。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教学难点：词法分析程序的自动构造。</w:t>
            </w:r>
          </w:p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1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对给出代码写出单词流。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1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词法分析程序的自动构造与</w:t>
            </w:r>
            <w:r>
              <w:rPr>
                <w:sz w:val="18"/>
                <w:szCs w:val="18"/>
              </w:rPr>
              <w:t>LEX简介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1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词法分析中专题的设计方案。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自顶向下的语法分析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First集与Follow集与Select集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LL(1)文法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消除左递归与消除左公因子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First集与Follow集与Select集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</w:t>
            </w:r>
            <w:r>
              <w:rPr>
                <w:color w:val="000000"/>
                <w:sz w:val="18"/>
                <w:szCs w:val="18"/>
              </w:rPr>
              <w:t>递归下降LL(1)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掌握表驱动</w:t>
            </w:r>
            <w:r>
              <w:rPr>
                <w:color w:val="000000"/>
                <w:sz w:val="18"/>
                <w:szCs w:val="18"/>
              </w:rPr>
              <w:t>LL(1)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熟悉消除左递归；</w:t>
            </w:r>
          </w:p>
          <w:p>
            <w:pPr>
              <w:pStyle w:val="16"/>
              <w:numPr>
                <w:ilvl w:val="0"/>
                <w:numId w:val="1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熟悉消除左公因子。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2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First集与Follow集与Select集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表驱动</w:t>
            </w:r>
            <w:r>
              <w:rPr>
                <w:color w:val="000000"/>
                <w:sz w:val="18"/>
                <w:szCs w:val="18"/>
              </w:rPr>
              <w:t>LL(1)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教学难点：消除左递归、</w:t>
            </w:r>
            <w:r>
              <w:rPr>
                <w:color w:val="000000"/>
                <w:sz w:val="18"/>
                <w:szCs w:val="18"/>
              </w:rPr>
              <w:t>递归下降LL(1)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First集与Follow集与Select集计算；</w:t>
            </w:r>
          </w:p>
          <w:p>
            <w:pPr>
              <w:pStyle w:val="16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(1)文法判断；</w:t>
            </w:r>
          </w:p>
          <w:p>
            <w:pPr>
              <w:pStyle w:val="16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表驱动LL(1)；</w:t>
            </w:r>
          </w:p>
          <w:p>
            <w:pPr>
              <w:pStyle w:val="16"/>
              <w:numPr>
                <w:ilvl w:val="0"/>
                <w:numId w:val="2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递归下降LL</w:t>
            </w:r>
            <w:r>
              <w:rPr>
                <w:sz w:val="18"/>
                <w:szCs w:val="18"/>
              </w:rPr>
              <w:t>(1)。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2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递归下降LL</w:t>
            </w:r>
            <w:r>
              <w:rPr>
                <w:sz w:val="18"/>
                <w:szCs w:val="18"/>
              </w:rPr>
              <w:t>(1)；</w:t>
            </w:r>
          </w:p>
          <w:p>
            <w:pPr>
              <w:pStyle w:val="16"/>
              <w:numPr>
                <w:ilvl w:val="0"/>
                <w:numId w:val="2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消除左公因子。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2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递归下降LL</w:t>
            </w:r>
            <w:r>
              <w:rPr>
                <w:sz w:val="18"/>
                <w:szCs w:val="18"/>
              </w:rPr>
              <w:t>(1)；</w:t>
            </w:r>
          </w:p>
          <w:p>
            <w:pPr>
              <w:pStyle w:val="16"/>
              <w:numPr>
                <w:ilvl w:val="0"/>
                <w:numId w:val="2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表驱动</w:t>
            </w:r>
            <w:r>
              <w:rPr>
                <w:color w:val="000000"/>
                <w:sz w:val="18"/>
                <w:szCs w:val="18"/>
              </w:rPr>
              <w:t>LL(1)；</w:t>
            </w:r>
          </w:p>
          <w:p>
            <w:pPr>
              <w:pStyle w:val="16"/>
              <w:numPr>
                <w:ilvl w:val="0"/>
                <w:numId w:val="2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消除左递归。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自底向上的语法分析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color w:val="000000"/>
                <w:sz w:val="18"/>
                <w:szCs w:val="18"/>
              </w:rPr>
              <w:t>移进与规约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LR（0）分析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SLR（l）分析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LR（1）分析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LALR（1）分析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掌握移进与规约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LR（0）分析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SLR（l）分析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bookmarkStart w:id="0" w:name="OLE_LINK2"/>
            <w:bookmarkStart w:id="1" w:name="OLE_LINK1"/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LR（1）分析</w:t>
            </w:r>
            <w:bookmarkEnd w:id="0"/>
            <w:bookmarkEnd w:id="1"/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LALR（1）分析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LR（0）分析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LR（1）分析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教学难点：句柄与活前缀、</w:t>
            </w:r>
            <w:r>
              <w:rPr>
                <w:sz w:val="18"/>
                <w:szCs w:val="18"/>
              </w:rPr>
              <w:t>LR（0）和LR（1）有限自动机构造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2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LR（0）分析；</w:t>
            </w:r>
          </w:p>
          <w:p>
            <w:pPr>
              <w:pStyle w:val="16"/>
              <w:numPr>
                <w:ilvl w:val="0"/>
                <w:numId w:val="2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SLR（l）分析；</w:t>
            </w:r>
          </w:p>
          <w:p>
            <w:pPr>
              <w:pStyle w:val="16"/>
              <w:numPr>
                <w:ilvl w:val="0"/>
                <w:numId w:val="2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LR（1）分析；</w:t>
            </w:r>
          </w:p>
          <w:p>
            <w:pPr>
              <w:pStyle w:val="16"/>
              <w:numPr>
                <w:ilvl w:val="0"/>
                <w:numId w:val="2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LALR（1）分析。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自底向上分析的一般过程和问题；</w:t>
            </w:r>
          </w:p>
          <w:p>
            <w:pPr>
              <w:pStyle w:val="16"/>
              <w:numPr>
                <w:ilvl w:val="0"/>
                <w:numId w:val="2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LALR（1）分析。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2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LR（0）分析；</w:t>
            </w:r>
          </w:p>
          <w:p>
            <w:pPr>
              <w:pStyle w:val="16"/>
              <w:numPr>
                <w:ilvl w:val="0"/>
                <w:numId w:val="2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LR（1）分析。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语法制导的语义计算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属性文法和翻译模式的概述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属性文法语义计算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翻译模式语义计算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属性文法和翻译模式概念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熟悉继承属性与综合属性；</w:t>
            </w:r>
          </w:p>
          <w:p>
            <w:pPr>
              <w:pStyle w:val="16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掌握树遍历属性计算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理解S-属性文法和L-属性文法；</w:t>
            </w:r>
          </w:p>
          <w:p>
            <w:pPr>
              <w:pStyle w:val="16"/>
              <w:numPr>
                <w:ilvl w:val="0"/>
                <w:numId w:val="2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理解S-翻译模式和L-翻译模式。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3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树遍历属性计算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L-翻译模式。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</w:t>
            </w:r>
            <w:r>
              <w:rPr>
                <w:sz w:val="18"/>
                <w:szCs w:val="18"/>
              </w:rPr>
              <w:t>树遍历属性计算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根据功能设计属性文法；</w:t>
            </w:r>
          </w:p>
          <w:p>
            <w:pPr>
              <w:pStyle w:val="16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根据功能设计翻译文法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树遍历属性计算。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继承属性与综合属性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S-翻译模式。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3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L-属性文法；</w:t>
            </w:r>
            <w:r>
              <w:rPr>
                <w:rFonts w:eastAsia="黑体"/>
                <w:i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16"/>
              <w:numPr>
                <w:ilvl w:val="0"/>
                <w:numId w:val="3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L-翻译模式。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语义分析与中间代码生成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语义分析概念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静态类型检查及实例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常用中间表示方式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典型语句中间表示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布尔表达式翻译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拉链与回填技术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语义分析概念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</w:t>
            </w:r>
            <w:r>
              <w:rPr>
                <w:sz w:val="18"/>
                <w:szCs w:val="18"/>
              </w:rPr>
              <w:t>静态类型检查及实例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熟悉常用中间表示方式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</w:t>
            </w:r>
            <w:r>
              <w:rPr>
                <w:sz w:val="18"/>
                <w:szCs w:val="18"/>
              </w:rPr>
              <w:t>典型语句中间表示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布尔表达式翻译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掌握</w:t>
            </w:r>
            <w:r>
              <w:rPr>
                <w:sz w:val="18"/>
                <w:szCs w:val="18"/>
              </w:rPr>
              <w:t>拉链与回填技术。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布尔表达式翻译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拉链与回填技术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教学难点：类型系统、</w:t>
            </w:r>
            <w:r>
              <w:rPr>
                <w:sz w:val="18"/>
                <w:szCs w:val="18"/>
              </w:rPr>
              <w:t>拉链与回填技术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3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布尔表达式翻译；</w:t>
            </w:r>
          </w:p>
          <w:p>
            <w:pPr>
              <w:pStyle w:val="16"/>
              <w:numPr>
                <w:ilvl w:val="0"/>
                <w:numId w:val="3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拉链与回填技术。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常用中间表示方式；</w:t>
            </w:r>
          </w:p>
          <w:p>
            <w:pPr>
              <w:pStyle w:val="16"/>
              <w:numPr>
                <w:ilvl w:val="0"/>
                <w:numId w:val="3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静态类型检查实例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3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布尔表达式翻译</w:t>
            </w:r>
            <w:r>
              <w:rPr>
                <w:rFonts w:eastAsiaTheme="minorEastAsia"/>
                <w:sz w:val="18"/>
                <w:szCs w:val="18"/>
              </w:rPr>
              <w:t>；</w:t>
            </w:r>
            <w:r>
              <w:rPr>
                <w:rFonts w:eastAsia="黑体"/>
                <w:i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16"/>
              <w:numPr>
                <w:ilvl w:val="0"/>
                <w:numId w:val="3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拉链与回填技术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运行时存储空间的组织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运行时存储组织的作用与任务</w:t>
            </w:r>
          </w:p>
          <w:p>
            <w:pPr>
              <w:widowControl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程序运行时存储空间的布局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存储分配策略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活动记录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过程调用和参数传递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理解</w:t>
            </w:r>
            <w:r>
              <w:rPr>
                <w:rFonts w:hint="eastAsia"/>
                <w:sz w:val="18"/>
                <w:szCs w:val="18"/>
              </w:rPr>
              <w:t>运行时存储组织的作用与任务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理解</w:t>
            </w:r>
            <w:r>
              <w:rPr>
                <w:rFonts w:hint="eastAsia"/>
                <w:sz w:val="18"/>
                <w:szCs w:val="18"/>
              </w:rPr>
              <w:t>程序运行时存储空间的布局；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熟悉存储分配策略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掌握活动记录的组织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掌握过程调用机制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参数传递</w:t>
            </w:r>
            <w:r>
              <w:rPr>
                <w:rFonts w:hint="eastAsia"/>
                <w:sz w:val="18"/>
                <w:szCs w:val="18"/>
              </w:rPr>
              <w:t>机制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活动记录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Display表；</w:t>
            </w:r>
          </w:p>
          <w:p>
            <w:pPr>
              <w:pStyle w:val="16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静态链与动态链。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教学难点：Display表。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教学方法：讲授+实例练习+</w:t>
            </w:r>
            <w:r>
              <w:rPr>
                <w:sz w:val="18"/>
                <w:szCs w:val="18"/>
              </w:rPr>
              <w:t>参与式教学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color w:val="000000"/>
                <w:sz w:val="18"/>
                <w:szCs w:val="18"/>
              </w:rPr>
              <w:t>活动记录的栈存储；</w:t>
            </w:r>
          </w:p>
          <w:p>
            <w:pPr>
              <w:pStyle w:val="16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Theme="minorEastAsia"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Display表应用；</w:t>
            </w:r>
          </w:p>
          <w:p>
            <w:pPr>
              <w:pStyle w:val="16"/>
              <w:numPr>
                <w:ilvl w:val="0"/>
                <w:numId w:val="41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静态链应用</w:t>
            </w:r>
            <w:r>
              <w:rPr>
                <w:rFonts w:eastAsiaTheme="minor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存储分配策略；</w:t>
            </w:r>
          </w:p>
          <w:p>
            <w:pPr>
              <w:pStyle w:val="16"/>
              <w:numPr>
                <w:ilvl w:val="0"/>
                <w:numId w:val="42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参数传递</w:t>
            </w:r>
            <w:r>
              <w:rPr>
                <w:rFonts w:hint="eastAsia"/>
                <w:sz w:val="18"/>
                <w:szCs w:val="18"/>
              </w:rPr>
              <w:t>机制。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4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活动记录；</w:t>
            </w:r>
          </w:p>
          <w:p>
            <w:pPr>
              <w:pStyle w:val="16"/>
              <w:numPr>
                <w:ilvl w:val="0"/>
                <w:numId w:val="43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Display表。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2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黑体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after="120" w:afterLines="5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代码生成与代码优化</w:t>
            </w:r>
          </w:p>
        </w:tc>
        <w:tc>
          <w:tcPr>
            <w:tcW w:w="2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Style w:val="17"/>
                <w:rFonts w:hint="default"/>
                <w:sz w:val="18"/>
                <w:szCs w:val="18"/>
              </w:rPr>
              <w:t>基本块、流图和循环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数据流分析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color w:val="000000"/>
                <w:sz w:val="18"/>
                <w:szCs w:val="18"/>
              </w:rPr>
              <w:t>基本块的DAG表示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目标代码生成</w:t>
            </w:r>
          </w:p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>
              <w:rPr>
                <w:rFonts w:hint="eastAsia"/>
                <w:sz w:val="18"/>
                <w:szCs w:val="18"/>
              </w:rPr>
              <w:t>目标</w:t>
            </w:r>
            <w:r>
              <w:rPr>
                <w:sz w:val="18"/>
                <w:szCs w:val="18"/>
              </w:rPr>
              <w:t>代码优化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>
            <w:pPr>
              <w:adjustRightInd w:val="0"/>
              <w:snapToGrid w:val="0"/>
              <w:spacing w:before="120" w:beforeLines="50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教学要求：</w:t>
            </w:r>
          </w:p>
          <w:p>
            <w:pPr>
              <w:pStyle w:val="16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Style w:val="17"/>
                <w:rFonts w:hint="default"/>
                <w:sz w:val="18"/>
                <w:szCs w:val="18"/>
              </w:rPr>
              <w:t>掌握基本块、流图和循环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数据流分析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熟悉</w:t>
            </w:r>
            <w:r>
              <w:rPr>
                <w:color w:val="000000"/>
                <w:sz w:val="18"/>
                <w:szCs w:val="18"/>
              </w:rPr>
              <w:t>基本块的DAG表示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理解目标代码生成</w:t>
            </w:r>
            <w:r>
              <w:rPr>
                <w:rFonts w:eastAsiaTheme="minorEastAsia"/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4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理解</w:t>
            </w:r>
            <w:r>
              <w:rPr>
                <w:rFonts w:hint="eastAsia"/>
                <w:sz w:val="18"/>
                <w:szCs w:val="18"/>
              </w:rPr>
              <w:t>目标</w:t>
            </w:r>
            <w:r>
              <w:rPr>
                <w:sz w:val="18"/>
                <w:szCs w:val="18"/>
              </w:rPr>
              <w:t>代码优化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45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Style w:val="17"/>
                <w:rFonts w:hint="default"/>
                <w:sz w:val="18"/>
                <w:szCs w:val="18"/>
              </w:rPr>
              <w:t>基本块、流图和循环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before="60" w:beforeLines="25" w:line="276" w:lineRule="auto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教学难点：</w:t>
            </w:r>
            <w:r>
              <w:rPr>
                <w:sz w:val="18"/>
                <w:szCs w:val="18"/>
              </w:rPr>
              <w:t>数据流、</w:t>
            </w:r>
            <w:r>
              <w:rPr>
                <w:color w:val="000000"/>
                <w:sz w:val="18"/>
                <w:szCs w:val="18"/>
              </w:rPr>
              <w:t>基本块的DAG表示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教学方法：讲授+课堂讨论</w:t>
            </w:r>
          </w:p>
        </w:tc>
        <w:tc>
          <w:tcPr>
            <w:tcW w:w="1440" w:type="dxa"/>
            <w:shd w:val="clear" w:color="auto" w:fill="auto"/>
          </w:tcPr>
          <w:p>
            <w:pPr>
              <w:pStyle w:val="16"/>
              <w:numPr>
                <w:ilvl w:val="0"/>
                <w:numId w:val="4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Style w:val="17"/>
                <w:rFonts w:hint="default"/>
                <w:sz w:val="18"/>
                <w:szCs w:val="18"/>
              </w:rPr>
              <w:t>基本块、流图和循环。</w:t>
            </w:r>
          </w:p>
        </w:tc>
        <w:tc>
          <w:tcPr>
            <w:tcW w:w="2520" w:type="dxa"/>
            <w:shd w:val="clear" w:color="auto" w:fill="auto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4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基本块的DAG表示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16"/>
              <w:numPr>
                <w:ilvl w:val="0"/>
                <w:numId w:val="47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</w:t>
            </w:r>
            <w:r>
              <w:rPr>
                <w:sz w:val="18"/>
                <w:szCs w:val="18"/>
              </w:rPr>
              <w:t>代码优化。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48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Style w:val="17"/>
                <w:rFonts w:hint="default"/>
                <w:sz w:val="18"/>
                <w:szCs w:val="18"/>
              </w:rPr>
              <w:t>基本块、流图和循环。</w:t>
            </w:r>
          </w:p>
        </w:tc>
      </w:tr>
    </w:tbl>
    <w:p>
      <w:pPr>
        <w:adjustRightInd w:val="0"/>
        <w:snapToGrid w:val="0"/>
        <w:spacing w:line="300" w:lineRule="auto"/>
        <w:ind w:firstLine="360" w:firstLineChars="150"/>
        <w:rPr>
          <w:rFonts w:eastAsia="黑体"/>
          <w:color w:val="000000"/>
          <w:sz w:val="24"/>
        </w:rPr>
      </w:pPr>
    </w:p>
    <w:p>
      <w:pPr>
        <w:adjustRightInd w:val="0"/>
        <w:snapToGrid w:val="0"/>
        <w:spacing w:line="300" w:lineRule="auto"/>
        <w:rPr>
          <w:rFonts w:eastAsia="黑体"/>
          <w:color w:val="000000"/>
          <w:sz w:val="24"/>
        </w:rPr>
      </w:pPr>
      <w:r>
        <w:rPr>
          <w:rFonts w:eastAsia="黑体"/>
          <w:color w:val="000000"/>
          <w:sz w:val="24"/>
        </w:rPr>
        <w:t>3.</w:t>
      </w:r>
      <w:r>
        <w:rPr>
          <w:rFonts w:hint="eastAsia" w:eastAsia="黑体"/>
          <w:color w:val="000000"/>
          <w:sz w:val="24"/>
        </w:rPr>
        <w:t>2实践教学安排</w:t>
      </w:r>
    </w:p>
    <w:tbl>
      <w:tblPr>
        <w:tblStyle w:val="10"/>
        <w:tblW w:w="138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492"/>
        <w:gridCol w:w="720"/>
        <w:gridCol w:w="720"/>
        <w:gridCol w:w="1080"/>
        <w:gridCol w:w="3330"/>
        <w:gridCol w:w="1274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48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492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每组人数</w:t>
            </w:r>
          </w:p>
        </w:tc>
        <w:tc>
          <w:tcPr>
            <w:tcW w:w="3330" w:type="dxa"/>
            <w:vMerge w:val="restart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教学要求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(应明确教学重点、难点和教学方法)</w:t>
            </w:r>
          </w:p>
        </w:tc>
        <w:tc>
          <w:tcPr>
            <w:tcW w:w="3880" w:type="dxa"/>
            <w:gridSpan w:val="2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48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92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330" w:type="dxa"/>
            <w:vMerge w:val="continue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要求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(自学/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讨论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92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正规式转换为有限自动机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设计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49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编写将正规式转化为等价有限自动机的程序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难点：</w:t>
            </w:r>
          </w:p>
          <w:p>
            <w:pPr>
              <w:pStyle w:val="16"/>
              <w:numPr>
                <w:ilvl w:val="0"/>
                <w:numId w:val="50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正规式到有限自动机的局部转换与整体转换的衔接</w:t>
            </w:r>
          </w:p>
          <w:p>
            <w:pPr>
              <w:pStyle w:val="16"/>
              <w:numPr>
                <w:ilvl w:val="0"/>
                <w:numId w:val="50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有限自动机数据结构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606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51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正规式转化为等价有限自动机的方法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52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正规式到有限自动机的局部转换与整体转换的衔接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92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词法分析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设计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53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编写根据</w:t>
            </w:r>
            <w:r>
              <w:rPr>
                <w:sz w:val="18"/>
                <w:szCs w:val="18"/>
              </w:rPr>
              <w:t>有限自动机</w:t>
            </w:r>
            <w:r>
              <w:rPr>
                <w:color w:val="000000"/>
                <w:sz w:val="18"/>
                <w:szCs w:val="18"/>
              </w:rPr>
              <w:t>完成词法分析的程序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难点：</w:t>
            </w:r>
          </w:p>
          <w:p>
            <w:pPr>
              <w:pStyle w:val="16"/>
              <w:numPr>
                <w:ilvl w:val="0"/>
                <w:numId w:val="54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对典型代码设计</w:t>
            </w:r>
            <w:r>
              <w:rPr>
                <w:sz w:val="18"/>
                <w:szCs w:val="18"/>
              </w:rPr>
              <w:t>有限自动机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eastAsia="黑体"/>
                <w:i/>
                <w:color w:val="000000"/>
                <w:sz w:val="18"/>
                <w:szCs w:val="18"/>
              </w:rPr>
            </w:pPr>
          </w:p>
        </w:tc>
        <w:tc>
          <w:tcPr>
            <w:tcW w:w="2606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55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词法分析程序的自动构造与</w:t>
            </w:r>
            <w:r>
              <w:rPr>
                <w:sz w:val="18"/>
                <w:szCs w:val="18"/>
              </w:rPr>
              <w:t>LEX简介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56"/>
              </w:numPr>
              <w:adjustRightInd w:val="0"/>
              <w:snapToGrid w:val="0"/>
              <w:spacing w:line="300" w:lineRule="auto"/>
              <w:ind w:firstLineChars="0"/>
              <w:rPr>
                <w:rFonts w:eastAsia="黑体"/>
                <w:i/>
                <w:color w:val="000000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词法分析中专题的设计方案。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492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LL(1)分析表实现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设计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57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编写由LL(1)分析表实现语法分析的程序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难点：</w:t>
            </w:r>
          </w:p>
          <w:p>
            <w:pPr>
              <w:pStyle w:val="16"/>
              <w:numPr>
                <w:ilvl w:val="0"/>
                <w:numId w:val="58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预测分析表的实现</w:t>
            </w:r>
          </w:p>
          <w:p>
            <w:pPr>
              <w:pStyle w:val="16"/>
              <w:numPr>
                <w:ilvl w:val="0"/>
                <w:numId w:val="58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Select集的算法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606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59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Select集的算法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60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语法分析中错误提示方案。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48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92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LR(0)分析表实现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设计</w:t>
            </w:r>
          </w:p>
        </w:tc>
        <w:tc>
          <w:tcPr>
            <w:tcW w:w="108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330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教学重点：</w:t>
            </w:r>
          </w:p>
          <w:p>
            <w:pPr>
              <w:pStyle w:val="16"/>
              <w:numPr>
                <w:ilvl w:val="0"/>
                <w:numId w:val="61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编写由LR(0)完成语法分析的程序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难点：</w:t>
            </w:r>
          </w:p>
          <w:p>
            <w:pPr>
              <w:pStyle w:val="16"/>
              <w:numPr>
                <w:ilvl w:val="0"/>
                <w:numId w:val="62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0)活前缀有限自动机的实现</w:t>
            </w:r>
          </w:p>
          <w:p>
            <w:pPr>
              <w:pStyle w:val="16"/>
              <w:numPr>
                <w:ilvl w:val="0"/>
                <w:numId w:val="62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Action表GOTO表的实现</w:t>
            </w:r>
          </w:p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教学方法：分组自学讨论</w:t>
            </w:r>
          </w:p>
        </w:tc>
        <w:tc>
          <w:tcPr>
            <w:tcW w:w="1274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606" w:type="dxa"/>
            <w:vAlign w:val="center"/>
          </w:tcPr>
          <w:p>
            <w:pPr>
              <w:adjustRightInd w:val="0"/>
              <w:snapToGrid w:val="0"/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自学：</w:t>
            </w:r>
          </w:p>
          <w:p>
            <w:pPr>
              <w:pStyle w:val="16"/>
              <w:numPr>
                <w:ilvl w:val="0"/>
                <w:numId w:val="63"/>
              </w:numPr>
              <w:adjustRightInd w:val="0"/>
              <w:snapToGrid w:val="0"/>
              <w:spacing w:line="276" w:lineRule="auto"/>
              <w:ind w:firstLineChars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LR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0)活前缀有限自动机的程序实现</w:t>
            </w:r>
            <w:r>
              <w:rPr>
                <w:rFonts w:hint="eastAsia" w:eastAsiaTheme="minorEastAsia"/>
                <w:sz w:val="18"/>
                <w:szCs w:val="18"/>
              </w:rPr>
              <w:t>。</w:t>
            </w:r>
          </w:p>
          <w:p>
            <w:pPr>
              <w:adjustRightInd w:val="0"/>
              <w:snapToGrid w:val="0"/>
              <w:spacing w:line="30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讨论：</w:t>
            </w:r>
          </w:p>
          <w:p>
            <w:pPr>
              <w:pStyle w:val="16"/>
              <w:numPr>
                <w:ilvl w:val="0"/>
                <w:numId w:val="64"/>
              </w:numPr>
              <w:adjustRightInd w:val="0"/>
              <w:snapToGrid w:val="0"/>
              <w:spacing w:line="300" w:lineRule="auto"/>
              <w:ind w:firstLineChars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Action表GOTO表的程序实现</w:t>
            </w:r>
            <w:r>
              <w:rPr>
                <w:rFonts w:eastAsiaTheme="minorEastAsia"/>
                <w:sz w:val="18"/>
                <w:szCs w:val="18"/>
              </w:rPr>
              <w:t>。</w:t>
            </w:r>
          </w:p>
        </w:tc>
      </w:tr>
    </w:tbl>
    <w:p>
      <w:pPr>
        <w:adjustRightInd w:val="0"/>
        <w:snapToGrid w:val="0"/>
        <w:spacing w:line="300" w:lineRule="auto"/>
        <w:rPr>
          <w:rFonts w:eastAsia="黑体"/>
          <w:color w:val="0000FF"/>
          <w:sz w:val="24"/>
        </w:rPr>
      </w:pPr>
    </w:p>
    <w:p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四、考核方式及成绩评定方式</w:t>
      </w:r>
    </w:p>
    <w:p>
      <w:pPr>
        <w:pStyle w:val="3"/>
        <w:spacing w:line="400" w:lineRule="exact"/>
        <w:rPr>
          <w:color w:val="000000"/>
          <w:szCs w:val="21"/>
        </w:rPr>
      </w:pPr>
      <w:r>
        <w:rPr>
          <w:rFonts w:hint="eastAsia"/>
          <w:szCs w:val="21"/>
        </w:rPr>
        <w:t>该课程采用过程化考核机制。</w:t>
      </w:r>
      <w:r>
        <w:rPr>
          <w:rFonts w:hint="eastAsia" w:hAnsi="宋体"/>
          <w:szCs w:val="21"/>
        </w:rPr>
        <w:t>其总成绩分为期末考试和平时成绩</w:t>
      </w:r>
      <w:r>
        <w:rPr>
          <w:rFonts w:hAnsi="宋体"/>
          <w:szCs w:val="21"/>
        </w:rPr>
        <w:t>两大部分</w:t>
      </w:r>
      <w:r>
        <w:rPr>
          <w:rFonts w:hint="eastAsia" w:hAnsi="宋体"/>
          <w:szCs w:val="21"/>
        </w:rPr>
        <w:t>，各占50%。其中，平时成绩主要考核学生</w:t>
      </w:r>
      <w:r>
        <w:rPr>
          <w:rFonts w:hAnsi="宋体"/>
          <w:szCs w:val="21"/>
        </w:rPr>
        <w:t>的</w:t>
      </w:r>
      <w:r>
        <w:rPr>
          <w:rFonts w:hint="eastAsia" w:hAnsi="宋体"/>
          <w:szCs w:val="21"/>
        </w:rPr>
        <w:t>作业、</w:t>
      </w:r>
      <w:r>
        <w:rPr>
          <w:rFonts w:hAnsi="宋体"/>
          <w:szCs w:val="21"/>
        </w:rPr>
        <w:t>实验和</w:t>
      </w:r>
      <w:r>
        <w:rPr>
          <w:rFonts w:hint="eastAsia" w:hAnsi="宋体"/>
          <w:szCs w:val="21"/>
        </w:rPr>
        <w:t>自主学习三方面的表现。具体考核要素、要求及其所占分值</w:t>
      </w:r>
      <w:r>
        <w:rPr>
          <w:rFonts w:hAnsi="宋体"/>
          <w:szCs w:val="21"/>
        </w:rPr>
        <w:t>比例</w:t>
      </w:r>
      <w:r>
        <w:rPr>
          <w:rFonts w:hint="eastAsia" w:hAnsi="宋体"/>
          <w:szCs w:val="21"/>
        </w:rPr>
        <w:t>如表4所示</w:t>
      </w:r>
      <w:r>
        <w:rPr>
          <w:rFonts w:hint="eastAsia"/>
          <w:color w:val="000000"/>
          <w:szCs w:val="21"/>
        </w:rPr>
        <w:t>各</w:t>
      </w:r>
      <w:r>
        <w:rPr>
          <w:color w:val="000000"/>
          <w:szCs w:val="21"/>
        </w:rPr>
        <w:t>个环节</w:t>
      </w:r>
      <w:r>
        <w:rPr>
          <w:rFonts w:hint="eastAsia"/>
          <w:color w:val="000000"/>
          <w:szCs w:val="21"/>
        </w:rPr>
        <w:t>所占</w:t>
      </w:r>
      <w:r>
        <w:rPr>
          <w:color w:val="000000"/>
          <w:szCs w:val="21"/>
        </w:rPr>
        <w:t>比例如下：</w:t>
      </w:r>
    </w:p>
    <w:p>
      <w:pPr>
        <w:spacing w:before="120" w:beforeLines="50" w:after="120" w:afterLines="50" w:line="400" w:lineRule="exact"/>
        <w:jc w:val="center"/>
        <w:rPr>
          <w:rFonts w:hAnsi="宋体"/>
          <w:szCs w:val="21"/>
        </w:rPr>
      </w:pPr>
      <w:r>
        <w:rPr>
          <w:rFonts w:hint="eastAsia"/>
          <w:sz w:val="18"/>
          <w:szCs w:val="18"/>
        </w:rPr>
        <w:t>表4 课程考核要素、要求及其所占</w:t>
      </w:r>
      <w:commentRangeStart w:id="3"/>
      <w:r>
        <w:rPr>
          <w:rFonts w:hint="eastAsia"/>
          <w:sz w:val="18"/>
          <w:szCs w:val="18"/>
        </w:rPr>
        <w:t>分值比例</w:t>
      </w:r>
      <w:commentRangeEnd w:id="3"/>
      <w:r>
        <w:commentReference w:id="3"/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043"/>
        <w:gridCol w:w="2245"/>
        <w:gridCol w:w="8076"/>
        <w:gridCol w:w="1116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3288" w:type="dxa"/>
            <w:gridSpan w:val="2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考核要素</w:t>
            </w:r>
          </w:p>
        </w:tc>
        <w:tc>
          <w:tcPr>
            <w:tcW w:w="8076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考核要求</w:t>
            </w:r>
          </w:p>
        </w:tc>
        <w:tc>
          <w:tcPr>
            <w:tcW w:w="2184" w:type="dxa"/>
            <w:gridSpan w:val="2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所占分值比例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jc w:val="center"/>
        </w:trPr>
        <w:tc>
          <w:tcPr>
            <w:tcW w:w="1043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期末成绩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期末考试</w:t>
            </w:r>
          </w:p>
        </w:tc>
        <w:tc>
          <w:tcPr>
            <w:tcW w:w="8076" w:type="dxa"/>
            <w:vAlign w:val="center"/>
          </w:tcPr>
          <w:p>
            <w:pPr>
              <w:numPr>
                <w:ilvl w:val="0"/>
                <w:numId w:val="65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采用闭卷或者“一页开卷”形式。一页开卷纸不能打印、复印，只能手写，正反面均可用，须写上姓名与学号，与试卷一起提交存档。一页开卷纸不符合要求或缺少，考试成绩无效。</w:t>
            </w:r>
          </w:p>
          <w:p>
            <w:pPr>
              <w:numPr>
                <w:ilvl w:val="0"/>
                <w:numId w:val="65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试题中填空</w:t>
            </w:r>
            <w:r>
              <w:rPr>
                <w:rFonts w:hAnsi="宋体"/>
                <w:sz w:val="18"/>
                <w:szCs w:val="18"/>
              </w:rPr>
              <w:t>、</w:t>
            </w:r>
            <w:r>
              <w:rPr>
                <w:rFonts w:hint="eastAsia" w:hAnsi="宋体"/>
                <w:sz w:val="18"/>
                <w:szCs w:val="18"/>
              </w:rPr>
              <w:t>选择</w:t>
            </w:r>
            <w:r>
              <w:rPr>
                <w:rFonts w:hAnsi="宋体"/>
                <w:sz w:val="18"/>
                <w:szCs w:val="18"/>
              </w:rPr>
              <w:t>、</w:t>
            </w:r>
            <w:r>
              <w:rPr>
                <w:rFonts w:hint="eastAsia" w:hAnsi="宋体"/>
                <w:sz w:val="18"/>
                <w:szCs w:val="18"/>
              </w:rPr>
              <w:t>判断</w:t>
            </w:r>
            <w:r>
              <w:rPr>
                <w:rFonts w:hAnsi="宋体"/>
                <w:sz w:val="18"/>
                <w:szCs w:val="18"/>
              </w:rPr>
              <w:t>、</w:t>
            </w:r>
            <w:r>
              <w:rPr>
                <w:rFonts w:hint="eastAsia" w:hAnsi="宋体"/>
                <w:sz w:val="18"/>
                <w:szCs w:val="18"/>
              </w:rPr>
              <w:t>名词</w:t>
            </w:r>
            <w:r>
              <w:rPr>
                <w:rFonts w:hAnsi="宋体"/>
                <w:sz w:val="18"/>
                <w:szCs w:val="18"/>
              </w:rPr>
              <w:t>解释等基础性</w:t>
            </w:r>
            <w:r>
              <w:rPr>
                <w:rFonts w:hint="eastAsia" w:hAnsi="宋体"/>
                <w:sz w:val="18"/>
                <w:szCs w:val="18"/>
              </w:rPr>
              <w:t>、记忆性题目</w:t>
            </w:r>
            <w:r>
              <w:rPr>
                <w:rFonts w:hAnsi="宋体"/>
                <w:sz w:val="18"/>
                <w:szCs w:val="18"/>
              </w:rPr>
              <w:t>比例</w:t>
            </w:r>
            <w:r>
              <w:rPr>
                <w:rFonts w:hint="eastAsia" w:hAnsi="宋体"/>
                <w:sz w:val="18"/>
                <w:szCs w:val="18"/>
              </w:rPr>
              <w:t>不超过30%</w:t>
            </w:r>
            <w:r>
              <w:rPr>
                <w:rFonts w:hAnsi="宋体"/>
                <w:sz w:val="18"/>
                <w:szCs w:val="18"/>
              </w:rPr>
              <w:t>，</w:t>
            </w:r>
            <w:r>
              <w:rPr>
                <w:rFonts w:hint="eastAsia" w:hAnsi="宋体"/>
                <w:sz w:val="18"/>
                <w:szCs w:val="18"/>
              </w:rPr>
              <w:t>提高性和</w:t>
            </w:r>
            <w:r>
              <w:rPr>
                <w:rFonts w:hAnsi="宋体"/>
                <w:sz w:val="18"/>
                <w:szCs w:val="18"/>
              </w:rPr>
              <w:t>综合性题目的比例</w:t>
            </w:r>
            <w:r>
              <w:rPr>
                <w:rFonts w:hint="eastAsia" w:hAnsi="宋体"/>
                <w:sz w:val="18"/>
                <w:szCs w:val="18"/>
              </w:rPr>
              <w:t>不低于50%</w:t>
            </w:r>
            <w:r>
              <w:rPr>
                <w:rFonts w:hAnsi="宋体"/>
                <w:sz w:val="18"/>
                <w:szCs w:val="18"/>
              </w:rPr>
              <w:t>，</w:t>
            </w:r>
            <w:r>
              <w:rPr>
                <w:rFonts w:hint="eastAsia" w:hAnsi="宋体"/>
                <w:sz w:val="18"/>
                <w:szCs w:val="18"/>
              </w:rPr>
              <w:t>重在</w:t>
            </w:r>
            <w:r>
              <w:rPr>
                <w:rFonts w:hAnsi="宋体"/>
                <w:sz w:val="18"/>
                <w:szCs w:val="18"/>
              </w:rPr>
              <w:t>考查学生</w:t>
            </w:r>
            <w:r>
              <w:rPr>
                <w:rFonts w:hint="eastAsia" w:hAnsi="宋体"/>
                <w:sz w:val="18"/>
                <w:szCs w:val="18"/>
              </w:rPr>
              <w:t>运用</w:t>
            </w:r>
            <w:r>
              <w:rPr>
                <w:rFonts w:hAnsi="宋体"/>
                <w:sz w:val="18"/>
                <w:szCs w:val="18"/>
              </w:rPr>
              <w:t>知识</w:t>
            </w:r>
            <w:r>
              <w:rPr>
                <w:rFonts w:hint="eastAsia" w:hAnsi="宋体"/>
                <w:sz w:val="18"/>
                <w:szCs w:val="18"/>
              </w:rPr>
              <w:t>分析和</w:t>
            </w:r>
            <w:r>
              <w:rPr>
                <w:rFonts w:hAnsi="宋体"/>
                <w:sz w:val="18"/>
                <w:szCs w:val="18"/>
              </w:rPr>
              <w:t>解决</w:t>
            </w:r>
            <w:r>
              <w:rPr>
                <w:rFonts w:hint="eastAsia" w:hAnsi="宋体"/>
                <w:sz w:val="18"/>
                <w:szCs w:val="18"/>
              </w:rPr>
              <w:t>复杂</w:t>
            </w:r>
            <w:r>
              <w:rPr>
                <w:rFonts w:hAnsi="宋体"/>
                <w:sz w:val="18"/>
                <w:szCs w:val="18"/>
              </w:rPr>
              <w:t>工程问题的能力。</w:t>
            </w:r>
          </w:p>
        </w:tc>
        <w:tc>
          <w:tcPr>
            <w:tcW w:w="1116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50%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043" w:type="dxa"/>
            <w:vMerge w:val="restart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平时成绩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作业</w:t>
            </w:r>
          </w:p>
        </w:tc>
        <w:tc>
          <w:tcPr>
            <w:tcW w:w="8076" w:type="dxa"/>
            <w:vAlign w:val="center"/>
          </w:tcPr>
          <w:p>
            <w:pPr>
              <w:numPr>
                <w:ilvl w:val="0"/>
                <w:numId w:val="66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教师针</w:t>
            </w:r>
            <w:r>
              <w:rPr>
                <w:rFonts w:hint="eastAsia" w:hAnsi="宋体"/>
                <w:sz w:val="18"/>
                <w:szCs w:val="18"/>
              </w:rPr>
              <w:t>对</w:t>
            </w:r>
            <w:r>
              <w:rPr>
                <w:rFonts w:hAnsi="宋体"/>
                <w:sz w:val="18"/>
                <w:szCs w:val="18"/>
              </w:rPr>
              <w:t>某些</w:t>
            </w:r>
            <w:r>
              <w:rPr>
                <w:rFonts w:hint="eastAsia" w:hAnsi="宋体"/>
                <w:sz w:val="18"/>
                <w:szCs w:val="18"/>
              </w:rPr>
              <w:t>知识模块布置</w:t>
            </w:r>
            <w:r>
              <w:rPr>
                <w:rFonts w:hAnsi="宋体"/>
                <w:sz w:val="18"/>
                <w:szCs w:val="18"/>
              </w:rPr>
              <w:t>一定数量的</w:t>
            </w:r>
            <w:r>
              <w:rPr>
                <w:rFonts w:hint="eastAsia" w:hAnsi="宋体"/>
                <w:sz w:val="18"/>
                <w:szCs w:val="18"/>
              </w:rPr>
              <w:t>课后作业或课外</w:t>
            </w:r>
            <w:r>
              <w:rPr>
                <w:rFonts w:hAnsi="宋体"/>
                <w:sz w:val="18"/>
                <w:szCs w:val="18"/>
              </w:rPr>
              <w:t>思考题</w:t>
            </w:r>
            <w:r>
              <w:rPr>
                <w:rFonts w:hint="eastAsia" w:hAnsi="宋体"/>
                <w:sz w:val="18"/>
                <w:szCs w:val="18"/>
              </w:rPr>
              <w:t>，以</w:t>
            </w:r>
            <w:r>
              <w:rPr>
                <w:rFonts w:hAnsi="宋体"/>
                <w:sz w:val="18"/>
                <w:szCs w:val="18"/>
              </w:rPr>
              <w:t>巩固知识</w:t>
            </w:r>
            <w:r>
              <w:rPr>
                <w:rFonts w:hint="eastAsia" w:hAnsi="宋体"/>
                <w:sz w:val="18"/>
                <w:szCs w:val="18"/>
              </w:rPr>
              <w:t>或</w:t>
            </w:r>
            <w:r>
              <w:rPr>
                <w:rFonts w:hAnsi="宋体"/>
                <w:sz w:val="18"/>
                <w:szCs w:val="18"/>
              </w:rPr>
              <w:t>拓展思维</w:t>
            </w:r>
            <w:r>
              <w:rPr>
                <w:rFonts w:hint="eastAsia" w:hAnsi="宋体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66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对每次平时作业进行打分。</w:t>
            </w:r>
          </w:p>
        </w:tc>
        <w:tc>
          <w:tcPr>
            <w:tcW w:w="1116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20%</w:t>
            </w:r>
          </w:p>
        </w:tc>
        <w:tc>
          <w:tcPr>
            <w:tcW w:w="1068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jc w:val="center"/>
        </w:trPr>
        <w:tc>
          <w:tcPr>
            <w:tcW w:w="1043" w:type="dxa"/>
            <w:vMerge w:val="continue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实验</w:t>
            </w:r>
          </w:p>
        </w:tc>
        <w:tc>
          <w:tcPr>
            <w:tcW w:w="8076" w:type="dxa"/>
            <w:vAlign w:val="center"/>
          </w:tcPr>
          <w:p>
            <w:pPr>
              <w:numPr>
                <w:ilvl w:val="0"/>
                <w:numId w:val="67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课程设置2-4次课外或者课内实验。</w:t>
            </w:r>
          </w:p>
          <w:p>
            <w:pPr>
              <w:numPr>
                <w:ilvl w:val="0"/>
                <w:numId w:val="67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每次实验前需要预习、查阅文献与资料、讨论实验方案和实现策略。</w:t>
            </w:r>
          </w:p>
          <w:p>
            <w:pPr>
              <w:numPr>
                <w:ilvl w:val="0"/>
                <w:numId w:val="67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实验要求</w:t>
            </w:r>
            <w:r>
              <w:rPr>
                <w:rFonts w:hAnsi="宋体"/>
                <w:sz w:val="18"/>
                <w:szCs w:val="18"/>
              </w:rPr>
              <w:t>综合运用计算机科学和工程技术完成实验设计、实施，并对实验结果进行分析。</w:t>
            </w:r>
          </w:p>
        </w:tc>
        <w:tc>
          <w:tcPr>
            <w:tcW w:w="1116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20%</w:t>
            </w:r>
          </w:p>
        </w:tc>
        <w:tc>
          <w:tcPr>
            <w:tcW w:w="1068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043" w:type="dxa"/>
            <w:vMerge w:val="continue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课堂</w:t>
            </w:r>
            <w:r>
              <w:rPr>
                <w:rFonts w:hAnsi="宋体"/>
                <w:sz w:val="18"/>
                <w:szCs w:val="18"/>
              </w:rPr>
              <w:t>讨论</w:t>
            </w:r>
          </w:p>
        </w:tc>
        <w:tc>
          <w:tcPr>
            <w:tcW w:w="8076" w:type="dxa"/>
            <w:vAlign w:val="center"/>
          </w:tcPr>
          <w:p>
            <w:pPr>
              <w:numPr>
                <w:ilvl w:val="0"/>
                <w:numId w:val="68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学生课内课外以小组的形式，自学部分课程内容，进行分析、研讨、总结和课堂汇报。</w:t>
            </w:r>
          </w:p>
          <w:p>
            <w:pPr>
              <w:numPr>
                <w:ilvl w:val="0"/>
                <w:numId w:val="68"/>
              </w:numPr>
              <w:spacing w:line="300" w:lineRule="auto"/>
              <w:ind w:left="225" w:hanging="225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该环节重点</w:t>
            </w:r>
            <w:r>
              <w:rPr>
                <w:rFonts w:hAnsi="宋体"/>
                <w:sz w:val="18"/>
                <w:szCs w:val="18"/>
              </w:rPr>
              <w:t>考察学生的自学能力、</w:t>
            </w:r>
            <w:r>
              <w:rPr>
                <w:rFonts w:hint="eastAsia" w:hAnsi="宋体"/>
                <w:sz w:val="18"/>
                <w:szCs w:val="18"/>
              </w:rPr>
              <w:t>终身学习意识、语言表达能力和团队</w:t>
            </w:r>
            <w:r>
              <w:rPr>
                <w:rFonts w:hAnsi="宋体"/>
                <w:sz w:val="18"/>
                <w:szCs w:val="18"/>
              </w:rPr>
              <w:t>协作能力</w:t>
            </w:r>
            <w:r>
              <w:rPr>
                <w:rFonts w:hint="eastAsia" w:hAnsi="宋体"/>
                <w:sz w:val="18"/>
                <w:szCs w:val="18"/>
              </w:rPr>
              <w:t>。</w:t>
            </w:r>
          </w:p>
        </w:tc>
        <w:tc>
          <w:tcPr>
            <w:tcW w:w="1116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10%</w:t>
            </w:r>
          </w:p>
        </w:tc>
        <w:tc>
          <w:tcPr>
            <w:tcW w:w="1068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13" w:type="dxa"/>
            <w:bottom w:w="113" w:type="dxa"/>
            <w:right w:w="113" w:type="dxa"/>
          </w:tblCellMar>
        </w:tblPrEx>
        <w:trPr>
          <w:trHeight w:val="397" w:hRule="atLeast"/>
          <w:jc w:val="center"/>
        </w:trPr>
        <w:tc>
          <w:tcPr>
            <w:tcW w:w="12480" w:type="dxa"/>
            <w:gridSpan w:val="4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合计</w:t>
            </w:r>
          </w:p>
        </w:tc>
        <w:tc>
          <w:tcPr>
            <w:tcW w:w="1068" w:type="dxa"/>
            <w:vAlign w:val="center"/>
          </w:tcPr>
          <w:p>
            <w:pPr>
              <w:spacing w:line="30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100%</w:t>
            </w:r>
          </w:p>
        </w:tc>
      </w:tr>
    </w:tbl>
    <w:p>
      <w:pPr>
        <w:pStyle w:val="3"/>
        <w:spacing w:line="400" w:lineRule="exact"/>
        <w:ind w:firstLine="0" w:firstLineChars="0"/>
        <w:rPr>
          <w:color w:val="000000"/>
          <w:szCs w:val="21"/>
        </w:rPr>
      </w:pPr>
    </w:p>
    <w:p>
      <w:pPr>
        <w:adjustRightInd w:val="0"/>
        <w:snapToGrid w:val="0"/>
        <w:spacing w:before="120" w:after="120" w:line="40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五、教材</w:t>
      </w:r>
      <w:r>
        <w:rPr>
          <w:rFonts w:ascii="宋体" w:hAnsi="宋体"/>
          <w:b/>
          <w:sz w:val="24"/>
        </w:rPr>
        <w:t>、课程网址</w:t>
      </w:r>
      <w:r>
        <w:rPr>
          <w:rFonts w:hint="eastAsia" w:ascii="宋体" w:hAnsi="宋体"/>
          <w:b/>
          <w:sz w:val="24"/>
        </w:rPr>
        <w:t>及参考书目</w:t>
      </w:r>
    </w:p>
    <w:p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教  材：</w:t>
      </w:r>
    </w:p>
    <w:p>
      <w:pPr>
        <w:adjustRightInd w:val="0"/>
        <w:snapToGrid w:val="0"/>
        <w:spacing w:line="300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color w:val="000000" w:themeColor="text1"/>
          <w:szCs w:val="21"/>
        </w:rPr>
        <w:t>编译原理》，蒋宗礼、姜守旭，高等教育出版社，2</w:t>
      </w:r>
      <w:r>
        <w:rPr>
          <w:color w:val="000000" w:themeColor="text1"/>
          <w:szCs w:val="21"/>
        </w:rPr>
        <w:t>017.08，第二版</w:t>
      </w:r>
    </w:p>
    <w:p>
      <w:pPr>
        <w:adjustRightInd w:val="0"/>
        <w:snapToGrid w:val="0"/>
        <w:spacing w:line="30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参考书：</w:t>
      </w:r>
    </w:p>
    <w:p>
      <w:pPr>
        <w:adjustRightInd w:val="0"/>
        <w:snapToGrid w:val="0"/>
        <w:spacing w:line="300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]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szCs w:val="21"/>
        </w:rPr>
        <w:t>《</w:t>
      </w:r>
      <w:r>
        <w:rPr>
          <w:color w:val="000000" w:themeColor="text1"/>
          <w:szCs w:val="21"/>
        </w:rPr>
        <w:t>编译原理</w:t>
      </w:r>
      <w:r>
        <w:rPr>
          <w:rFonts w:hint="eastAsia"/>
          <w:color w:val="000000" w:themeColor="text1"/>
          <w:szCs w:val="21"/>
        </w:rPr>
        <w:t>》</w:t>
      </w:r>
      <w:r>
        <w:rPr>
          <w:color w:val="000000" w:themeColor="text1"/>
          <w:szCs w:val="21"/>
        </w:rPr>
        <w:t>，张素琴, 吕映芝等，清华大学出版社，2015.06，第三版</w:t>
      </w:r>
    </w:p>
    <w:p>
      <w:pPr>
        <w:adjustRightInd w:val="0"/>
        <w:snapToGrid w:val="0"/>
        <w:spacing w:line="300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 xml:space="preserve">2] </w:t>
      </w:r>
      <w:r>
        <w:rPr>
          <w:rFonts w:hint="eastAsia"/>
          <w:szCs w:val="21"/>
        </w:rPr>
        <w:t>《</w:t>
      </w:r>
      <w:r>
        <w:rPr>
          <w:color w:val="000000" w:themeColor="text1"/>
          <w:szCs w:val="21"/>
        </w:rPr>
        <w:t>程序设计语言编译原理</w:t>
      </w:r>
      <w:r>
        <w:rPr>
          <w:rFonts w:hint="eastAsia"/>
          <w:color w:val="000000" w:themeColor="text1"/>
          <w:szCs w:val="21"/>
        </w:rPr>
        <w:t>》</w:t>
      </w:r>
      <w:r>
        <w:rPr>
          <w:color w:val="000000" w:themeColor="text1"/>
          <w:kern w:val="0"/>
          <w:szCs w:val="21"/>
        </w:rPr>
        <w:t>，陈火旺、刘春林等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kern w:val="0"/>
          <w:szCs w:val="21"/>
        </w:rPr>
        <w:t>国防工业出版社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kern w:val="0"/>
          <w:szCs w:val="21"/>
        </w:rPr>
        <w:t>2014.12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kern w:val="0"/>
          <w:szCs w:val="21"/>
        </w:rPr>
        <w:t>第三版</w:t>
      </w:r>
    </w:p>
    <w:p>
      <w:pPr>
        <w:adjustRightInd w:val="0"/>
        <w:snapToGrid w:val="0"/>
        <w:spacing w:line="300" w:lineRule="auto"/>
        <w:ind w:firstLine="420" w:firstLineChars="20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]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szCs w:val="21"/>
        </w:rPr>
        <w:t>《</w:t>
      </w:r>
      <w:r>
        <w:rPr>
          <w:bCs/>
          <w:color w:val="000000" w:themeColor="text1"/>
          <w:szCs w:val="21"/>
        </w:rPr>
        <w:t>Compilers: Principles, Techniques, and Tools</w:t>
      </w:r>
      <w:r>
        <w:rPr>
          <w:rFonts w:hint="eastAsia"/>
          <w:color w:val="000000" w:themeColor="text1"/>
          <w:szCs w:val="21"/>
        </w:rPr>
        <w:t>》</w:t>
      </w:r>
      <w:r>
        <w:rPr>
          <w:color w:val="000000" w:themeColor="text1"/>
          <w:szCs w:val="21"/>
        </w:rPr>
        <w:t>，Alfred V. Aho 等，机械工业出版社，2011.01，第二版</w:t>
      </w: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执笔者：张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端</w:t>
      </w: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审核者：</w:t>
      </w:r>
      <w:r>
        <w:rPr>
          <w:b/>
          <w:sz w:val="24"/>
        </w:rPr>
        <w:t>田贤忠</w:t>
      </w:r>
    </w:p>
    <w:p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课程教学团队成员：</w:t>
      </w:r>
      <w:r>
        <w:rPr>
          <w:b/>
          <w:sz w:val="24"/>
        </w:rPr>
        <w:t>吕慧强、陈敏智、程振波、夏列刚、</w:t>
      </w:r>
      <w:r>
        <w:rPr>
          <w:rFonts w:hint="eastAsia"/>
          <w:b/>
          <w:sz w:val="24"/>
        </w:rPr>
        <w:t>产思贤</w:t>
      </w:r>
      <w:r>
        <w:rPr>
          <w:b/>
          <w:sz w:val="24"/>
        </w:rPr>
        <w:t>、张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端</w:t>
      </w: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p>
      <w:pPr>
        <w:adjustRightInd w:val="0"/>
        <w:snapToGrid w:val="0"/>
        <w:spacing w:line="300" w:lineRule="auto"/>
        <w:rPr>
          <w:b/>
          <w:sz w:val="24"/>
        </w:rPr>
      </w:pPr>
    </w:p>
    <w:sectPr>
      <w:footerReference r:id="rId5" w:type="even"/>
      <w:pgSz w:w="16838" w:h="11906" w:orient="landscape"/>
      <w:pgMar w:top="1106" w:right="1440" w:bottom="1259" w:left="1089" w:header="851" w:footer="992" w:gutter="0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执行力" w:date="2020-09-04T14:25:00Z" w:initials="">
    <w:p w14:paraId="36F3538F">
      <w:pPr>
        <w:pStyle w:val="4"/>
      </w:pPr>
      <w:r>
        <w:rPr>
          <w:rFonts w:hint="eastAsia"/>
        </w:rPr>
        <w:t>深入挖掘课程的思政元素，引导学生的态度、人生观和价值观。</w:t>
      </w:r>
    </w:p>
  </w:comment>
  <w:comment w:id="1" w:author="执行力" w:date="2020-09-04T14:34:00Z" w:initials="">
    <w:p w14:paraId="6F2A430B">
      <w:pPr>
        <w:pStyle w:val="4"/>
      </w:pPr>
      <w:r>
        <w:rPr>
          <w:rFonts w:hint="eastAsia"/>
        </w:rPr>
        <w:t>当多个课程目标支撑同一毕业要求指标点时，需要根据情况区分其支撑权重。例如：在本门课中，课程目标2和课程目标3对毕业要求指标点3-3的支撑权重分别是0.6和0.4。</w:t>
      </w:r>
    </w:p>
  </w:comment>
  <w:comment w:id="2" w:author="执行力" w:date="2020-09-09T10:51:00Z" w:initials="">
    <w:p w14:paraId="3A6D6008">
      <w:pPr>
        <w:pStyle w:val="4"/>
      </w:pPr>
      <w:r>
        <w:rPr>
          <w:rFonts w:hint="eastAsia"/>
        </w:rPr>
        <w:t>不要随意打勾，同一门课程的老师需要商量好，共同决定。这些和后期的出卷、成绩评判以及期末交的审核表、支撑表、达成度计算等息息相关，需要所有材料前后一致，请务必慎重考虑。</w:t>
      </w:r>
    </w:p>
  </w:comment>
  <w:comment w:id="3" w:author="执行力" w:date="2020-09-09T11:45:00Z" w:initials="">
    <w:p w14:paraId="6C2E3E33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 xml:space="preserve"> 平时成绩不低于3项，每项均要可考核、可量化，且有支撑材料。拿不出支撑材料或者可靠依据的考核项不建议放在表中。</w:t>
      </w:r>
    </w:p>
    <w:p w14:paraId="50031FC8">
      <w:pPr>
        <w:pStyle w:val="4"/>
      </w:pPr>
    </w:p>
    <w:p w14:paraId="6F651329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 xml:space="preserve"> 考勤不算在平时成绩里。</w:t>
      </w:r>
    </w:p>
    <w:p w14:paraId="2A67461B">
      <w:pPr>
        <w:pStyle w:val="4"/>
      </w:pPr>
    </w:p>
    <w:p w14:paraId="63320426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 xml:space="preserve"> 表格中的“自主学习”是《微机接口技术》课程的具体要求，各位老师可根据自身情况来决定考核要素，不一定要模仿此表的考核要素。</w:t>
      </w:r>
    </w:p>
    <w:p w14:paraId="3A4540A2">
      <w:pPr>
        <w:pStyle w:val="4"/>
      </w:pPr>
    </w:p>
    <w:p w14:paraId="09C85275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 xml:space="preserve"> 3.1理论教学安排表中最后一列的“其他任务（自学/讨论）”与本表的“自主学习”没有必然联系，3.1表中的是必须要有的，而此表中的“自主学习”是《微机接口技术》任课老师自定的。如果任课教师不考核学生自学效果，在考核要素就不需要体现“自主学习”这一项，换成其它项即可。</w:t>
      </w:r>
    </w:p>
    <w:p w14:paraId="00797698">
      <w:pPr>
        <w:pStyle w:val="4"/>
      </w:pPr>
    </w:p>
    <w:p w14:paraId="00F817D5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 xml:space="preserve"> 考核要求老师们自定。此模板仅给出样例。</w:t>
      </w:r>
    </w:p>
    <w:p w14:paraId="507F0D5A">
      <w:pPr>
        <w:pStyle w:val="4"/>
      </w:pPr>
    </w:p>
    <w:p w14:paraId="38474F1F">
      <w:pPr>
        <w:pStyle w:val="4"/>
        <w:numPr>
          <w:ilvl w:val="0"/>
          <w:numId w:val="1"/>
        </w:numPr>
        <w:ind w:firstLine="420"/>
      </w:pPr>
      <w:r>
        <w:rPr>
          <w:rFonts w:hint="eastAsia"/>
        </w:rPr>
        <w:t>同一门课的考核方式及标准需要统一，建议任课老师共同商议好再定。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F3538F" w15:done="0"/>
  <w15:commentEx w15:paraId="6F2A430B" w15:done="0"/>
  <w15:commentEx w15:paraId="3A6D6008" w15:done="0"/>
  <w15:commentEx w15:paraId="38474F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7C853"/>
    <w:multiLevelType w:val="singleLevel"/>
    <w:tmpl w:val="9977C8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C7CB301"/>
    <w:multiLevelType w:val="singleLevel"/>
    <w:tmpl w:val="DC7CB3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E869EB6"/>
    <w:multiLevelType w:val="singleLevel"/>
    <w:tmpl w:val="DE869E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3AE5F9A"/>
    <w:multiLevelType w:val="multilevel"/>
    <w:tmpl w:val="03AE5F9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2C246A"/>
    <w:multiLevelType w:val="multilevel"/>
    <w:tmpl w:val="052C246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8D2C26"/>
    <w:multiLevelType w:val="multilevel"/>
    <w:tmpl w:val="058D2C26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793DE6"/>
    <w:multiLevelType w:val="multilevel"/>
    <w:tmpl w:val="08793DE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B423F5"/>
    <w:multiLevelType w:val="multilevel"/>
    <w:tmpl w:val="08B423F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A494269"/>
    <w:multiLevelType w:val="multilevel"/>
    <w:tmpl w:val="0A49426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741425"/>
    <w:multiLevelType w:val="multilevel"/>
    <w:tmpl w:val="0B74142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AA2FA2"/>
    <w:multiLevelType w:val="multilevel"/>
    <w:tmpl w:val="0BAA2FA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1279FD"/>
    <w:multiLevelType w:val="multilevel"/>
    <w:tmpl w:val="0E1279F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1790410"/>
    <w:multiLevelType w:val="multilevel"/>
    <w:tmpl w:val="1179041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C40619"/>
    <w:multiLevelType w:val="multilevel"/>
    <w:tmpl w:val="13C4061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F51DE5"/>
    <w:multiLevelType w:val="multilevel"/>
    <w:tmpl w:val="14F51DE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BD264C"/>
    <w:multiLevelType w:val="multilevel"/>
    <w:tmpl w:val="15BD264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77064CC"/>
    <w:multiLevelType w:val="multilevel"/>
    <w:tmpl w:val="177064C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C470BC7"/>
    <w:multiLevelType w:val="multilevel"/>
    <w:tmpl w:val="1C470BC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8E6ADC"/>
    <w:multiLevelType w:val="multilevel"/>
    <w:tmpl w:val="1E8E6AD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FD2773E"/>
    <w:multiLevelType w:val="multilevel"/>
    <w:tmpl w:val="1FD2773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0785884"/>
    <w:multiLevelType w:val="multilevel"/>
    <w:tmpl w:val="2078588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50B5FC8"/>
    <w:multiLevelType w:val="multilevel"/>
    <w:tmpl w:val="250B5FC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86D2407"/>
    <w:multiLevelType w:val="multilevel"/>
    <w:tmpl w:val="286D2407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FC96F25"/>
    <w:multiLevelType w:val="multilevel"/>
    <w:tmpl w:val="2FC96F2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0CE1B04"/>
    <w:multiLevelType w:val="multilevel"/>
    <w:tmpl w:val="30CE1B04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28C6EB4"/>
    <w:multiLevelType w:val="multilevel"/>
    <w:tmpl w:val="328C6EB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58200B3"/>
    <w:multiLevelType w:val="multilevel"/>
    <w:tmpl w:val="358200B3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CA0E39"/>
    <w:multiLevelType w:val="multilevel"/>
    <w:tmpl w:val="37CA0E39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E76894"/>
    <w:multiLevelType w:val="multilevel"/>
    <w:tmpl w:val="3AE7689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DF47A22"/>
    <w:multiLevelType w:val="multilevel"/>
    <w:tmpl w:val="3DF47A22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0262093"/>
    <w:multiLevelType w:val="multilevel"/>
    <w:tmpl w:val="40262093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2D77FF8"/>
    <w:multiLevelType w:val="multilevel"/>
    <w:tmpl w:val="42D77FF8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394583B"/>
    <w:multiLevelType w:val="multilevel"/>
    <w:tmpl w:val="4394583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56318C6"/>
    <w:multiLevelType w:val="multilevel"/>
    <w:tmpl w:val="456318C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6C0738B"/>
    <w:multiLevelType w:val="multilevel"/>
    <w:tmpl w:val="46C0738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7B81610"/>
    <w:multiLevelType w:val="multilevel"/>
    <w:tmpl w:val="47B8161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675A7D"/>
    <w:multiLevelType w:val="multilevel"/>
    <w:tmpl w:val="48675A7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A55277B"/>
    <w:multiLevelType w:val="singleLevel"/>
    <w:tmpl w:val="4A5527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4A86450C"/>
    <w:multiLevelType w:val="multilevel"/>
    <w:tmpl w:val="4A86450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B4E2C00"/>
    <w:multiLevelType w:val="multilevel"/>
    <w:tmpl w:val="4B4E2C0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01632E5"/>
    <w:multiLevelType w:val="multilevel"/>
    <w:tmpl w:val="501632E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8D6DFD"/>
    <w:multiLevelType w:val="multilevel"/>
    <w:tmpl w:val="508D6DF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4A3EBD"/>
    <w:multiLevelType w:val="multilevel"/>
    <w:tmpl w:val="514A3EB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1597A2E"/>
    <w:multiLevelType w:val="multilevel"/>
    <w:tmpl w:val="51597A2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EE1FE8"/>
    <w:multiLevelType w:val="multilevel"/>
    <w:tmpl w:val="53EE1FE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48B28F0"/>
    <w:multiLevelType w:val="multilevel"/>
    <w:tmpl w:val="548B28F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76B6084"/>
    <w:multiLevelType w:val="multilevel"/>
    <w:tmpl w:val="576B608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7C606BE"/>
    <w:multiLevelType w:val="multilevel"/>
    <w:tmpl w:val="57C606BE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96B1535"/>
    <w:multiLevelType w:val="multilevel"/>
    <w:tmpl w:val="596B153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BB04850"/>
    <w:multiLevelType w:val="multilevel"/>
    <w:tmpl w:val="5BB04850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F71452B"/>
    <w:multiLevelType w:val="multilevel"/>
    <w:tmpl w:val="5F71452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1AD04B1"/>
    <w:multiLevelType w:val="multilevel"/>
    <w:tmpl w:val="61AD04B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63D8D55"/>
    <w:multiLevelType w:val="singleLevel"/>
    <w:tmpl w:val="663D8D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66E103BC"/>
    <w:multiLevelType w:val="multilevel"/>
    <w:tmpl w:val="66E103BC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0919AD"/>
    <w:multiLevelType w:val="singleLevel"/>
    <w:tmpl w:val="670919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5">
    <w:nsid w:val="6890230B"/>
    <w:multiLevelType w:val="multilevel"/>
    <w:tmpl w:val="6890230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9302B62"/>
    <w:multiLevelType w:val="multilevel"/>
    <w:tmpl w:val="69302B6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A242930"/>
    <w:multiLevelType w:val="multilevel"/>
    <w:tmpl w:val="6A24293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BCE7EE9"/>
    <w:multiLevelType w:val="multilevel"/>
    <w:tmpl w:val="6BCE7EE9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D924307"/>
    <w:multiLevelType w:val="multilevel"/>
    <w:tmpl w:val="6D924307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EBD2934"/>
    <w:multiLevelType w:val="multilevel"/>
    <w:tmpl w:val="6EBD293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F875AF4"/>
    <w:multiLevelType w:val="multilevel"/>
    <w:tmpl w:val="6F875AF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085727A"/>
    <w:multiLevelType w:val="multilevel"/>
    <w:tmpl w:val="7085727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55A60E1"/>
    <w:multiLevelType w:val="multilevel"/>
    <w:tmpl w:val="755A60E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7887EF6"/>
    <w:multiLevelType w:val="multilevel"/>
    <w:tmpl w:val="77887EF6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7E55516"/>
    <w:multiLevelType w:val="multilevel"/>
    <w:tmpl w:val="77E55516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F5819DD"/>
    <w:multiLevelType w:val="multilevel"/>
    <w:tmpl w:val="7F5819D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FF64D41"/>
    <w:multiLevelType w:val="multilevel"/>
    <w:tmpl w:val="7FF64D4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0"/>
  </w:num>
  <w:num w:numId="3">
    <w:abstractNumId w:val="30"/>
  </w:num>
  <w:num w:numId="4">
    <w:abstractNumId w:val="41"/>
  </w:num>
  <w:num w:numId="5">
    <w:abstractNumId w:val="47"/>
  </w:num>
  <w:num w:numId="6">
    <w:abstractNumId w:val="26"/>
  </w:num>
  <w:num w:numId="7">
    <w:abstractNumId w:val="33"/>
  </w:num>
  <w:num w:numId="8">
    <w:abstractNumId w:val="28"/>
  </w:num>
  <w:num w:numId="9">
    <w:abstractNumId w:val="45"/>
  </w:num>
  <w:num w:numId="10">
    <w:abstractNumId w:val="39"/>
  </w:num>
  <w:num w:numId="11">
    <w:abstractNumId w:val="57"/>
  </w:num>
  <w:num w:numId="12">
    <w:abstractNumId w:val="32"/>
  </w:num>
  <w:num w:numId="13">
    <w:abstractNumId w:val="65"/>
  </w:num>
  <w:num w:numId="14">
    <w:abstractNumId w:val="11"/>
  </w:num>
  <w:num w:numId="15">
    <w:abstractNumId w:val="21"/>
  </w:num>
  <w:num w:numId="16">
    <w:abstractNumId w:val="18"/>
  </w:num>
  <w:num w:numId="17">
    <w:abstractNumId w:val="42"/>
  </w:num>
  <w:num w:numId="18">
    <w:abstractNumId w:val="8"/>
  </w:num>
  <w:num w:numId="19">
    <w:abstractNumId w:val="7"/>
  </w:num>
  <w:num w:numId="20">
    <w:abstractNumId w:val="24"/>
  </w:num>
  <w:num w:numId="21">
    <w:abstractNumId w:val="23"/>
  </w:num>
  <w:num w:numId="22">
    <w:abstractNumId w:val="40"/>
  </w:num>
  <w:num w:numId="23">
    <w:abstractNumId w:val="4"/>
  </w:num>
  <w:num w:numId="24">
    <w:abstractNumId w:val="29"/>
  </w:num>
  <w:num w:numId="25">
    <w:abstractNumId w:val="38"/>
  </w:num>
  <w:num w:numId="26">
    <w:abstractNumId w:val="59"/>
  </w:num>
  <w:num w:numId="27">
    <w:abstractNumId w:val="67"/>
  </w:num>
  <w:num w:numId="28">
    <w:abstractNumId w:val="6"/>
  </w:num>
  <w:num w:numId="29">
    <w:abstractNumId w:val="49"/>
  </w:num>
  <w:num w:numId="30">
    <w:abstractNumId w:val="64"/>
  </w:num>
  <w:num w:numId="31">
    <w:abstractNumId w:val="51"/>
  </w:num>
  <w:num w:numId="32">
    <w:abstractNumId w:val="20"/>
  </w:num>
  <w:num w:numId="33">
    <w:abstractNumId w:val="15"/>
  </w:num>
  <w:num w:numId="34">
    <w:abstractNumId w:val="58"/>
  </w:num>
  <w:num w:numId="35">
    <w:abstractNumId w:val="16"/>
  </w:num>
  <w:num w:numId="36">
    <w:abstractNumId w:val="25"/>
  </w:num>
  <w:num w:numId="37">
    <w:abstractNumId w:val="43"/>
  </w:num>
  <w:num w:numId="38">
    <w:abstractNumId w:val="13"/>
  </w:num>
  <w:num w:numId="39">
    <w:abstractNumId w:val="22"/>
  </w:num>
  <w:num w:numId="40">
    <w:abstractNumId w:val="44"/>
  </w:num>
  <w:num w:numId="41">
    <w:abstractNumId w:val="46"/>
  </w:num>
  <w:num w:numId="42">
    <w:abstractNumId w:val="61"/>
  </w:num>
  <w:num w:numId="43">
    <w:abstractNumId w:val="12"/>
  </w:num>
  <w:num w:numId="44">
    <w:abstractNumId w:val="5"/>
  </w:num>
  <w:num w:numId="45">
    <w:abstractNumId w:val="35"/>
  </w:num>
  <w:num w:numId="46">
    <w:abstractNumId w:val="66"/>
  </w:num>
  <w:num w:numId="47">
    <w:abstractNumId w:val="19"/>
  </w:num>
  <w:num w:numId="48">
    <w:abstractNumId w:val="14"/>
  </w:num>
  <w:num w:numId="49">
    <w:abstractNumId w:val="50"/>
  </w:num>
  <w:num w:numId="50">
    <w:abstractNumId w:val="53"/>
  </w:num>
  <w:num w:numId="51">
    <w:abstractNumId w:val="9"/>
  </w:num>
  <w:num w:numId="52">
    <w:abstractNumId w:val="31"/>
  </w:num>
  <w:num w:numId="53">
    <w:abstractNumId w:val="3"/>
  </w:num>
  <w:num w:numId="54">
    <w:abstractNumId w:val="10"/>
  </w:num>
  <w:num w:numId="55">
    <w:abstractNumId w:val="63"/>
  </w:num>
  <w:num w:numId="56">
    <w:abstractNumId w:val="60"/>
  </w:num>
  <w:num w:numId="57">
    <w:abstractNumId w:val="48"/>
  </w:num>
  <w:num w:numId="58">
    <w:abstractNumId w:val="55"/>
  </w:num>
  <w:num w:numId="59">
    <w:abstractNumId w:val="56"/>
  </w:num>
  <w:num w:numId="60">
    <w:abstractNumId w:val="62"/>
  </w:num>
  <w:num w:numId="61">
    <w:abstractNumId w:val="36"/>
  </w:num>
  <w:num w:numId="62">
    <w:abstractNumId w:val="34"/>
  </w:num>
  <w:num w:numId="63">
    <w:abstractNumId w:val="17"/>
  </w:num>
  <w:num w:numId="64">
    <w:abstractNumId w:val="27"/>
  </w:num>
  <w:num w:numId="65">
    <w:abstractNumId w:val="54"/>
  </w:num>
  <w:num w:numId="66">
    <w:abstractNumId w:val="37"/>
  </w:num>
  <w:num w:numId="67">
    <w:abstractNumId w:val="1"/>
  </w:num>
  <w:num w:numId="6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执行力">
    <w15:presenceInfo w15:providerId="None" w15:userId="执行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46"/>
    <w:rsid w:val="00017552"/>
    <w:rsid w:val="00022897"/>
    <w:rsid w:val="00022B0F"/>
    <w:rsid w:val="00030C07"/>
    <w:rsid w:val="00044564"/>
    <w:rsid w:val="00045E6E"/>
    <w:rsid w:val="00046331"/>
    <w:rsid w:val="0005324F"/>
    <w:rsid w:val="0005718D"/>
    <w:rsid w:val="00060C77"/>
    <w:rsid w:val="000642CF"/>
    <w:rsid w:val="000654EC"/>
    <w:rsid w:val="00077FBD"/>
    <w:rsid w:val="000817BB"/>
    <w:rsid w:val="000868A2"/>
    <w:rsid w:val="000939BC"/>
    <w:rsid w:val="00093B20"/>
    <w:rsid w:val="0009695E"/>
    <w:rsid w:val="000A7423"/>
    <w:rsid w:val="000A7DE3"/>
    <w:rsid w:val="000B2F29"/>
    <w:rsid w:val="000B417D"/>
    <w:rsid w:val="000C5E12"/>
    <w:rsid w:val="000C5EFE"/>
    <w:rsid w:val="000C7527"/>
    <w:rsid w:val="000E0B58"/>
    <w:rsid w:val="000E1153"/>
    <w:rsid w:val="000E22DD"/>
    <w:rsid w:val="000E54AE"/>
    <w:rsid w:val="000F540E"/>
    <w:rsid w:val="000F6478"/>
    <w:rsid w:val="00102DAB"/>
    <w:rsid w:val="00105241"/>
    <w:rsid w:val="0010717A"/>
    <w:rsid w:val="0011480E"/>
    <w:rsid w:val="0011543B"/>
    <w:rsid w:val="00116F56"/>
    <w:rsid w:val="00124442"/>
    <w:rsid w:val="00125EA6"/>
    <w:rsid w:val="00141BD6"/>
    <w:rsid w:val="00147203"/>
    <w:rsid w:val="00150245"/>
    <w:rsid w:val="001555C8"/>
    <w:rsid w:val="0016316B"/>
    <w:rsid w:val="00163C1B"/>
    <w:rsid w:val="00163F53"/>
    <w:rsid w:val="00176FE6"/>
    <w:rsid w:val="00177E68"/>
    <w:rsid w:val="00181A2E"/>
    <w:rsid w:val="00183C62"/>
    <w:rsid w:val="0018544E"/>
    <w:rsid w:val="00185772"/>
    <w:rsid w:val="00193D6E"/>
    <w:rsid w:val="0019565A"/>
    <w:rsid w:val="00196463"/>
    <w:rsid w:val="001A0A34"/>
    <w:rsid w:val="001A65F5"/>
    <w:rsid w:val="001B5566"/>
    <w:rsid w:val="001C0E4B"/>
    <w:rsid w:val="001C570B"/>
    <w:rsid w:val="001D1EDF"/>
    <w:rsid w:val="001D230A"/>
    <w:rsid w:val="001D58D6"/>
    <w:rsid w:val="001D7070"/>
    <w:rsid w:val="001D79C7"/>
    <w:rsid w:val="001E3935"/>
    <w:rsid w:val="001E6FD7"/>
    <w:rsid w:val="001E78C8"/>
    <w:rsid w:val="001F35BD"/>
    <w:rsid w:val="001F76D3"/>
    <w:rsid w:val="00200036"/>
    <w:rsid w:val="00204CCA"/>
    <w:rsid w:val="0020754F"/>
    <w:rsid w:val="00207B58"/>
    <w:rsid w:val="002118A7"/>
    <w:rsid w:val="0021343A"/>
    <w:rsid w:val="00222E3F"/>
    <w:rsid w:val="00227DD9"/>
    <w:rsid w:val="00230E81"/>
    <w:rsid w:val="00235BD9"/>
    <w:rsid w:val="00236E2A"/>
    <w:rsid w:val="00241413"/>
    <w:rsid w:val="002420F6"/>
    <w:rsid w:val="00250C7B"/>
    <w:rsid w:val="002533F4"/>
    <w:rsid w:val="00263158"/>
    <w:rsid w:val="00273116"/>
    <w:rsid w:val="002746DE"/>
    <w:rsid w:val="00276223"/>
    <w:rsid w:val="00277410"/>
    <w:rsid w:val="0028224F"/>
    <w:rsid w:val="00292A7F"/>
    <w:rsid w:val="0029489B"/>
    <w:rsid w:val="002967A7"/>
    <w:rsid w:val="002978C7"/>
    <w:rsid w:val="002A3DBF"/>
    <w:rsid w:val="002C3367"/>
    <w:rsid w:val="002C4B7E"/>
    <w:rsid w:val="002C7C16"/>
    <w:rsid w:val="002D08F7"/>
    <w:rsid w:val="002D2B14"/>
    <w:rsid w:val="002E7D72"/>
    <w:rsid w:val="00304A0C"/>
    <w:rsid w:val="00313B7F"/>
    <w:rsid w:val="003143A7"/>
    <w:rsid w:val="00322CE1"/>
    <w:rsid w:val="00323075"/>
    <w:rsid w:val="00327B83"/>
    <w:rsid w:val="003331C8"/>
    <w:rsid w:val="0033365B"/>
    <w:rsid w:val="00334DE6"/>
    <w:rsid w:val="0034752E"/>
    <w:rsid w:val="00357E1E"/>
    <w:rsid w:val="0036075F"/>
    <w:rsid w:val="00364CD3"/>
    <w:rsid w:val="00365E45"/>
    <w:rsid w:val="00371BD7"/>
    <w:rsid w:val="00374E60"/>
    <w:rsid w:val="00377064"/>
    <w:rsid w:val="003770E1"/>
    <w:rsid w:val="00390FF4"/>
    <w:rsid w:val="003924A4"/>
    <w:rsid w:val="003A0CCA"/>
    <w:rsid w:val="003A48D1"/>
    <w:rsid w:val="003A6A5E"/>
    <w:rsid w:val="003A73A7"/>
    <w:rsid w:val="003C0C3D"/>
    <w:rsid w:val="003C4A25"/>
    <w:rsid w:val="003D0B68"/>
    <w:rsid w:val="003D3FAC"/>
    <w:rsid w:val="003D4306"/>
    <w:rsid w:val="003D45B0"/>
    <w:rsid w:val="003D529D"/>
    <w:rsid w:val="003E0345"/>
    <w:rsid w:val="003E4656"/>
    <w:rsid w:val="003F263E"/>
    <w:rsid w:val="003F57AA"/>
    <w:rsid w:val="003F6A93"/>
    <w:rsid w:val="003F7613"/>
    <w:rsid w:val="00401243"/>
    <w:rsid w:val="00402544"/>
    <w:rsid w:val="00414D10"/>
    <w:rsid w:val="00420833"/>
    <w:rsid w:val="0042114A"/>
    <w:rsid w:val="004257CC"/>
    <w:rsid w:val="00430623"/>
    <w:rsid w:val="004306D1"/>
    <w:rsid w:val="0043209E"/>
    <w:rsid w:val="00432A21"/>
    <w:rsid w:val="00441510"/>
    <w:rsid w:val="0044365E"/>
    <w:rsid w:val="00456C56"/>
    <w:rsid w:val="00456D3D"/>
    <w:rsid w:val="00461184"/>
    <w:rsid w:val="0046134C"/>
    <w:rsid w:val="004622BD"/>
    <w:rsid w:val="00466B49"/>
    <w:rsid w:val="00470E44"/>
    <w:rsid w:val="0047267F"/>
    <w:rsid w:val="00475894"/>
    <w:rsid w:val="00483003"/>
    <w:rsid w:val="004835FE"/>
    <w:rsid w:val="00490CD3"/>
    <w:rsid w:val="004A24E5"/>
    <w:rsid w:val="004B2868"/>
    <w:rsid w:val="004B4859"/>
    <w:rsid w:val="004C48C6"/>
    <w:rsid w:val="004C4A92"/>
    <w:rsid w:val="004D16A1"/>
    <w:rsid w:val="004D2483"/>
    <w:rsid w:val="004E3668"/>
    <w:rsid w:val="004E75F7"/>
    <w:rsid w:val="004F4EDC"/>
    <w:rsid w:val="00502AC9"/>
    <w:rsid w:val="00523C79"/>
    <w:rsid w:val="00525C16"/>
    <w:rsid w:val="005345E8"/>
    <w:rsid w:val="00535BD8"/>
    <w:rsid w:val="00537825"/>
    <w:rsid w:val="0054692D"/>
    <w:rsid w:val="00552965"/>
    <w:rsid w:val="00552A20"/>
    <w:rsid w:val="00553B9F"/>
    <w:rsid w:val="005633C5"/>
    <w:rsid w:val="00565758"/>
    <w:rsid w:val="00567711"/>
    <w:rsid w:val="005753AC"/>
    <w:rsid w:val="0057664D"/>
    <w:rsid w:val="00582422"/>
    <w:rsid w:val="00582C67"/>
    <w:rsid w:val="005951AA"/>
    <w:rsid w:val="005A457B"/>
    <w:rsid w:val="005B3EDE"/>
    <w:rsid w:val="005B5567"/>
    <w:rsid w:val="005C1808"/>
    <w:rsid w:val="005C3266"/>
    <w:rsid w:val="005C37E7"/>
    <w:rsid w:val="005C7D6E"/>
    <w:rsid w:val="005D4E50"/>
    <w:rsid w:val="005E0606"/>
    <w:rsid w:val="005E28F0"/>
    <w:rsid w:val="00604E95"/>
    <w:rsid w:val="006102E5"/>
    <w:rsid w:val="006116F6"/>
    <w:rsid w:val="00611AF3"/>
    <w:rsid w:val="00622935"/>
    <w:rsid w:val="00626BA7"/>
    <w:rsid w:val="00630C29"/>
    <w:rsid w:val="00630E33"/>
    <w:rsid w:val="00630FB9"/>
    <w:rsid w:val="006325E4"/>
    <w:rsid w:val="00635A26"/>
    <w:rsid w:val="006530D9"/>
    <w:rsid w:val="00653FBD"/>
    <w:rsid w:val="0066226F"/>
    <w:rsid w:val="006622DA"/>
    <w:rsid w:val="0066680C"/>
    <w:rsid w:val="00675D67"/>
    <w:rsid w:val="00677800"/>
    <w:rsid w:val="00681D86"/>
    <w:rsid w:val="0068398B"/>
    <w:rsid w:val="006A03C0"/>
    <w:rsid w:val="006B2838"/>
    <w:rsid w:val="006C6FEC"/>
    <w:rsid w:val="006C7A09"/>
    <w:rsid w:val="006D188C"/>
    <w:rsid w:val="006D3396"/>
    <w:rsid w:val="006D3FAC"/>
    <w:rsid w:val="006D4CAE"/>
    <w:rsid w:val="006D4D58"/>
    <w:rsid w:val="006D6E50"/>
    <w:rsid w:val="006E5261"/>
    <w:rsid w:val="006E6D1E"/>
    <w:rsid w:val="006F0CB5"/>
    <w:rsid w:val="006F130D"/>
    <w:rsid w:val="007067A3"/>
    <w:rsid w:val="00707EB7"/>
    <w:rsid w:val="00715FD2"/>
    <w:rsid w:val="00717889"/>
    <w:rsid w:val="00735A8E"/>
    <w:rsid w:val="00740DFB"/>
    <w:rsid w:val="00744F44"/>
    <w:rsid w:val="00765858"/>
    <w:rsid w:val="00771EA9"/>
    <w:rsid w:val="00772FFC"/>
    <w:rsid w:val="0078103B"/>
    <w:rsid w:val="00782E32"/>
    <w:rsid w:val="007877B9"/>
    <w:rsid w:val="00795D6F"/>
    <w:rsid w:val="007A6986"/>
    <w:rsid w:val="007B5ECD"/>
    <w:rsid w:val="007B6062"/>
    <w:rsid w:val="007B6B4A"/>
    <w:rsid w:val="007C0310"/>
    <w:rsid w:val="007C0CFF"/>
    <w:rsid w:val="007D4D53"/>
    <w:rsid w:val="007E2C11"/>
    <w:rsid w:val="007F521A"/>
    <w:rsid w:val="007F556D"/>
    <w:rsid w:val="007F6859"/>
    <w:rsid w:val="00801A3E"/>
    <w:rsid w:val="00804E9C"/>
    <w:rsid w:val="00817191"/>
    <w:rsid w:val="00822A58"/>
    <w:rsid w:val="00822C6F"/>
    <w:rsid w:val="008231F0"/>
    <w:rsid w:val="00823327"/>
    <w:rsid w:val="00831558"/>
    <w:rsid w:val="00834031"/>
    <w:rsid w:val="00836C46"/>
    <w:rsid w:val="008409D8"/>
    <w:rsid w:val="00844DBF"/>
    <w:rsid w:val="008521F3"/>
    <w:rsid w:val="00853DC3"/>
    <w:rsid w:val="0085469D"/>
    <w:rsid w:val="00860E78"/>
    <w:rsid w:val="00865A42"/>
    <w:rsid w:val="00866D3E"/>
    <w:rsid w:val="00866DA3"/>
    <w:rsid w:val="008751D6"/>
    <w:rsid w:val="00875FE5"/>
    <w:rsid w:val="00876313"/>
    <w:rsid w:val="008777DC"/>
    <w:rsid w:val="00877D43"/>
    <w:rsid w:val="008826F8"/>
    <w:rsid w:val="0088402E"/>
    <w:rsid w:val="0088682E"/>
    <w:rsid w:val="00887C1E"/>
    <w:rsid w:val="0089421A"/>
    <w:rsid w:val="00897450"/>
    <w:rsid w:val="008A79DD"/>
    <w:rsid w:val="008B0207"/>
    <w:rsid w:val="008B2AB2"/>
    <w:rsid w:val="008B601A"/>
    <w:rsid w:val="008C2FE7"/>
    <w:rsid w:val="008C3039"/>
    <w:rsid w:val="008C48E1"/>
    <w:rsid w:val="008C54D7"/>
    <w:rsid w:val="008D2CB2"/>
    <w:rsid w:val="008D54C2"/>
    <w:rsid w:val="008D7FFC"/>
    <w:rsid w:val="008E17B3"/>
    <w:rsid w:val="008E2C74"/>
    <w:rsid w:val="008E6748"/>
    <w:rsid w:val="008E6CC5"/>
    <w:rsid w:val="008E767F"/>
    <w:rsid w:val="00900C68"/>
    <w:rsid w:val="00907FA5"/>
    <w:rsid w:val="00912FE1"/>
    <w:rsid w:val="009216B5"/>
    <w:rsid w:val="00921804"/>
    <w:rsid w:val="00923D7A"/>
    <w:rsid w:val="0093158C"/>
    <w:rsid w:val="00935C36"/>
    <w:rsid w:val="00935DFD"/>
    <w:rsid w:val="00936840"/>
    <w:rsid w:val="00936D04"/>
    <w:rsid w:val="009415A6"/>
    <w:rsid w:val="009416A4"/>
    <w:rsid w:val="00946BC6"/>
    <w:rsid w:val="0095304F"/>
    <w:rsid w:val="00961987"/>
    <w:rsid w:val="00967649"/>
    <w:rsid w:val="00967F79"/>
    <w:rsid w:val="00975BD4"/>
    <w:rsid w:val="00980305"/>
    <w:rsid w:val="00982349"/>
    <w:rsid w:val="00982F96"/>
    <w:rsid w:val="0098490F"/>
    <w:rsid w:val="009A155F"/>
    <w:rsid w:val="009A1B93"/>
    <w:rsid w:val="009A38E7"/>
    <w:rsid w:val="009A5A40"/>
    <w:rsid w:val="009A5BCC"/>
    <w:rsid w:val="009B1216"/>
    <w:rsid w:val="009B2CAC"/>
    <w:rsid w:val="009B41E2"/>
    <w:rsid w:val="009B439E"/>
    <w:rsid w:val="009D33E8"/>
    <w:rsid w:val="009E1A86"/>
    <w:rsid w:val="009E2105"/>
    <w:rsid w:val="009E64F8"/>
    <w:rsid w:val="009F067D"/>
    <w:rsid w:val="00A04BAA"/>
    <w:rsid w:val="00A05BF6"/>
    <w:rsid w:val="00A064EE"/>
    <w:rsid w:val="00A07C15"/>
    <w:rsid w:val="00A07FA1"/>
    <w:rsid w:val="00A11E64"/>
    <w:rsid w:val="00A125DD"/>
    <w:rsid w:val="00A127DB"/>
    <w:rsid w:val="00A14CA7"/>
    <w:rsid w:val="00A22C80"/>
    <w:rsid w:val="00A405B3"/>
    <w:rsid w:val="00A41E3D"/>
    <w:rsid w:val="00A438F3"/>
    <w:rsid w:val="00A4555B"/>
    <w:rsid w:val="00A505FB"/>
    <w:rsid w:val="00A50C7A"/>
    <w:rsid w:val="00A51C8B"/>
    <w:rsid w:val="00A5392A"/>
    <w:rsid w:val="00A60CFD"/>
    <w:rsid w:val="00A61637"/>
    <w:rsid w:val="00A62730"/>
    <w:rsid w:val="00A655D8"/>
    <w:rsid w:val="00A721CE"/>
    <w:rsid w:val="00A7293F"/>
    <w:rsid w:val="00A72973"/>
    <w:rsid w:val="00A73D35"/>
    <w:rsid w:val="00A7418A"/>
    <w:rsid w:val="00A75873"/>
    <w:rsid w:val="00A820B5"/>
    <w:rsid w:val="00A84695"/>
    <w:rsid w:val="00A877CC"/>
    <w:rsid w:val="00A87822"/>
    <w:rsid w:val="00A87842"/>
    <w:rsid w:val="00A97C8E"/>
    <w:rsid w:val="00AA0C3A"/>
    <w:rsid w:val="00AA4ACB"/>
    <w:rsid w:val="00AA7E02"/>
    <w:rsid w:val="00AB1A69"/>
    <w:rsid w:val="00AC307A"/>
    <w:rsid w:val="00AC7EEB"/>
    <w:rsid w:val="00AD758A"/>
    <w:rsid w:val="00AE0AE3"/>
    <w:rsid w:val="00AE15DA"/>
    <w:rsid w:val="00AF00F3"/>
    <w:rsid w:val="00AF7A54"/>
    <w:rsid w:val="00B0291A"/>
    <w:rsid w:val="00B20CBF"/>
    <w:rsid w:val="00B23D51"/>
    <w:rsid w:val="00B3410D"/>
    <w:rsid w:val="00B35A0F"/>
    <w:rsid w:val="00B3667B"/>
    <w:rsid w:val="00B37089"/>
    <w:rsid w:val="00B4038A"/>
    <w:rsid w:val="00B449A8"/>
    <w:rsid w:val="00B463E6"/>
    <w:rsid w:val="00B60A0E"/>
    <w:rsid w:val="00B6483A"/>
    <w:rsid w:val="00B6706C"/>
    <w:rsid w:val="00B7082D"/>
    <w:rsid w:val="00B722C6"/>
    <w:rsid w:val="00B74C58"/>
    <w:rsid w:val="00B773E0"/>
    <w:rsid w:val="00B8166C"/>
    <w:rsid w:val="00B8296F"/>
    <w:rsid w:val="00B845F8"/>
    <w:rsid w:val="00B910AE"/>
    <w:rsid w:val="00B93441"/>
    <w:rsid w:val="00B968EB"/>
    <w:rsid w:val="00BA6AAB"/>
    <w:rsid w:val="00BB010D"/>
    <w:rsid w:val="00BB070C"/>
    <w:rsid w:val="00BB1CD5"/>
    <w:rsid w:val="00BB6556"/>
    <w:rsid w:val="00BC456D"/>
    <w:rsid w:val="00BE24D6"/>
    <w:rsid w:val="00BE3CDB"/>
    <w:rsid w:val="00BE60B1"/>
    <w:rsid w:val="00C16CB0"/>
    <w:rsid w:val="00C23ACF"/>
    <w:rsid w:val="00C25302"/>
    <w:rsid w:val="00C25685"/>
    <w:rsid w:val="00C27BF1"/>
    <w:rsid w:val="00C306F2"/>
    <w:rsid w:val="00C40D05"/>
    <w:rsid w:val="00C47EE0"/>
    <w:rsid w:val="00C54BA1"/>
    <w:rsid w:val="00C56D3C"/>
    <w:rsid w:val="00C609EF"/>
    <w:rsid w:val="00C63DFC"/>
    <w:rsid w:val="00C8260D"/>
    <w:rsid w:val="00C8480C"/>
    <w:rsid w:val="00C9506C"/>
    <w:rsid w:val="00CA2777"/>
    <w:rsid w:val="00CA53D9"/>
    <w:rsid w:val="00CB6531"/>
    <w:rsid w:val="00CC1FD7"/>
    <w:rsid w:val="00CC3BFC"/>
    <w:rsid w:val="00CC5569"/>
    <w:rsid w:val="00CD4D22"/>
    <w:rsid w:val="00CE0584"/>
    <w:rsid w:val="00CF00AA"/>
    <w:rsid w:val="00D03D52"/>
    <w:rsid w:val="00D07AB3"/>
    <w:rsid w:val="00D17221"/>
    <w:rsid w:val="00D17347"/>
    <w:rsid w:val="00D216BB"/>
    <w:rsid w:val="00D47DF4"/>
    <w:rsid w:val="00D513E4"/>
    <w:rsid w:val="00D55CBF"/>
    <w:rsid w:val="00D55D86"/>
    <w:rsid w:val="00D62BD2"/>
    <w:rsid w:val="00D662D8"/>
    <w:rsid w:val="00D729C5"/>
    <w:rsid w:val="00D82845"/>
    <w:rsid w:val="00D860A9"/>
    <w:rsid w:val="00D87956"/>
    <w:rsid w:val="00DA0E57"/>
    <w:rsid w:val="00DA7043"/>
    <w:rsid w:val="00DA7CE3"/>
    <w:rsid w:val="00DB0A3F"/>
    <w:rsid w:val="00DB445F"/>
    <w:rsid w:val="00DC6077"/>
    <w:rsid w:val="00DC76A8"/>
    <w:rsid w:val="00DD24F0"/>
    <w:rsid w:val="00DD5093"/>
    <w:rsid w:val="00DE6AD0"/>
    <w:rsid w:val="00DF1B84"/>
    <w:rsid w:val="00DF55D7"/>
    <w:rsid w:val="00E00F8B"/>
    <w:rsid w:val="00E02198"/>
    <w:rsid w:val="00E1156E"/>
    <w:rsid w:val="00E2210C"/>
    <w:rsid w:val="00E32BAA"/>
    <w:rsid w:val="00E3536A"/>
    <w:rsid w:val="00E36794"/>
    <w:rsid w:val="00E427FC"/>
    <w:rsid w:val="00E504A0"/>
    <w:rsid w:val="00E51C9D"/>
    <w:rsid w:val="00E52DFD"/>
    <w:rsid w:val="00E666AC"/>
    <w:rsid w:val="00E669C7"/>
    <w:rsid w:val="00E67C42"/>
    <w:rsid w:val="00E720F5"/>
    <w:rsid w:val="00E73CF8"/>
    <w:rsid w:val="00E80A04"/>
    <w:rsid w:val="00E923AF"/>
    <w:rsid w:val="00E935F4"/>
    <w:rsid w:val="00E93B73"/>
    <w:rsid w:val="00EA280B"/>
    <w:rsid w:val="00EA40A7"/>
    <w:rsid w:val="00EB26C3"/>
    <w:rsid w:val="00EB7483"/>
    <w:rsid w:val="00ED0180"/>
    <w:rsid w:val="00ED2BC4"/>
    <w:rsid w:val="00ED351D"/>
    <w:rsid w:val="00EF06FB"/>
    <w:rsid w:val="00EF29F1"/>
    <w:rsid w:val="00EF5783"/>
    <w:rsid w:val="00EF6153"/>
    <w:rsid w:val="00F00A57"/>
    <w:rsid w:val="00F0424F"/>
    <w:rsid w:val="00F22D42"/>
    <w:rsid w:val="00F23C13"/>
    <w:rsid w:val="00F35DB3"/>
    <w:rsid w:val="00F362D0"/>
    <w:rsid w:val="00F43A6F"/>
    <w:rsid w:val="00F50CF9"/>
    <w:rsid w:val="00F547F4"/>
    <w:rsid w:val="00F577B0"/>
    <w:rsid w:val="00F65575"/>
    <w:rsid w:val="00F66181"/>
    <w:rsid w:val="00F67B45"/>
    <w:rsid w:val="00F700AB"/>
    <w:rsid w:val="00F80710"/>
    <w:rsid w:val="00F82260"/>
    <w:rsid w:val="00F95C0F"/>
    <w:rsid w:val="00F95CCF"/>
    <w:rsid w:val="00FB1962"/>
    <w:rsid w:val="00FB5BFD"/>
    <w:rsid w:val="00FB752E"/>
    <w:rsid w:val="00FB7A22"/>
    <w:rsid w:val="00FD016B"/>
    <w:rsid w:val="00FD053C"/>
    <w:rsid w:val="00FF4533"/>
    <w:rsid w:val="032C6DFC"/>
    <w:rsid w:val="34FFD24C"/>
    <w:rsid w:val="35FD60BC"/>
    <w:rsid w:val="77FF972F"/>
    <w:rsid w:val="7FEDE2BD"/>
    <w:rsid w:val="C7B3A604"/>
    <w:rsid w:val="F7D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adjustRightInd w:val="0"/>
      <w:snapToGrid w:val="0"/>
      <w:spacing w:line="300" w:lineRule="auto"/>
    </w:pPr>
    <w:rPr>
      <w:bCs/>
      <w:sz w:val="24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4"/>
    <w:next w:val="4"/>
    <w:semiHidden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annotation reference"/>
    <w:semiHidden/>
    <w:qFormat/>
    <w:uiPriority w:val="0"/>
    <w:rPr>
      <w:sz w:val="21"/>
      <w:szCs w:val="21"/>
    </w:rPr>
  </w:style>
  <w:style w:type="character" w:customStyle="1" w:styleId="15">
    <w:name w:val="页眉 Char"/>
    <w:link w:val="8"/>
    <w:qFormat/>
    <w:uiPriority w:val="0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fontstyle01"/>
    <w:basedOn w:val="12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8">
    <w:name w:val="标题 2 Char"/>
    <w:basedOn w:val="12"/>
    <w:link w:val="2"/>
    <w:qFormat/>
    <w:uiPriority w:val="0"/>
    <w:rPr>
      <w:rFonts w:ascii="Arial" w:hAnsi="Arial" w:eastAsia="黑体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wf</Company>
  <Pages>10</Pages>
  <Words>1101</Words>
  <Characters>6280</Characters>
  <Lines>52</Lines>
  <Paragraphs>14</Paragraphs>
  <TotalTime>1313</TotalTime>
  <ScaleCrop>false</ScaleCrop>
  <LinksUpToDate>false</LinksUpToDate>
  <CharactersWithSpaces>7367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2018-05-14T00:49:00Z</dcterms:created>
  <dc:creator>hg</dc:creator>
  <cp:lastModifiedBy>Kukukukiki</cp:lastModifiedBy>
  <cp:lastPrinted>2018-05-14T00:43:00Z</cp:lastPrinted>
  <dcterms:modified xsi:type="dcterms:W3CDTF">2021-02-16T18:54:04Z</dcterms:modified>
  <dc:title>（课程名称）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