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2-10</w:t>
      </w:r>
    </w:p>
    <w:p>
      <w:pPr>
        <w:numPr>
          <w:ilvl w:val="0"/>
          <w:numId w:val="0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导引型传输媒体、非导引型传输媒体.在导引型传输媒体中，电磁波被导引沿着固体媒体(铜线或光纤)传播，而非导引型传输媒体就是指自由空间，在非导引型传输媒体中电磁波的传输常称为无线传输.</w:t>
      </w:r>
    </w:p>
    <w:p>
      <w:pPr>
        <w:numPr>
          <w:ilvl w:val="0"/>
          <w:numId w:val="0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常用导引型传输媒体：</w:t>
      </w:r>
    </w:p>
    <w:p>
      <w:pPr>
        <w:numPr>
          <w:ilvl w:val="0"/>
          <w:numId w:val="1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双绞线：价格便宜，性能不错，应用广泛；还分为屏蔽双绞线(STP)和无屏蔽双绞线(UTP)</w:t>
      </w:r>
    </w:p>
    <w:p>
      <w:pPr>
        <w:numPr>
          <w:ilvl w:val="0"/>
          <w:numId w:val="1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同轴电缆：抗干扰，被广泛用于传输较高速率的数据</w:t>
      </w:r>
    </w:p>
    <w:p>
      <w:pPr>
        <w:numPr>
          <w:ilvl w:val="0"/>
          <w:numId w:val="1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光纤：容量很大；传输损耗小；抗雷电和电磁干扰性能好；无串音干扰，保密性好；体积小，重量轻</w:t>
      </w:r>
    </w:p>
    <w:p>
      <w:pPr>
        <w:numPr>
          <w:ilvl w:val="0"/>
          <w:numId w:val="1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架空明线(铜线或铁线)：安装简单，但通信质量差，受气候环境等影响较大，目前已经很少使用</w:t>
      </w:r>
    </w:p>
    <w:p>
      <w:pPr>
        <w:numPr>
          <w:ilvl w:val="0"/>
          <w:numId w:val="0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常用非导引型传输媒体：无线传输可使用的频段很广，现已用了好几个波段通信</w:t>
      </w:r>
    </w:p>
    <w:p>
      <w:pPr>
        <w:numPr>
          <w:ilvl w:val="0"/>
          <w:numId w:val="2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短波通信(高频通信)：通信距离远，但通信质量较差</w:t>
      </w:r>
    </w:p>
    <w:p>
      <w:pPr>
        <w:numPr>
          <w:ilvl w:val="0"/>
          <w:numId w:val="2"/>
        </w:numPr>
        <w:rPr>
          <w:rFonts w:hint="default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无线电微波通信：直线传播，传播距离受限</w:t>
      </w:r>
    </w:p>
    <w:p>
      <w:pPr>
        <w:numPr>
          <w:ilvl w:val="0"/>
          <w:numId w:val="0"/>
        </w:numP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</w:pPr>
      <w:r>
        <w:rPr>
          <w:rFonts w:hint="default" w:ascii="Calibri" w:hAnsi="Calibri" w:eastAsia="微软雅黑" w:cs="Calibri"/>
          <w:sz w:val="24"/>
          <w:szCs w:val="24"/>
          <w:vertAlign w:val="baseline"/>
          <w:lang w:val="en-US" w:eastAsia="zh-CN"/>
        </w:rPr>
        <w:t>①</w:t>
      </w:r>
      <w:r>
        <w:rPr>
          <w:rFonts w:hint="eastAsia" w:ascii="Arial" w:hAnsi="Arial" w:eastAsia="微软雅黑" w:cs="Arial"/>
          <w:sz w:val="24"/>
          <w:szCs w:val="24"/>
          <w:vertAlign w:val="baseline"/>
          <w:lang w:val="en-US" w:eastAsia="zh-CN"/>
        </w:rPr>
        <w:t>地面微波接力通信：通信信道容量很大；微波传输质量较高；投资较少，见效快，易于跨越山区、江河</w:t>
      </w:r>
    </w:p>
    <w:p>
      <w:pPr>
        <w:numPr>
          <w:ilvl w:val="0"/>
          <w:numId w:val="0"/>
        </w:numP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</w:pPr>
      <w:r>
        <w:rPr>
          <w:rFonts w:hint="default" w:ascii="Calibri" w:hAnsi="Calibri" w:eastAsia="微软雅黑" w:cs="Calibri"/>
          <w:sz w:val="24"/>
          <w:szCs w:val="24"/>
          <w:vertAlign w:val="baseline"/>
          <w:lang w:val="en-US" w:eastAsia="zh-CN"/>
        </w:rPr>
        <w:t>②</w:t>
      </w:r>
      <w: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  <w:t>卫星通信：通信距离远，且通信费用与通信距离无关；具有较大的传播时延；通信容量很大，通信较稳定；覆盖面广；保密性相对较差；费用较高</w:t>
      </w:r>
    </w:p>
    <w:p>
      <w:pPr>
        <w:numPr>
          <w:ilvl w:val="0"/>
          <w:numId w:val="0"/>
        </w:numP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  <w:t>2-13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  <w:t>如果在发送端使用一个复用器，就可以使用户共同使用一个共享信道进行通信.虽然复用要付出一定代价，但如果复用的信道数量较大，那么在经济上还是合算的.</w:t>
      </w:r>
    </w:p>
    <w:p>
      <w:pPr>
        <w:numPr>
          <w:ilvl w:val="0"/>
          <w:numId w:val="0"/>
        </w:numP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  <w:t>常用的复用技术有：频分复用、时分复用(包括统计时分复用)、波分复用(光的频分复用)、码分复用</w:t>
      </w:r>
    </w:p>
    <w:p>
      <w:pPr>
        <w:numPr>
          <w:ilvl w:val="0"/>
          <w:numId w:val="0"/>
        </w:numPr>
        <w:tabs>
          <w:tab w:val="left" w:pos="6923"/>
        </w:tabs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  <w:t>2-17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92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24"/>
          <w:szCs w:val="24"/>
          <w:vertAlign w:val="baseline"/>
          <w:lang w:val="en-US" w:eastAsia="zh-CN"/>
        </w:rPr>
        <w:t>ADSL</w:t>
      </w:r>
      <w: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  <w:t>最大的好处就是可以利用现有电话网中的用户线(铜线)，而不需要重新布线.用户可以根据自己的情况使用不同速率是宽带接入.这种接入的缺点就是对用户线的质量有较高的要求.若用户住宅距离电话交换局较远，或线路的噪音较大，则宽带接入的速率就会适当地降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92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Calibri" w:hAnsi="Calibri" w:eastAsia="微软雅黑" w:cs="Calibri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  <w:t>HFC的优点是覆盖面很广，带宽很高，可传输很高速率的数据.缺点是必须对现有单向传输的有线电缆进行改造，变为可双向通信的电缆.用户家中需要增加一个机顶盒，用来观看电视和传送上行信号(在点播节目时使用).此外，为了解决信号传输时有衰减的问题，在有线电缆中每隔一定距离就要加入一个放大器.大量放大器的接入是整个网络的可靠性下降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92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</w:pPr>
      <w: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  <w:t>FTTx接入技术：光纤可传送的数据率很高，通信质量好，但大量用户使用光纤接入还需较多资金</w:t>
      </w:r>
      <w:r>
        <w:rPr>
          <w:rFonts w:hint="eastAsia" w:ascii="Calibri" w:hAnsi="Calibri" w:eastAsia="微软雅黑" w:cs="Calibri"/>
          <w:sz w:val="24"/>
          <w:szCs w:val="24"/>
          <w:vertAlign w:val="baseline"/>
          <w:lang w:val="en-US" w:eastAsia="zh-CN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26CFD"/>
    <w:multiLevelType w:val="singleLevel"/>
    <w:tmpl w:val="D5926C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73C0A9"/>
    <w:multiLevelType w:val="singleLevel"/>
    <w:tmpl w:val="4873C0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70226"/>
    <w:rsid w:val="2BC7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2019-10-01T09:45:00Z</dcterms:created>
  <dc:creator>Kukukukiki</dc:creator>
  <cp:lastModifiedBy>Kukukukiki</cp:lastModifiedBy>
  <dcterms:modified xsi:type="dcterms:W3CDTF">2019-10-01T09:46:17Z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