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20BB38">
      <w:pPr>
        <w:pStyle w:val="3"/>
        <w:snapToGrid w:val="0"/>
        <w:jc w:val="center"/>
        <w:rPr>
          <w:rFonts w:hint="eastAsia" w:ascii="黑体" w:eastAsia="黑体"/>
          <w:b/>
          <w:bCs/>
          <w:sz w:val="36"/>
          <w:szCs w:val="36"/>
          <w:highlight w:val="none"/>
        </w:rPr>
      </w:pPr>
      <w:r>
        <w:rPr>
          <w:rFonts w:hint="eastAsia" w:ascii="黑体" w:eastAsia="黑体"/>
          <w:b/>
          <w:bCs/>
          <w:sz w:val="36"/>
          <w:szCs w:val="36"/>
          <w:highlight w:val="none"/>
        </w:rPr>
        <w:t>实验</w:t>
      </w:r>
      <w:r>
        <w:rPr>
          <w:rFonts w:hint="eastAsia" w:ascii="黑体" w:eastAsia="黑体"/>
          <w:b/>
          <w:bCs/>
          <w:sz w:val="36"/>
          <w:szCs w:val="36"/>
          <w:highlight w:val="none"/>
          <w:lang w:val="en-US" w:eastAsia="zh-CN"/>
        </w:rPr>
        <w:t>4</w:t>
      </w:r>
      <w:r>
        <w:rPr>
          <w:rFonts w:hint="eastAsia"/>
          <w:b/>
          <w:bCs/>
          <w:sz w:val="36"/>
          <w:szCs w:val="36"/>
          <w:highlight w:val="none"/>
        </w:rPr>
        <w:t xml:space="preserve"> </w:t>
      </w:r>
      <w:r>
        <w:rPr>
          <w:rFonts w:hint="eastAsia" w:ascii="黑体" w:eastAsia="黑体"/>
          <w:b/>
          <w:bCs/>
          <w:sz w:val="36"/>
          <w:szCs w:val="36"/>
          <w:highlight w:val="none"/>
          <w:lang w:eastAsia="zh-CN"/>
        </w:rPr>
        <w:t>机器学习</w:t>
      </w:r>
      <w:r>
        <w:rPr>
          <w:rFonts w:hint="eastAsia" w:ascii="黑体" w:eastAsia="黑体"/>
          <w:b/>
          <w:bCs/>
          <w:sz w:val="36"/>
          <w:szCs w:val="36"/>
          <w:highlight w:val="none"/>
        </w:rPr>
        <w:t>实验</w:t>
      </w:r>
    </w:p>
    <w:p w14:paraId="622CCC37">
      <w:pPr>
        <w:spacing w:line="300" w:lineRule="auto"/>
        <w:jc w:val="center"/>
        <w:rPr>
          <w:highlight w:val="none"/>
        </w:rPr>
      </w:pPr>
      <w:r>
        <w:rPr>
          <w:highlight w:val="none"/>
        </w:rPr>
        <w:t>班级：          学号：</w:t>
      </w:r>
      <w:r>
        <w:rPr>
          <w:rFonts w:hint="eastAsia"/>
          <w:highlight w:val="none"/>
          <w:lang w:val="en-US" w:eastAsia="zh-CN"/>
        </w:rPr>
        <w:t xml:space="preserve">          </w:t>
      </w:r>
      <w:bookmarkStart w:id="2" w:name="_GoBack"/>
      <w:bookmarkEnd w:id="2"/>
      <w:r>
        <w:rPr>
          <w:highlight w:val="none"/>
        </w:rPr>
        <w:t xml:space="preserve">姓名：          </w:t>
      </w:r>
    </w:p>
    <w:p w14:paraId="58B7B80D">
      <w:pPr>
        <w:pStyle w:val="3"/>
        <w:snapToGrid w:val="0"/>
        <w:outlineLvl w:val="0"/>
        <w:rPr>
          <w:highlight w:val="none"/>
        </w:rPr>
      </w:pPr>
      <w:r>
        <w:rPr>
          <w:rFonts w:hint="eastAsia"/>
          <w:b/>
          <w:bCs/>
          <w:highlight w:val="none"/>
        </w:rPr>
        <w:t>一、实验目的</w:t>
      </w:r>
    </w:p>
    <w:p w14:paraId="2B2B447E">
      <w:pPr>
        <w:pStyle w:val="3"/>
        <w:snapToGrid w:val="0"/>
        <w:ind w:firstLine="420" w:firstLineChars="200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掌握</w:t>
      </w:r>
      <w:r>
        <w:rPr>
          <w:rFonts w:hint="eastAsia"/>
          <w:sz w:val="21"/>
          <w:szCs w:val="21"/>
          <w:highlight w:val="none"/>
          <w:lang w:eastAsia="zh-CN"/>
        </w:rPr>
        <w:t>逻辑回归、支持向量机和</w:t>
      </w:r>
      <w:r>
        <w:rPr>
          <w:rFonts w:hint="eastAsia"/>
          <w:sz w:val="21"/>
          <w:szCs w:val="21"/>
          <w:highlight w:val="none"/>
          <w:lang w:val="en-US" w:eastAsia="zh-CN"/>
        </w:rPr>
        <w:t>K-means聚类等常用机器学习方法的</w:t>
      </w:r>
      <w:r>
        <w:rPr>
          <w:rFonts w:hint="eastAsia"/>
          <w:sz w:val="21"/>
          <w:szCs w:val="21"/>
          <w:highlight w:val="none"/>
        </w:rPr>
        <w:t>原理，</w:t>
      </w:r>
      <w:r>
        <w:rPr>
          <w:rFonts w:hint="eastAsia"/>
          <w:sz w:val="21"/>
          <w:szCs w:val="21"/>
          <w:highlight w:val="none"/>
          <w:lang w:eastAsia="zh-CN"/>
        </w:rPr>
        <w:t>熟悉分类问题和聚类问题</w:t>
      </w:r>
      <w:r>
        <w:rPr>
          <w:rFonts w:hint="eastAsia"/>
          <w:sz w:val="21"/>
          <w:szCs w:val="21"/>
          <w:highlight w:val="none"/>
        </w:rPr>
        <w:t>的</w:t>
      </w:r>
      <w:r>
        <w:rPr>
          <w:rFonts w:hint="eastAsia"/>
          <w:sz w:val="21"/>
          <w:szCs w:val="21"/>
          <w:highlight w:val="none"/>
          <w:lang w:eastAsia="zh-CN"/>
        </w:rPr>
        <w:t>求解</w:t>
      </w:r>
      <w:r>
        <w:rPr>
          <w:rFonts w:hint="eastAsia"/>
          <w:sz w:val="21"/>
          <w:szCs w:val="21"/>
          <w:highlight w:val="none"/>
        </w:rPr>
        <w:t>流程</w:t>
      </w:r>
      <w:r>
        <w:rPr>
          <w:rFonts w:hint="eastAsia"/>
          <w:sz w:val="21"/>
          <w:szCs w:val="21"/>
          <w:highlight w:val="none"/>
          <w:lang w:eastAsia="zh-CN"/>
        </w:rPr>
        <w:t>，理解输入特征个数和不同超</w:t>
      </w:r>
      <w:r>
        <w:rPr>
          <w:rFonts w:hint="eastAsia"/>
          <w:sz w:val="21"/>
          <w:szCs w:val="21"/>
          <w:highlight w:val="none"/>
        </w:rPr>
        <w:t>参数对</w:t>
      </w:r>
      <w:r>
        <w:rPr>
          <w:rFonts w:hint="eastAsia"/>
          <w:sz w:val="21"/>
          <w:szCs w:val="21"/>
          <w:highlight w:val="none"/>
          <w:lang w:eastAsia="zh-CN"/>
        </w:rPr>
        <w:t>机器学习算法的训练和测试结果</w:t>
      </w:r>
      <w:r>
        <w:rPr>
          <w:rFonts w:hint="eastAsia"/>
          <w:sz w:val="21"/>
          <w:szCs w:val="21"/>
          <w:highlight w:val="none"/>
        </w:rPr>
        <w:t>的影响。</w:t>
      </w:r>
    </w:p>
    <w:p w14:paraId="05F0A045">
      <w:pPr>
        <w:pStyle w:val="3"/>
        <w:snapToGrid w:val="0"/>
        <w:outlineLvl w:val="0"/>
        <w:rPr>
          <w:rFonts w:hint="eastAsia"/>
          <w:highlight w:val="none"/>
        </w:rPr>
      </w:pPr>
      <w:r>
        <w:rPr>
          <w:rFonts w:hint="eastAsia"/>
          <w:b/>
          <w:bCs/>
          <w:highlight w:val="none"/>
        </w:rPr>
        <w:t>二、实验原理</w:t>
      </w:r>
    </w:p>
    <w:p w14:paraId="7D2BCE3A">
      <w:pPr>
        <w:pStyle w:val="3"/>
        <w:snapToGrid w:val="0"/>
        <w:spacing w:after="0" w:afterAutospacing="0"/>
        <w:ind w:firstLine="420" w:firstLineChars="200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逻辑回归</w:t>
      </w:r>
      <w:r>
        <w:rPr>
          <w:rFonts w:hint="eastAsia"/>
          <w:sz w:val="21"/>
          <w:szCs w:val="21"/>
          <w:highlight w:val="none"/>
          <w:lang w:eastAsia="zh-CN"/>
        </w:rPr>
        <w:t>（Logistic</w:t>
      </w:r>
      <w:r>
        <w:rPr>
          <w:rFonts w:hint="eastAsia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/>
          <w:sz w:val="21"/>
          <w:szCs w:val="21"/>
          <w:highlight w:val="none"/>
          <w:lang w:eastAsia="zh-CN"/>
        </w:rPr>
        <w:t>Regression）是一种有监督学习方法，</w:t>
      </w:r>
      <w:r>
        <w:rPr>
          <w:rFonts w:hint="eastAsia"/>
          <w:sz w:val="21"/>
          <w:szCs w:val="21"/>
          <w:highlight w:val="none"/>
        </w:rPr>
        <w:t>属于分类算法，可以处理二元分类以及多元分类，预测结果是离散的分类，例如判断这封邮件是否是垃圾邮件，以及用户是否会点击此广告等。逻辑回归只是对线性回归的计算结果加上了一个Sigmoid函数（Logistic函数），将数值结果转化为0到1之间的概率，根据这个概率可以做预测，例如概率大于0.5，则这封邮件就是垃圾邮件，或者肿瘤是否是恶性的等等。</w:t>
      </w:r>
    </w:p>
    <w:p w14:paraId="1D375B2B">
      <w:pPr>
        <w:pStyle w:val="3"/>
        <w:snapToGrid w:val="0"/>
        <w:ind w:firstLine="420" w:firstLineChars="200"/>
        <w:outlineLvl w:val="0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支持向量机(Support Vector Machine)</w:t>
      </w:r>
      <w:r>
        <w:rPr>
          <w:rFonts w:hint="eastAsia"/>
          <w:sz w:val="21"/>
          <w:szCs w:val="21"/>
          <w:highlight w:val="none"/>
          <w:lang w:eastAsia="zh-CN"/>
        </w:rPr>
        <w:t>也是一种有监督学习方法，它尝试寻找一个最优决策边界，使距离两个类别最近的样本最远，从而对分类问题提供良好的泛化能力。支持向量机是由</w:t>
      </w:r>
      <w:r>
        <w:rPr>
          <w:rFonts w:hint="eastAsia"/>
          <w:sz w:val="21"/>
          <w:szCs w:val="21"/>
          <w:highlight w:val="none"/>
        </w:rPr>
        <w:t>Cortes和Vapnik于1995年首先提出的，在解决小样本、非线性及高维模式识别中表现出许多特有的优势，并能够推广应用到函数拟合等其他机器学习问题中。</w:t>
      </w:r>
    </w:p>
    <w:p w14:paraId="066D285A">
      <w:pPr>
        <w:pStyle w:val="3"/>
        <w:numPr>
          <w:ilvl w:val="0"/>
          <w:numId w:val="1"/>
        </w:numPr>
        <w:snapToGrid w:val="0"/>
        <w:ind w:firstLine="420" w:firstLineChars="200"/>
        <w:outlineLvl w:val="0"/>
        <w:rPr>
          <w:rFonts w:hint="eastAsia"/>
          <w:sz w:val="21"/>
          <w:szCs w:val="21"/>
          <w:highlight w:val="none"/>
        </w:rPr>
      </w:pPr>
      <w:r>
        <w:rPr>
          <w:rFonts w:hint="eastAsia"/>
          <w:sz w:val="21"/>
          <w:szCs w:val="21"/>
          <w:highlight w:val="none"/>
        </w:rPr>
        <w:t>means（又称k-均值或k-平均）聚类</w:t>
      </w:r>
      <w:r>
        <w:rPr>
          <w:rFonts w:hint="eastAsia"/>
          <w:sz w:val="21"/>
          <w:szCs w:val="21"/>
          <w:highlight w:val="none"/>
          <w:lang w:eastAsia="zh-CN"/>
        </w:rPr>
        <w:t>是一种无监督学习方法。</w:t>
      </w:r>
      <w:r>
        <w:rPr>
          <w:rFonts w:hint="eastAsia"/>
          <w:sz w:val="21"/>
          <w:szCs w:val="21"/>
          <w:highlight w:val="none"/>
        </w:rPr>
        <w:t>K-means</w:t>
      </w:r>
      <w:r>
        <w:rPr>
          <w:rFonts w:hint="eastAsia"/>
          <w:sz w:val="21"/>
          <w:szCs w:val="21"/>
          <w:highlight w:val="none"/>
          <w:lang w:eastAsia="zh-CN"/>
        </w:rPr>
        <w:t>聚类</w:t>
      </w:r>
      <w:r>
        <w:rPr>
          <w:rFonts w:hint="eastAsia"/>
          <w:sz w:val="21"/>
          <w:szCs w:val="21"/>
          <w:highlight w:val="none"/>
        </w:rPr>
        <w:t>算法</w:t>
      </w:r>
      <w:r>
        <w:rPr>
          <w:rFonts w:hint="eastAsia"/>
          <w:sz w:val="21"/>
          <w:szCs w:val="21"/>
          <w:highlight w:val="none"/>
          <w:lang w:eastAsia="zh-CN"/>
        </w:rPr>
        <w:t>的</w:t>
      </w:r>
      <w:r>
        <w:rPr>
          <w:rFonts w:hint="eastAsia"/>
          <w:sz w:val="21"/>
          <w:szCs w:val="21"/>
          <w:highlight w:val="none"/>
        </w:rPr>
        <w:t>思想</w:t>
      </w:r>
      <w:r>
        <w:rPr>
          <w:rFonts w:hint="eastAsia"/>
          <w:sz w:val="21"/>
          <w:szCs w:val="21"/>
          <w:highlight w:val="none"/>
          <w:lang w:eastAsia="zh-CN"/>
        </w:rPr>
        <w:t>是</w:t>
      </w:r>
      <w:r>
        <w:rPr>
          <w:rFonts w:hint="eastAsia"/>
          <w:sz w:val="21"/>
          <w:szCs w:val="21"/>
          <w:highlight w:val="none"/>
        </w:rPr>
        <w:t>首先随机确定k个中心点作为聚类中心，然后把每个数据点分配给最邻近的中心点，分配完成后形成k个聚类，计算各个聚类的平均中心点，将其作为该聚类新的类中心点，然后重复迭代上述步骤直到分配过程不再产生变化。</w:t>
      </w:r>
    </w:p>
    <w:p w14:paraId="57C3D236">
      <w:pPr>
        <w:spacing w:line="300" w:lineRule="auto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三、实验结果</w:t>
      </w:r>
    </w:p>
    <w:p w14:paraId="6A661A72">
      <w:pPr>
        <w:pStyle w:val="3"/>
        <w:snapToGrid w:val="0"/>
        <w:spacing w:after="0" w:afterAutospacing="0"/>
        <w:ind w:firstLine="238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表1 </w:t>
      </w:r>
      <w:r>
        <w:rPr>
          <w:rFonts w:hint="eastAsia" w:ascii="Times New Roman" w:hAnsi="Times New Roman" w:cs="Times New Roman"/>
          <w:sz w:val="21"/>
          <w:szCs w:val="21"/>
        </w:rPr>
        <w:t>鸢尾花分类</w:t>
      </w:r>
      <w:r>
        <w:rPr>
          <w:rFonts w:hint="eastAsia"/>
          <w:sz w:val="21"/>
          <w:szCs w:val="21"/>
        </w:rPr>
        <w:t>结果</w:t>
      </w:r>
    </w:p>
    <w:tbl>
      <w:tblPr>
        <w:tblStyle w:val="4"/>
        <w:tblW w:w="80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70"/>
        <w:gridCol w:w="1001"/>
        <w:gridCol w:w="1102"/>
        <w:gridCol w:w="1550"/>
        <w:gridCol w:w="1528"/>
      </w:tblGrid>
      <w:tr w14:paraId="36206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Align w:val="center"/>
          </w:tcPr>
          <w:p w14:paraId="707C17D2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分类算法</w:t>
            </w:r>
          </w:p>
        </w:tc>
        <w:tc>
          <w:tcPr>
            <w:tcW w:w="1770" w:type="dxa"/>
            <w:vAlign w:val="center"/>
          </w:tcPr>
          <w:p w14:paraId="277B8527">
            <w:pPr>
              <w:pStyle w:val="3"/>
              <w:snapToGrid w:val="0"/>
              <w:jc w:val="center"/>
            </w:pPr>
            <w:r>
              <w:rPr>
                <w:rFonts w:hint="eastAsia"/>
                <w:sz w:val="18"/>
                <w:szCs w:val="18"/>
              </w:rPr>
              <w:t>算法参数</w:t>
            </w:r>
          </w:p>
        </w:tc>
        <w:tc>
          <w:tcPr>
            <w:tcW w:w="1001" w:type="dxa"/>
            <w:vAlign w:val="center"/>
          </w:tcPr>
          <w:p w14:paraId="6F514584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输入特征个数</w:t>
            </w:r>
          </w:p>
        </w:tc>
        <w:tc>
          <w:tcPr>
            <w:tcW w:w="1102" w:type="dxa"/>
            <w:vAlign w:val="center"/>
          </w:tcPr>
          <w:p w14:paraId="6C3EF184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输入特征名称</w:t>
            </w:r>
          </w:p>
        </w:tc>
        <w:tc>
          <w:tcPr>
            <w:tcW w:w="1550" w:type="dxa"/>
            <w:vAlign w:val="center"/>
          </w:tcPr>
          <w:p w14:paraId="314C31B2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训练集的准确率</w:t>
            </w:r>
          </w:p>
        </w:tc>
        <w:tc>
          <w:tcPr>
            <w:tcW w:w="1528" w:type="dxa"/>
            <w:vAlign w:val="center"/>
          </w:tcPr>
          <w:p w14:paraId="70CE2F18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测试集的准确率</w:t>
            </w:r>
          </w:p>
        </w:tc>
      </w:tr>
      <w:tr w14:paraId="03607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restart"/>
            <w:vAlign w:val="center"/>
          </w:tcPr>
          <w:p w14:paraId="30C2AE71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逻辑回归</w:t>
            </w:r>
          </w:p>
        </w:tc>
        <w:tc>
          <w:tcPr>
            <w:tcW w:w="1770" w:type="dxa"/>
            <w:vMerge w:val="restart"/>
            <w:vAlign w:val="center"/>
          </w:tcPr>
          <w:p w14:paraId="220FDB2F">
            <w:pPr>
              <w:pStyle w:val="3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C=1(</w:t>
            </w:r>
            <w:r>
              <w:rPr>
                <w:sz w:val="18"/>
                <w:szCs w:val="18"/>
              </w:rPr>
              <w:t>正则化系数λ的倒数</w:t>
            </w:r>
            <w:r>
              <w:rPr>
                <w:rFonts w:hint="eastAsia"/>
                <w:sz w:val="18"/>
                <w:szCs w:val="18"/>
              </w:rPr>
              <w:t>，默认值为1）</w:t>
            </w:r>
          </w:p>
          <w:p w14:paraId="25C503BF">
            <w:pPr>
              <w:pStyle w:val="3"/>
              <w:snapToGrid w:val="0"/>
              <w:rPr>
                <w:rFonts w:eastAsia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multi_class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'ovr'</w:t>
            </w:r>
            <w:r>
              <w:rPr>
                <w:rFonts w:hint="eastAsia"/>
                <w:sz w:val="18"/>
                <w:szCs w:val="18"/>
              </w:rPr>
              <w:t>（默认值）</w:t>
            </w:r>
          </w:p>
        </w:tc>
        <w:tc>
          <w:tcPr>
            <w:tcW w:w="1001" w:type="dxa"/>
            <w:vAlign w:val="center"/>
          </w:tcPr>
          <w:p w14:paraId="05E6C662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2" w:type="dxa"/>
            <w:vAlign w:val="center"/>
          </w:tcPr>
          <w:p w14:paraId="5CE034CE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萼片长度萼片宽度</w:t>
            </w:r>
          </w:p>
        </w:tc>
        <w:tc>
          <w:tcPr>
            <w:tcW w:w="1550" w:type="dxa"/>
            <w:vAlign w:val="center"/>
          </w:tcPr>
          <w:p w14:paraId="2FFE463B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0.705</w:t>
            </w:r>
          </w:p>
        </w:tc>
        <w:tc>
          <w:tcPr>
            <w:tcW w:w="1528" w:type="dxa"/>
            <w:vAlign w:val="center"/>
          </w:tcPr>
          <w:p w14:paraId="3420390A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0.622</w:t>
            </w:r>
          </w:p>
        </w:tc>
      </w:tr>
      <w:tr w14:paraId="79D89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 w14:paraId="15924728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770" w:type="dxa"/>
            <w:vMerge w:val="continue"/>
            <w:vAlign w:val="center"/>
          </w:tcPr>
          <w:p w14:paraId="3AD4677F">
            <w:pPr>
              <w:pStyle w:val="3"/>
              <w:snapToGrid w:val="0"/>
            </w:pPr>
          </w:p>
        </w:tc>
        <w:tc>
          <w:tcPr>
            <w:tcW w:w="1001" w:type="dxa"/>
            <w:vAlign w:val="center"/>
          </w:tcPr>
          <w:p w14:paraId="6812038E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2" w:type="dxa"/>
            <w:vAlign w:val="center"/>
          </w:tcPr>
          <w:p w14:paraId="7B363642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萼片长度萼片宽度花瓣长度花瓣宽度</w:t>
            </w:r>
          </w:p>
        </w:tc>
        <w:tc>
          <w:tcPr>
            <w:tcW w:w="1550" w:type="dxa"/>
            <w:vAlign w:val="center"/>
          </w:tcPr>
          <w:p w14:paraId="3A4D25FD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0.952</w:t>
            </w:r>
          </w:p>
        </w:tc>
        <w:tc>
          <w:tcPr>
            <w:tcW w:w="1528" w:type="dxa"/>
            <w:vAlign w:val="center"/>
          </w:tcPr>
          <w:p w14:paraId="61932194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0.889</w:t>
            </w:r>
          </w:p>
        </w:tc>
      </w:tr>
      <w:tr w14:paraId="67CAC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restart"/>
            <w:vAlign w:val="center"/>
          </w:tcPr>
          <w:p w14:paraId="290DA152">
            <w:pPr>
              <w:pStyle w:val="3"/>
              <w:adjustRightInd w:val="0"/>
              <w:snapToGrid w:val="0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支持向量机</w:t>
            </w:r>
          </w:p>
          <w:p w14:paraId="76332971">
            <w:pPr>
              <w:pStyle w:val="3"/>
              <w:snapToGrid w:val="0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（线性核）</w:t>
            </w:r>
          </w:p>
        </w:tc>
        <w:tc>
          <w:tcPr>
            <w:tcW w:w="1770" w:type="dxa"/>
            <w:vMerge w:val="restart"/>
            <w:vAlign w:val="center"/>
          </w:tcPr>
          <w:p w14:paraId="250CD6AB">
            <w:pPr>
              <w:pStyle w:val="3"/>
              <w:adjustRightInd w:val="0"/>
              <w:snapToGrid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C=0.5（惩罚参数，默认值为1.0）</w:t>
            </w:r>
          </w:p>
          <w:p w14:paraId="3C7620FE">
            <w:pPr>
              <w:pStyle w:val="3"/>
              <w:adjustRightInd w:val="0"/>
              <w:snapToGrid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decision_function_shape='ovr'</w:t>
            </w:r>
          </w:p>
        </w:tc>
        <w:tc>
          <w:tcPr>
            <w:tcW w:w="1001" w:type="dxa"/>
            <w:vAlign w:val="center"/>
          </w:tcPr>
          <w:p w14:paraId="67014ACE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2" w:type="dxa"/>
            <w:vAlign w:val="center"/>
          </w:tcPr>
          <w:p w14:paraId="4A24864F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萼片长度萼片宽度</w:t>
            </w:r>
          </w:p>
        </w:tc>
        <w:tc>
          <w:tcPr>
            <w:tcW w:w="1550" w:type="dxa"/>
            <w:vAlign w:val="center"/>
          </w:tcPr>
          <w:p w14:paraId="305F7916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0.819</w:t>
            </w:r>
          </w:p>
        </w:tc>
        <w:tc>
          <w:tcPr>
            <w:tcW w:w="1528" w:type="dxa"/>
            <w:vAlign w:val="center"/>
          </w:tcPr>
          <w:p w14:paraId="23C9F3FE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0.778</w:t>
            </w:r>
          </w:p>
        </w:tc>
      </w:tr>
      <w:tr w14:paraId="5717A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  <w:jc w:val="center"/>
        </w:trPr>
        <w:tc>
          <w:tcPr>
            <w:tcW w:w="1101" w:type="dxa"/>
            <w:vMerge w:val="continue"/>
            <w:vAlign w:val="center"/>
          </w:tcPr>
          <w:p w14:paraId="07483071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770" w:type="dxa"/>
            <w:vMerge w:val="continue"/>
            <w:vAlign w:val="center"/>
          </w:tcPr>
          <w:p w14:paraId="71D7CD74">
            <w:pPr>
              <w:pStyle w:val="3"/>
              <w:adjustRightInd w:val="0"/>
              <w:snapToGrid w:val="0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1001" w:type="dxa"/>
            <w:vAlign w:val="center"/>
          </w:tcPr>
          <w:p w14:paraId="28568CC8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2" w:type="dxa"/>
            <w:vAlign w:val="center"/>
          </w:tcPr>
          <w:p w14:paraId="3141C7B6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萼片长度萼片宽度花瓣长度花瓣宽度</w:t>
            </w:r>
          </w:p>
        </w:tc>
        <w:tc>
          <w:tcPr>
            <w:tcW w:w="1550" w:type="dxa"/>
            <w:vAlign w:val="center"/>
          </w:tcPr>
          <w:p w14:paraId="4CBD3069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0.981</w:t>
            </w:r>
          </w:p>
        </w:tc>
        <w:tc>
          <w:tcPr>
            <w:tcW w:w="1528" w:type="dxa"/>
            <w:vAlign w:val="center"/>
          </w:tcPr>
          <w:p w14:paraId="2AA74FE4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0.978</w:t>
            </w:r>
          </w:p>
        </w:tc>
      </w:tr>
      <w:tr w14:paraId="1DAA5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  <w:jc w:val="center"/>
        </w:trPr>
        <w:tc>
          <w:tcPr>
            <w:tcW w:w="1101" w:type="dxa"/>
            <w:vMerge w:val="restart"/>
            <w:vAlign w:val="center"/>
          </w:tcPr>
          <w:p w14:paraId="253D8A7D">
            <w:pPr>
              <w:pStyle w:val="3"/>
              <w:adjustRightInd w:val="0"/>
              <w:snapToGrid w:val="0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支持向量机</w:t>
            </w:r>
          </w:p>
          <w:p w14:paraId="0FF036C0">
            <w:pPr>
              <w:pStyle w:val="3"/>
              <w:adjustRightInd w:val="0"/>
              <w:snapToGrid w:val="0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（高斯核）</w:t>
            </w:r>
          </w:p>
        </w:tc>
        <w:tc>
          <w:tcPr>
            <w:tcW w:w="1770" w:type="dxa"/>
            <w:vMerge w:val="restart"/>
            <w:vAlign w:val="center"/>
          </w:tcPr>
          <w:p w14:paraId="5A486AE0">
            <w:pPr>
              <w:pStyle w:val="3"/>
              <w:adjustRightInd w:val="0"/>
              <w:snapToGrid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C=0.5（惩罚参数，默认值为1.0）</w:t>
            </w:r>
          </w:p>
          <w:p w14:paraId="6E4E80B3">
            <w:pPr>
              <w:pStyle w:val="3"/>
              <w:adjustRightInd w:val="0"/>
              <w:snapToGrid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gamma=1（高斯核的宽度）</w:t>
            </w:r>
          </w:p>
          <w:p w14:paraId="2FF1CEEA">
            <w:pPr>
              <w:pStyle w:val="3"/>
              <w:adjustRightInd w:val="0"/>
              <w:snapToGrid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decision_function_shape='ovr'</w:t>
            </w:r>
          </w:p>
        </w:tc>
        <w:tc>
          <w:tcPr>
            <w:tcW w:w="1001" w:type="dxa"/>
            <w:vAlign w:val="center"/>
          </w:tcPr>
          <w:p w14:paraId="3E8278A4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2" w:type="dxa"/>
            <w:vAlign w:val="center"/>
          </w:tcPr>
          <w:p w14:paraId="71D9E298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萼片长度萼片宽度</w:t>
            </w:r>
          </w:p>
        </w:tc>
        <w:tc>
          <w:tcPr>
            <w:tcW w:w="1550" w:type="dxa"/>
            <w:vAlign w:val="center"/>
          </w:tcPr>
          <w:p w14:paraId="6E1D9D34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0.829</w:t>
            </w:r>
          </w:p>
        </w:tc>
        <w:tc>
          <w:tcPr>
            <w:tcW w:w="1528" w:type="dxa"/>
            <w:vAlign w:val="center"/>
          </w:tcPr>
          <w:p w14:paraId="0536BAA4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0.778</w:t>
            </w:r>
          </w:p>
        </w:tc>
      </w:tr>
      <w:tr w14:paraId="77AD8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 w14:paraId="5794D4AD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770" w:type="dxa"/>
            <w:vMerge w:val="continue"/>
            <w:vAlign w:val="center"/>
          </w:tcPr>
          <w:p w14:paraId="196130AD">
            <w:pPr>
              <w:pStyle w:val="3"/>
              <w:adjustRightInd w:val="0"/>
              <w:snapToGrid w:val="0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1001" w:type="dxa"/>
            <w:vAlign w:val="center"/>
          </w:tcPr>
          <w:p w14:paraId="17630BCF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2" w:type="dxa"/>
            <w:vAlign w:val="center"/>
          </w:tcPr>
          <w:p w14:paraId="01419749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萼片长度萼片宽度花瓣长度花瓣宽度</w:t>
            </w:r>
          </w:p>
        </w:tc>
        <w:tc>
          <w:tcPr>
            <w:tcW w:w="1550" w:type="dxa"/>
            <w:vAlign w:val="center"/>
          </w:tcPr>
          <w:p w14:paraId="48C0A843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0.981</w:t>
            </w:r>
          </w:p>
        </w:tc>
        <w:tc>
          <w:tcPr>
            <w:tcW w:w="1528" w:type="dxa"/>
            <w:vAlign w:val="center"/>
          </w:tcPr>
          <w:p w14:paraId="2E550EE8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0.978</w:t>
            </w:r>
          </w:p>
        </w:tc>
      </w:tr>
    </w:tbl>
    <w:p w14:paraId="4377BC66"/>
    <w:p w14:paraId="34C9E1E3">
      <w:pPr>
        <w:rPr>
          <w:rFonts w:hint="eastAsia"/>
        </w:rPr>
      </w:pPr>
    </w:p>
    <w:p w14:paraId="7DE46081">
      <w:pPr>
        <w:pStyle w:val="3"/>
        <w:adjustRightInd w:val="0"/>
        <w:snapToGrid w:val="0"/>
        <w:spacing w:before="0" w:beforeAutospacing="0" w:after="0" w:afterAutospacing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支持向量机（线性）只输入两个特征的</w:t>
      </w:r>
      <w:r>
        <w:rPr>
          <w:rFonts w:hint="eastAsia" w:ascii="微软雅黑" w:hAnsi="微软雅黑" w:eastAsia="微软雅黑" w:cs="Segoe UI"/>
          <w:color w:val="000000"/>
          <w:sz w:val="21"/>
          <w:szCs w:val="21"/>
          <w:shd w:val="clear" w:color="auto" w:fill="FFFFFF"/>
        </w:rPr>
        <w:t>分类区域图：</w:t>
      </w:r>
    </w:p>
    <w:p w14:paraId="0A7EF6CC">
      <w:r>
        <w:drawing>
          <wp:inline distT="0" distB="0" distL="0" distR="0">
            <wp:extent cx="3949700" cy="3417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4581" cy="343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3A6E"/>
    <w:p w14:paraId="244CCE24">
      <w:pPr>
        <w:rPr>
          <w:rFonts w:hint="eastAsia"/>
        </w:rPr>
      </w:pPr>
    </w:p>
    <w:p w14:paraId="1A34C82F">
      <w:pPr>
        <w:pStyle w:val="3"/>
        <w:adjustRightInd w:val="0"/>
        <w:snapToGrid w:val="0"/>
        <w:spacing w:before="0" w:beforeAutospacing="0" w:after="0" w:afterAutospacing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支持向量机（高斯核）只输入两个特征的</w:t>
      </w:r>
      <w:r>
        <w:rPr>
          <w:rFonts w:hint="eastAsia" w:ascii="微软雅黑" w:hAnsi="微软雅黑" w:eastAsia="微软雅黑" w:cs="Segoe UI"/>
          <w:color w:val="000000"/>
          <w:sz w:val="21"/>
          <w:szCs w:val="21"/>
          <w:shd w:val="clear" w:color="auto" w:fill="FFFFFF"/>
        </w:rPr>
        <w:t>分类区域图：</w:t>
      </w:r>
    </w:p>
    <w:p w14:paraId="5B9A592A">
      <w:pPr>
        <w:rPr>
          <w:rFonts w:hint="eastAsia"/>
        </w:rPr>
      </w:pPr>
      <w:r>
        <w:drawing>
          <wp:inline distT="0" distB="0" distL="0" distR="0">
            <wp:extent cx="3752215" cy="2824480"/>
            <wp:effectExtent l="0" t="0" r="6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670" cy="284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C458">
      <w:pPr>
        <w:pStyle w:val="3"/>
        <w:adjustRightInd w:val="0"/>
        <w:snapToGrid w:val="0"/>
        <w:spacing w:before="0" w:beforeAutospacing="0" w:after="0" w:afterAutospacing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逻辑回归只输入两个特征的</w:t>
      </w:r>
      <w:r>
        <w:rPr>
          <w:rFonts w:hint="eastAsia" w:ascii="微软雅黑" w:hAnsi="微软雅黑" w:eastAsia="微软雅黑" w:cs="Segoe UI"/>
          <w:color w:val="000000"/>
          <w:sz w:val="21"/>
          <w:szCs w:val="21"/>
          <w:shd w:val="clear" w:color="auto" w:fill="FFFFFF"/>
        </w:rPr>
        <w:t>分类区域图：</w:t>
      </w:r>
    </w:p>
    <w:p w14:paraId="26B13D08">
      <w:r>
        <w:drawing>
          <wp:inline distT="0" distB="0" distL="0" distR="0">
            <wp:extent cx="3964305" cy="3018155"/>
            <wp:effectExtent l="0" t="0" r="171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8786" cy="302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8B19"/>
    <w:p w14:paraId="4B4770EA">
      <w:pPr>
        <w:pStyle w:val="3"/>
        <w:snapToGrid w:val="0"/>
        <w:spacing w:after="0" w:afterAutospacing="0"/>
        <w:ind w:firstLine="238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表2 支持向量机（</w:t>
      </w:r>
      <w:r>
        <w:rPr>
          <w:rFonts w:hint="eastAsia"/>
          <w:sz w:val="18"/>
          <w:szCs w:val="18"/>
        </w:rPr>
        <w:t>高斯核</w:t>
      </w:r>
      <w:r>
        <w:rPr>
          <w:rFonts w:hint="eastAsia"/>
          <w:sz w:val="21"/>
          <w:szCs w:val="21"/>
        </w:rPr>
        <w:t>）</w:t>
      </w:r>
      <w:r>
        <w:rPr>
          <w:rFonts w:hint="eastAsia" w:ascii="Times New Roman" w:hAnsi="Times New Roman" w:cs="Times New Roman"/>
          <w:sz w:val="21"/>
          <w:szCs w:val="21"/>
        </w:rPr>
        <w:t>的分类</w:t>
      </w:r>
      <w:r>
        <w:rPr>
          <w:rFonts w:hint="eastAsia"/>
          <w:sz w:val="21"/>
          <w:szCs w:val="21"/>
        </w:rPr>
        <w:t>结果</w:t>
      </w:r>
    </w:p>
    <w:tbl>
      <w:tblPr>
        <w:tblStyle w:val="4"/>
        <w:tblW w:w="7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1369"/>
        <w:gridCol w:w="975"/>
        <w:gridCol w:w="2006"/>
        <w:gridCol w:w="1246"/>
        <w:gridCol w:w="1082"/>
      </w:tblGrid>
      <w:tr w14:paraId="03F80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Align w:val="center"/>
          </w:tcPr>
          <w:p w14:paraId="7786EACD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分类算法</w:t>
            </w:r>
          </w:p>
        </w:tc>
        <w:tc>
          <w:tcPr>
            <w:tcW w:w="1369" w:type="dxa"/>
            <w:vAlign w:val="center"/>
          </w:tcPr>
          <w:p w14:paraId="302D5FCF">
            <w:pPr>
              <w:pStyle w:val="3"/>
              <w:snapToGrid w:val="0"/>
              <w:jc w:val="center"/>
            </w:pPr>
            <w:r>
              <w:rPr>
                <w:rFonts w:hint="eastAsia"/>
                <w:sz w:val="18"/>
                <w:szCs w:val="18"/>
              </w:rPr>
              <w:t>算法参数</w:t>
            </w:r>
          </w:p>
        </w:tc>
        <w:tc>
          <w:tcPr>
            <w:tcW w:w="975" w:type="dxa"/>
            <w:vAlign w:val="center"/>
          </w:tcPr>
          <w:p w14:paraId="6B6EE9DF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输入特征个数</w:t>
            </w:r>
          </w:p>
        </w:tc>
        <w:tc>
          <w:tcPr>
            <w:tcW w:w="2006" w:type="dxa"/>
            <w:vAlign w:val="center"/>
          </w:tcPr>
          <w:p w14:paraId="0D4D43FD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输入特征名称</w:t>
            </w:r>
          </w:p>
        </w:tc>
        <w:tc>
          <w:tcPr>
            <w:tcW w:w="1246" w:type="dxa"/>
            <w:vAlign w:val="center"/>
          </w:tcPr>
          <w:p w14:paraId="401225F9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训练集的准确率</w:t>
            </w:r>
          </w:p>
        </w:tc>
        <w:tc>
          <w:tcPr>
            <w:tcW w:w="1082" w:type="dxa"/>
            <w:vAlign w:val="center"/>
          </w:tcPr>
          <w:p w14:paraId="2EF5EDAD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测试集的准确率</w:t>
            </w:r>
          </w:p>
        </w:tc>
      </w:tr>
      <w:tr w14:paraId="6B9A4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Merge w:val="restart"/>
            <w:vAlign w:val="center"/>
          </w:tcPr>
          <w:p w14:paraId="528D763D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支持向量机（线性核）</w:t>
            </w:r>
          </w:p>
        </w:tc>
        <w:tc>
          <w:tcPr>
            <w:tcW w:w="1369" w:type="dxa"/>
            <w:vAlign w:val="center"/>
          </w:tcPr>
          <w:p w14:paraId="75EB13F8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C=0.5</w:t>
            </w:r>
          </w:p>
        </w:tc>
        <w:tc>
          <w:tcPr>
            <w:tcW w:w="975" w:type="dxa"/>
            <w:vAlign w:val="center"/>
          </w:tcPr>
          <w:p w14:paraId="60A25AB0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6" w:type="dxa"/>
            <w:vAlign w:val="center"/>
          </w:tcPr>
          <w:p w14:paraId="2EC003D0">
            <w:pPr>
              <w:pStyle w:val="3"/>
              <w:snapToGri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萼片长度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萼片宽度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花瓣长度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花瓣宽度</w:t>
            </w:r>
          </w:p>
        </w:tc>
        <w:tc>
          <w:tcPr>
            <w:tcW w:w="1246" w:type="dxa"/>
            <w:vAlign w:val="center"/>
          </w:tcPr>
          <w:p w14:paraId="0CC598EE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0.981</w:t>
            </w:r>
          </w:p>
        </w:tc>
        <w:tc>
          <w:tcPr>
            <w:tcW w:w="1082" w:type="dxa"/>
            <w:vAlign w:val="center"/>
          </w:tcPr>
          <w:p w14:paraId="2988626B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0.978</w:t>
            </w:r>
          </w:p>
        </w:tc>
      </w:tr>
      <w:tr w14:paraId="320BB4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Merge w:val="continue"/>
            <w:vAlign w:val="center"/>
          </w:tcPr>
          <w:p w14:paraId="631A4135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69" w:type="dxa"/>
            <w:vAlign w:val="center"/>
          </w:tcPr>
          <w:p w14:paraId="5C1FF63F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C=0.8</w:t>
            </w:r>
          </w:p>
        </w:tc>
        <w:tc>
          <w:tcPr>
            <w:tcW w:w="975" w:type="dxa"/>
            <w:vAlign w:val="center"/>
          </w:tcPr>
          <w:p w14:paraId="1B521EDF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6" w:type="dxa"/>
            <w:vAlign w:val="center"/>
          </w:tcPr>
          <w:p w14:paraId="1519AB4F">
            <w:pPr>
              <w:pStyle w:val="3"/>
              <w:snapToGri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萼片长度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萼片宽度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花瓣长度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花瓣宽度</w:t>
            </w:r>
          </w:p>
        </w:tc>
        <w:tc>
          <w:tcPr>
            <w:tcW w:w="1246" w:type="dxa"/>
            <w:vAlign w:val="center"/>
          </w:tcPr>
          <w:p w14:paraId="254C8381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0.981</w:t>
            </w:r>
          </w:p>
        </w:tc>
        <w:tc>
          <w:tcPr>
            <w:tcW w:w="1082" w:type="dxa"/>
            <w:vAlign w:val="center"/>
          </w:tcPr>
          <w:p w14:paraId="484D4402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1.000</w:t>
            </w:r>
          </w:p>
        </w:tc>
      </w:tr>
      <w:tr w14:paraId="2A82A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Merge w:val="continue"/>
            <w:vAlign w:val="center"/>
          </w:tcPr>
          <w:p w14:paraId="1259E09E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69" w:type="dxa"/>
            <w:vAlign w:val="center"/>
          </w:tcPr>
          <w:p w14:paraId="7134C743">
            <w:pPr>
              <w:pStyle w:val="3"/>
              <w:snapToGrid w:val="0"/>
              <w:jc w:val="center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C=1.0</w:t>
            </w:r>
          </w:p>
        </w:tc>
        <w:tc>
          <w:tcPr>
            <w:tcW w:w="975" w:type="dxa"/>
            <w:vAlign w:val="center"/>
          </w:tcPr>
          <w:p w14:paraId="53489DAE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6" w:type="dxa"/>
            <w:vAlign w:val="center"/>
          </w:tcPr>
          <w:p w14:paraId="3D8774CC">
            <w:pPr>
              <w:pStyle w:val="3"/>
              <w:snapToGri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萼片长度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萼片宽度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花瓣长度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花瓣宽度</w:t>
            </w:r>
          </w:p>
        </w:tc>
        <w:tc>
          <w:tcPr>
            <w:tcW w:w="1246" w:type="dxa"/>
            <w:vAlign w:val="center"/>
          </w:tcPr>
          <w:p w14:paraId="50DFCB0E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0.981</w:t>
            </w:r>
          </w:p>
        </w:tc>
        <w:tc>
          <w:tcPr>
            <w:tcW w:w="1082" w:type="dxa"/>
            <w:vAlign w:val="center"/>
          </w:tcPr>
          <w:p w14:paraId="527BFB72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1.000</w:t>
            </w:r>
          </w:p>
        </w:tc>
      </w:tr>
      <w:tr w14:paraId="3843D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Merge w:val="continue"/>
            <w:vAlign w:val="center"/>
          </w:tcPr>
          <w:p w14:paraId="200EAE2B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69" w:type="dxa"/>
            <w:vAlign w:val="center"/>
          </w:tcPr>
          <w:p w14:paraId="1F2708BF">
            <w:pPr>
              <w:pStyle w:val="3"/>
              <w:snapToGrid w:val="0"/>
              <w:jc w:val="center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C=5.0</w:t>
            </w:r>
          </w:p>
        </w:tc>
        <w:tc>
          <w:tcPr>
            <w:tcW w:w="975" w:type="dxa"/>
            <w:vAlign w:val="center"/>
          </w:tcPr>
          <w:p w14:paraId="02FA3BCF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6" w:type="dxa"/>
            <w:vAlign w:val="center"/>
          </w:tcPr>
          <w:p w14:paraId="0E46D2CF">
            <w:pPr>
              <w:pStyle w:val="3"/>
              <w:snapToGri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萼片长度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萼片宽度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花瓣长度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花瓣宽度</w:t>
            </w:r>
          </w:p>
        </w:tc>
        <w:tc>
          <w:tcPr>
            <w:tcW w:w="1246" w:type="dxa"/>
            <w:vAlign w:val="center"/>
          </w:tcPr>
          <w:p w14:paraId="2CCEB2D3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0.981</w:t>
            </w:r>
          </w:p>
        </w:tc>
        <w:tc>
          <w:tcPr>
            <w:tcW w:w="1082" w:type="dxa"/>
            <w:vAlign w:val="center"/>
          </w:tcPr>
          <w:p w14:paraId="04493F6C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0.978</w:t>
            </w:r>
          </w:p>
        </w:tc>
      </w:tr>
      <w:tr w14:paraId="2D531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Merge w:val="continue"/>
            <w:vAlign w:val="center"/>
          </w:tcPr>
          <w:p w14:paraId="2B5182EA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69" w:type="dxa"/>
            <w:vAlign w:val="center"/>
          </w:tcPr>
          <w:p w14:paraId="0EAD1FFA">
            <w:pPr>
              <w:pStyle w:val="3"/>
              <w:snapToGrid w:val="0"/>
              <w:jc w:val="center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C=10.0</w:t>
            </w:r>
          </w:p>
        </w:tc>
        <w:tc>
          <w:tcPr>
            <w:tcW w:w="975" w:type="dxa"/>
            <w:vAlign w:val="center"/>
          </w:tcPr>
          <w:p w14:paraId="50D60260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6" w:type="dxa"/>
            <w:vAlign w:val="center"/>
          </w:tcPr>
          <w:p w14:paraId="400B2956">
            <w:pPr>
              <w:pStyle w:val="3"/>
              <w:snapToGri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萼片长度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萼片宽度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花瓣长度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花瓣宽度</w:t>
            </w:r>
          </w:p>
        </w:tc>
        <w:tc>
          <w:tcPr>
            <w:tcW w:w="1246" w:type="dxa"/>
            <w:vAlign w:val="center"/>
          </w:tcPr>
          <w:p w14:paraId="6AA00ECA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0.971</w:t>
            </w:r>
          </w:p>
        </w:tc>
        <w:tc>
          <w:tcPr>
            <w:tcW w:w="1082" w:type="dxa"/>
            <w:vAlign w:val="center"/>
          </w:tcPr>
          <w:p w14:paraId="31832CC5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0.978</w:t>
            </w:r>
          </w:p>
        </w:tc>
      </w:tr>
      <w:tr w14:paraId="4F6A4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Merge w:val="restart"/>
            <w:vAlign w:val="center"/>
          </w:tcPr>
          <w:p w14:paraId="68A9164F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支持向量机（高斯核）</w:t>
            </w:r>
          </w:p>
        </w:tc>
        <w:tc>
          <w:tcPr>
            <w:tcW w:w="1369" w:type="dxa"/>
            <w:vAlign w:val="center"/>
          </w:tcPr>
          <w:p w14:paraId="69EB1874">
            <w:pPr>
              <w:pStyle w:val="3"/>
              <w:adjustRightInd w:val="0"/>
              <w:snapToGrid w:val="0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C=0.8</w:t>
            </w:r>
          </w:p>
          <w:p w14:paraId="449960E2">
            <w:pPr>
              <w:pStyle w:val="3"/>
              <w:adjustRightInd w:val="0"/>
              <w:snapToGrid w:val="0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gamma=0.1</w:t>
            </w:r>
          </w:p>
        </w:tc>
        <w:tc>
          <w:tcPr>
            <w:tcW w:w="975" w:type="dxa"/>
            <w:vAlign w:val="center"/>
          </w:tcPr>
          <w:p w14:paraId="4AE593EA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6" w:type="dxa"/>
            <w:vAlign w:val="center"/>
          </w:tcPr>
          <w:p w14:paraId="7C401AC7">
            <w:pPr>
              <w:pStyle w:val="3"/>
              <w:snapToGri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萼片长度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萼片宽度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花瓣长度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花瓣宽度</w:t>
            </w:r>
          </w:p>
        </w:tc>
        <w:tc>
          <w:tcPr>
            <w:tcW w:w="1246" w:type="dxa"/>
            <w:vAlign w:val="center"/>
          </w:tcPr>
          <w:p w14:paraId="594ABA8F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0.971</w:t>
            </w:r>
          </w:p>
        </w:tc>
        <w:tc>
          <w:tcPr>
            <w:tcW w:w="1082" w:type="dxa"/>
            <w:vAlign w:val="center"/>
          </w:tcPr>
          <w:p w14:paraId="2EED416A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0.978</w:t>
            </w:r>
          </w:p>
        </w:tc>
      </w:tr>
      <w:tr w14:paraId="03B0F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Merge w:val="continue"/>
            <w:vAlign w:val="center"/>
          </w:tcPr>
          <w:p w14:paraId="0D224DF2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69" w:type="dxa"/>
            <w:vAlign w:val="center"/>
          </w:tcPr>
          <w:p w14:paraId="0A8944AA">
            <w:pPr>
              <w:pStyle w:val="3"/>
              <w:adjustRightInd w:val="0"/>
              <w:snapToGrid w:val="0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C=0.8</w:t>
            </w:r>
          </w:p>
          <w:p w14:paraId="442344F1">
            <w:pPr>
              <w:pStyle w:val="3"/>
              <w:adjustRightInd w:val="0"/>
              <w:snapToGrid w:val="0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gamma=1</w:t>
            </w:r>
          </w:p>
        </w:tc>
        <w:tc>
          <w:tcPr>
            <w:tcW w:w="975" w:type="dxa"/>
            <w:vAlign w:val="center"/>
          </w:tcPr>
          <w:p w14:paraId="0EADB954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6" w:type="dxa"/>
            <w:vAlign w:val="center"/>
          </w:tcPr>
          <w:p w14:paraId="0D31B309">
            <w:pPr>
              <w:pStyle w:val="3"/>
              <w:snapToGri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萼片长度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萼片宽度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花瓣长度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花瓣宽度</w:t>
            </w:r>
          </w:p>
        </w:tc>
        <w:tc>
          <w:tcPr>
            <w:tcW w:w="1246" w:type="dxa"/>
            <w:vAlign w:val="center"/>
          </w:tcPr>
          <w:p w14:paraId="2F7D3923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0.981</w:t>
            </w:r>
          </w:p>
        </w:tc>
        <w:tc>
          <w:tcPr>
            <w:tcW w:w="1082" w:type="dxa"/>
            <w:vAlign w:val="center"/>
          </w:tcPr>
          <w:p w14:paraId="0FE94C9E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0.956</w:t>
            </w:r>
          </w:p>
        </w:tc>
      </w:tr>
      <w:tr w14:paraId="20235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Merge w:val="continue"/>
            <w:vAlign w:val="center"/>
          </w:tcPr>
          <w:p w14:paraId="78AF29DD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69" w:type="dxa"/>
            <w:vAlign w:val="center"/>
          </w:tcPr>
          <w:p w14:paraId="5417CA83">
            <w:pPr>
              <w:pStyle w:val="3"/>
              <w:adjustRightInd w:val="0"/>
              <w:snapToGrid w:val="0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C=0.8</w:t>
            </w:r>
          </w:p>
          <w:p w14:paraId="26508AA0">
            <w:pPr>
              <w:pStyle w:val="3"/>
              <w:adjustRightInd w:val="0"/>
              <w:snapToGrid w:val="0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gamma=10</w:t>
            </w:r>
          </w:p>
        </w:tc>
        <w:tc>
          <w:tcPr>
            <w:tcW w:w="975" w:type="dxa"/>
            <w:vAlign w:val="center"/>
          </w:tcPr>
          <w:p w14:paraId="746D1BFD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6" w:type="dxa"/>
            <w:vAlign w:val="center"/>
          </w:tcPr>
          <w:p w14:paraId="41FF106F">
            <w:pPr>
              <w:pStyle w:val="3"/>
              <w:snapToGri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萼片长度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萼片宽度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花瓣长度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花瓣宽度</w:t>
            </w:r>
          </w:p>
        </w:tc>
        <w:tc>
          <w:tcPr>
            <w:tcW w:w="1246" w:type="dxa"/>
            <w:vAlign w:val="center"/>
          </w:tcPr>
          <w:p w14:paraId="692208AA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1.000</w:t>
            </w:r>
          </w:p>
        </w:tc>
        <w:tc>
          <w:tcPr>
            <w:tcW w:w="1082" w:type="dxa"/>
            <w:vAlign w:val="center"/>
          </w:tcPr>
          <w:p w14:paraId="66B83DF7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0.956</w:t>
            </w:r>
          </w:p>
        </w:tc>
      </w:tr>
      <w:tr w14:paraId="15926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vMerge w:val="continue"/>
            <w:vAlign w:val="center"/>
          </w:tcPr>
          <w:p w14:paraId="7868396B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69" w:type="dxa"/>
            <w:vAlign w:val="center"/>
          </w:tcPr>
          <w:p w14:paraId="4E0E3513">
            <w:pPr>
              <w:pStyle w:val="3"/>
              <w:adjustRightInd w:val="0"/>
              <w:snapToGrid w:val="0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C=1</w:t>
            </w:r>
          </w:p>
          <w:p w14:paraId="22A99666">
            <w:pPr>
              <w:pStyle w:val="3"/>
              <w:adjustRightInd w:val="0"/>
              <w:snapToGrid w:val="0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gamma=10</w:t>
            </w:r>
          </w:p>
        </w:tc>
        <w:tc>
          <w:tcPr>
            <w:tcW w:w="975" w:type="dxa"/>
            <w:vAlign w:val="center"/>
          </w:tcPr>
          <w:p w14:paraId="4EF401E0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6" w:type="dxa"/>
            <w:vAlign w:val="center"/>
          </w:tcPr>
          <w:p w14:paraId="08BC43E3">
            <w:pPr>
              <w:pStyle w:val="3"/>
              <w:snapToGri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萼片长度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萼片宽度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花瓣长度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花瓣宽度</w:t>
            </w:r>
          </w:p>
        </w:tc>
        <w:tc>
          <w:tcPr>
            <w:tcW w:w="1246" w:type="dxa"/>
            <w:vAlign w:val="center"/>
          </w:tcPr>
          <w:p w14:paraId="0F6B5B75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1.000</w:t>
            </w:r>
          </w:p>
        </w:tc>
        <w:tc>
          <w:tcPr>
            <w:tcW w:w="1082" w:type="dxa"/>
            <w:vAlign w:val="center"/>
          </w:tcPr>
          <w:p w14:paraId="4E134F52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0.933</w:t>
            </w:r>
          </w:p>
        </w:tc>
      </w:tr>
    </w:tbl>
    <w:p w14:paraId="3EF6F14E">
      <w:pPr>
        <w:spacing w:before="53"/>
        <w:jc w:val="center"/>
        <w:rPr>
          <w:szCs w:val="21"/>
        </w:rPr>
      </w:pPr>
    </w:p>
    <w:p w14:paraId="51F52690">
      <w:pPr>
        <w:spacing w:before="53"/>
        <w:jc w:val="center"/>
        <w:rPr>
          <w:szCs w:val="21"/>
        </w:rPr>
      </w:pPr>
    </w:p>
    <w:p w14:paraId="07171C6C">
      <w:pPr>
        <w:spacing w:before="53"/>
        <w:jc w:val="center"/>
        <w:rPr>
          <w:szCs w:val="21"/>
        </w:rPr>
      </w:pPr>
    </w:p>
    <w:p w14:paraId="5679F5D6">
      <w:pPr>
        <w:spacing w:before="53"/>
        <w:jc w:val="center"/>
        <w:rPr>
          <w:szCs w:val="21"/>
        </w:rPr>
      </w:pPr>
    </w:p>
    <w:p w14:paraId="2B200B3D">
      <w:pPr>
        <w:spacing w:before="53"/>
        <w:jc w:val="center"/>
        <w:rPr>
          <w:szCs w:val="21"/>
        </w:rPr>
      </w:pPr>
    </w:p>
    <w:p w14:paraId="557C5658">
      <w:pPr>
        <w:spacing w:before="53"/>
        <w:jc w:val="center"/>
        <w:rPr>
          <w:rFonts w:hint="eastAsia"/>
          <w:szCs w:val="21"/>
        </w:rPr>
      </w:pPr>
    </w:p>
    <w:p w14:paraId="20B82828">
      <w:pPr>
        <w:pStyle w:val="3"/>
        <w:snapToGrid w:val="0"/>
        <w:spacing w:after="0" w:afterAutospacing="0"/>
        <w:ind w:firstLine="238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表3 基于k-均值的</w:t>
      </w:r>
      <w:r>
        <w:rPr>
          <w:rFonts w:hint="eastAsia" w:ascii="Times New Roman" w:hAnsi="Times New Roman" w:cs="Times New Roman"/>
          <w:sz w:val="21"/>
          <w:szCs w:val="21"/>
        </w:rPr>
        <w:t>鸢尾花聚类</w:t>
      </w:r>
      <w:r>
        <w:rPr>
          <w:rFonts w:hint="eastAsia"/>
          <w:sz w:val="21"/>
          <w:szCs w:val="21"/>
        </w:rPr>
        <w:t>结果</w:t>
      </w:r>
    </w:p>
    <w:tbl>
      <w:tblPr>
        <w:tblStyle w:val="4"/>
        <w:tblW w:w="63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102"/>
        <w:gridCol w:w="1102"/>
        <w:gridCol w:w="1550"/>
        <w:gridCol w:w="1528"/>
      </w:tblGrid>
      <w:tr w14:paraId="1BD9C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dxa"/>
            <w:vAlign w:val="center"/>
          </w:tcPr>
          <w:p w14:paraId="0F294945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初始聚类</w:t>
            </w:r>
          </w:p>
        </w:tc>
        <w:tc>
          <w:tcPr>
            <w:tcW w:w="1102" w:type="dxa"/>
            <w:vAlign w:val="center"/>
          </w:tcPr>
          <w:p w14:paraId="1A283DE9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输入特征个数</w:t>
            </w:r>
          </w:p>
        </w:tc>
        <w:tc>
          <w:tcPr>
            <w:tcW w:w="1102" w:type="dxa"/>
            <w:vAlign w:val="center"/>
          </w:tcPr>
          <w:p w14:paraId="099AAAB6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输入特征名称</w:t>
            </w:r>
          </w:p>
        </w:tc>
        <w:tc>
          <w:tcPr>
            <w:tcW w:w="1550" w:type="dxa"/>
            <w:vAlign w:val="center"/>
          </w:tcPr>
          <w:p w14:paraId="7CDD2E09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轮廓系数</w:t>
            </w:r>
          </w:p>
        </w:tc>
        <w:tc>
          <w:tcPr>
            <w:tcW w:w="1528" w:type="dxa"/>
            <w:vAlign w:val="center"/>
          </w:tcPr>
          <w:p w14:paraId="74BFE1D6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正确率</w:t>
            </w:r>
          </w:p>
        </w:tc>
      </w:tr>
      <w:tr w14:paraId="5FB2F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dxa"/>
            <w:vMerge w:val="restart"/>
            <w:vAlign w:val="center"/>
          </w:tcPr>
          <w:p w14:paraId="7C867C59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2" w:type="dxa"/>
            <w:vAlign w:val="center"/>
          </w:tcPr>
          <w:p w14:paraId="405E48A6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2" w:type="dxa"/>
            <w:vAlign w:val="center"/>
          </w:tcPr>
          <w:p w14:paraId="4702E040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萼片长度萼片宽度</w:t>
            </w:r>
          </w:p>
        </w:tc>
        <w:tc>
          <w:tcPr>
            <w:tcW w:w="1550" w:type="dxa"/>
            <w:vAlign w:val="center"/>
          </w:tcPr>
          <w:p w14:paraId="1DC2B30C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0.445</w:t>
            </w:r>
          </w:p>
        </w:tc>
        <w:tc>
          <w:tcPr>
            <w:tcW w:w="1528" w:type="dxa"/>
            <w:vAlign w:val="center"/>
          </w:tcPr>
          <w:p w14:paraId="7062C59E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</w:tr>
      <w:tr w14:paraId="43667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dxa"/>
            <w:vMerge w:val="continue"/>
            <w:vAlign w:val="center"/>
          </w:tcPr>
          <w:p w14:paraId="2CA472A9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14:paraId="7587EAFF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2" w:type="dxa"/>
            <w:vAlign w:val="center"/>
          </w:tcPr>
          <w:p w14:paraId="167B1618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萼片长度萼片宽度花瓣长度花瓣宽度</w:t>
            </w:r>
          </w:p>
        </w:tc>
        <w:tc>
          <w:tcPr>
            <w:tcW w:w="1550" w:type="dxa"/>
            <w:vAlign w:val="center"/>
          </w:tcPr>
          <w:p w14:paraId="1D40A07D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28" w:type="dxa"/>
            <w:vAlign w:val="center"/>
          </w:tcPr>
          <w:p w14:paraId="06CC36D9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0.893</w:t>
            </w:r>
          </w:p>
        </w:tc>
      </w:tr>
      <w:tr w14:paraId="079C4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dxa"/>
            <w:vAlign w:val="center"/>
          </w:tcPr>
          <w:p w14:paraId="2DC8955C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2" w:type="dxa"/>
            <w:vAlign w:val="center"/>
          </w:tcPr>
          <w:p w14:paraId="103A0DED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2" w:type="dxa"/>
            <w:vAlign w:val="center"/>
          </w:tcPr>
          <w:p w14:paraId="543E8FB4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萼片长度萼片宽度花瓣长度花瓣宽度</w:t>
            </w:r>
          </w:p>
        </w:tc>
        <w:tc>
          <w:tcPr>
            <w:tcW w:w="1550" w:type="dxa"/>
            <w:vAlign w:val="center"/>
          </w:tcPr>
          <w:p w14:paraId="51A7B450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0.681</w:t>
            </w:r>
          </w:p>
        </w:tc>
        <w:tc>
          <w:tcPr>
            <w:tcW w:w="1528" w:type="dxa"/>
            <w:vAlign w:val="center"/>
          </w:tcPr>
          <w:p w14:paraId="396C088A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</w:tr>
      <w:tr w14:paraId="0E7B5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2" w:type="dxa"/>
            <w:vAlign w:val="center"/>
          </w:tcPr>
          <w:p w14:paraId="69E5C8EE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2" w:type="dxa"/>
            <w:vAlign w:val="center"/>
          </w:tcPr>
          <w:p w14:paraId="2B779D49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2" w:type="dxa"/>
            <w:vAlign w:val="center"/>
          </w:tcPr>
          <w:p w14:paraId="46249446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萼片长度萼片宽度花瓣长度花瓣宽度</w:t>
            </w:r>
          </w:p>
        </w:tc>
        <w:tc>
          <w:tcPr>
            <w:tcW w:w="1550" w:type="dxa"/>
            <w:vAlign w:val="center"/>
          </w:tcPr>
          <w:p w14:paraId="78B25BAD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0.497</w:t>
            </w:r>
          </w:p>
        </w:tc>
        <w:tc>
          <w:tcPr>
            <w:tcW w:w="1528" w:type="dxa"/>
            <w:vAlign w:val="center"/>
          </w:tcPr>
          <w:p w14:paraId="5050FEFD">
            <w:pPr>
              <w:pStyle w:val="3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0.153</w:t>
            </w:r>
          </w:p>
        </w:tc>
      </w:tr>
    </w:tbl>
    <w:p w14:paraId="06387D0D">
      <w:pPr>
        <w:pStyle w:val="2"/>
        <w:spacing w:before="84"/>
        <w:ind w:left="5" w:firstLine="413" w:firstLineChars="197"/>
        <w:rPr>
          <w:rFonts w:eastAsia="宋体"/>
        </w:rPr>
      </w:pPr>
    </w:p>
    <w:p w14:paraId="7F8138CE">
      <w:pPr>
        <w:rPr>
          <w:rFonts w:ascii="微软雅黑" w:hAnsi="微软雅黑" w:eastAsia="微软雅黑"/>
          <w:b w:val="0"/>
          <w:bCs w:val="0"/>
        </w:rPr>
      </w:pPr>
      <w:r>
        <w:rPr>
          <w:rFonts w:hint="eastAsia" w:ascii="微软雅黑" w:hAnsi="微软雅黑" w:eastAsia="微软雅黑"/>
          <w:b w:val="0"/>
          <w:bCs w:val="0"/>
        </w:rPr>
        <w:t>原数据集:</w:t>
      </w:r>
    </w:p>
    <w:p w14:paraId="4862625B">
      <w:r>
        <w:drawing>
          <wp:inline distT="0" distB="0" distL="0" distR="0">
            <wp:extent cx="2918460" cy="2259330"/>
            <wp:effectExtent l="0" t="0" r="152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588" cy="226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71F8">
      <w:pPr>
        <w:rPr>
          <w:rFonts w:hint="eastAsia"/>
        </w:rPr>
      </w:pPr>
    </w:p>
    <w:p w14:paraId="64A07EA3">
      <w:r>
        <w:rPr>
          <w:rFonts w:hint="eastAsia"/>
        </w:rPr>
        <w:t>初始聚类3，特征个数2：</w:t>
      </w:r>
    </w:p>
    <w:p w14:paraId="32082782">
      <w:r>
        <w:drawing>
          <wp:inline distT="0" distB="0" distL="0" distR="0">
            <wp:extent cx="3102610" cy="23044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174" cy="230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732E">
      <w:pPr>
        <w:rPr>
          <w:rFonts w:hint="eastAsia"/>
        </w:rPr>
      </w:pPr>
    </w:p>
    <w:p w14:paraId="626077C5">
      <w:r>
        <w:rPr>
          <w:rFonts w:hint="eastAsia"/>
        </w:rPr>
        <w:t>初始聚类3，特征个数4：</w:t>
      </w:r>
    </w:p>
    <w:p w14:paraId="604668DD">
      <w:r>
        <w:drawing>
          <wp:inline distT="0" distB="0" distL="0" distR="0">
            <wp:extent cx="3053080" cy="2300605"/>
            <wp:effectExtent l="0" t="0" r="1397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764" cy="231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FC75">
      <w:r>
        <w:rPr>
          <w:rFonts w:hint="eastAsia"/>
        </w:rPr>
        <w:t>初始聚类2，特征个数4：</w:t>
      </w:r>
    </w:p>
    <w:p w14:paraId="7DBBC020">
      <w:r>
        <w:drawing>
          <wp:inline distT="0" distB="0" distL="0" distR="0">
            <wp:extent cx="3143885" cy="2385695"/>
            <wp:effectExtent l="0" t="0" r="1841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133" cy="23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D197">
      <w:r>
        <w:rPr>
          <w:rFonts w:hint="eastAsia"/>
        </w:rPr>
        <w:t>初始聚类4，特征个数4：</w:t>
      </w:r>
    </w:p>
    <w:p w14:paraId="76F9CF96">
      <w:r>
        <w:drawing>
          <wp:inline distT="0" distB="0" distL="0" distR="0">
            <wp:extent cx="3148330" cy="2389505"/>
            <wp:effectExtent l="0" t="0" r="1397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435" cy="239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9698"/>
    <w:p w14:paraId="25A214EF">
      <w:pPr>
        <w:pStyle w:val="3"/>
        <w:snapToGrid w:val="0"/>
        <w:outlineLvl w:val="0"/>
        <w:rPr>
          <w:b/>
          <w:bCs/>
        </w:rPr>
      </w:pPr>
      <w:r>
        <w:rPr>
          <w:rFonts w:hint="eastAsia"/>
          <w:b/>
          <w:bCs/>
        </w:rPr>
        <w:t>四、实验总结</w:t>
      </w:r>
    </w:p>
    <w:p w14:paraId="145D884B">
      <w:pPr>
        <w:ind w:firstLine="44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sz w:val="22"/>
          <w:szCs w:val="22"/>
        </w:rPr>
        <w:t>1、</w:t>
      </w:r>
      <w:r>
        <w:rPr>
          <w:rFonts w:hint="eastAsia" w:ascii="宋体" w:hAnsi="宋体" w:eastAsia="宋体"/>
        </w:rPr>
        <w:t>输入特征个数越多，机器能够学习到的越多，从而能够更精确的判断，得到的准确性就越高。</w:t>
      </w:r>
    </w:p>
    <w:p w14:paraId="4E0EC950">
      <w:pPr>
        <w:ind w:firstLine="440" w:firstLineChars="200"/>
        <w:rPr>
          <w:rFonts w:hint="eastAsia" w:ascii="宋体" w:hAnsi="宋体" w:eastAsia="宋体"/>
          <w:sz w:val="22"/>
          <w:szCs w:val="22"/>
        </w:rPr>
      </w:pPr>
    </w:p>
    <w:p w14:paraId="76D56557"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2、当观测样本较多时，逻辑回归的效率较高，但当特征个数较多时SVM的性能较好</w:t>
      </w:r>
    </w:p>
    <w:p w14:paraId="0290A518">
      <w:pPr>
        <w:ind w:firstLine="420" w:firstLineChars="200"/>
        <w:rPr>
          <w:rFonts w:hint="eastAsia" w:ascii="宋体" w:hAnsi="宋体" w:eastAsia="宋体"/>
        </w:rPr>
      </w:pPr>
    </w:p>
    <w:p w14:paraId="30082418">
      <w:pPr>
        <w:ind w:left="630" w:leftChars="200" w:hanging="210" w:hanging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3、n：样本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m：特征</w:t>
      </w:r>
      <w:r>
        <w:rPr>
          <w:rFonts w:ascii="宋体" w:hAnsi="宋体" w:eastAsia="宋体"/>
        </w:rPr>
        <w:br w:type="textWrapping"/>
      </w:r>
      <w:r>
        <w:rPr>
          <w:rFonts w:hint="eastAsia" w:ascii="宋体" w:hAnsi="宋体" w:eastAsia="宋体"/>
        </w:rPr>
        <w:t>①</w:t>
      </w:r>
      <w:r>
        <w:rPr>
          <w:rFonts w:ascii="宋体" w:hAnsi="宋体" w:eastAsia="宋体"/>
        </w:rPr>
        <w:t>相对于n，m很大。比如m≥n, m=10000, n=10~1000,即(m/n)&gt;10。</w:t>
      </w:r>
      <w:r>
        <w:rPr>
          <w:rFonts w:ascii="宋体" w:hAnsi="宋体" w:eastAsia="宋体"/>
        </w:rPr>
        <w:br w:type="textWrapping"/>
      </w:r>
      <w:r>
        <w:rPr>
          <w:rFonts w:ascii="宋体" w:hAnsi="宋体" w:eastAsia="宋体"/>
        </w:rPr>
        <w:t>考虑</w:t>
      </w:r>
      <w:r>
        <w:rPr>
          <w:rFonts w:hint="eastAsia" w:ascii="宋体" w:hAnsi="宋体" w:eastAsia="宋体"/>
        </w:rPr>
        <w:t>“</w:t>
      </w:r>
      <w:r>
        <w:rPr>
          <w:rFonts w:ascii="宋体" w:hAnsi="宋体" w:eastAsia="宋体"/>
        </w:rPr>
        <w:t>linear</w:t>
      </w:r>
      <w:r>
        <w:rPr>
          <w:rFonts w:hint="eastAsia" w:ascii="宋体" w:hAnsi="宋体" w:eastAsia="宋体"/>
        </w:rPr>
        <w:t>”</w:t>
      </w:r>
      <w:r>
        <w:rPr>
          <w:rFonts w:ascii="宋体" w:hAnsi="宋体" w:eastAsia="宋体"/>
        </w:rPr>
        <w:br w:type="textWrapping"/>
      </w:r>
      <w:r>
        <w:rPr>
          <w:rFonts w:hint="eastAsia" w:ascii="宋体" w:hAnsi="宋体" w:eastAsia="宋体"/>
        </w:rPr>
        <w:t>②</w:t>
      </w:r>
      <w:r>
        <w:rPr>
          <w:rFonts w:ascii="宋体" w:hAnsi="宋体" w:eastAsia="宋体"/>
        </w:rPr>
        <w:t>m很小，n一般大小。比如m=1-1000, n=10~10000,即(m/n)在[0.0001,100].</w:t>
      </w:r>
      <w:r>
        <w:rPr>
          <w:rFonts w:ascii="宋体" w:hAnsi="宋体" w:eastAsia="宋体"/>
        </w:rPr>
        <w:br w:type="textWrapping"/>
      </w:r>
      <w:r>
        <w:rPr>
          <w:rFonts w:ascii="宋体" w:hAnsi="宋体" w:eastAsia="宋体"/>
        </w:rPr>
        <w:t>考虑</w:t>
      </w:r>
      <w:r>
        <w:rPr>
          <w:rFonts w:hint="eastAsia" w:ascii="宋体" w:hAnsi="宋体" w:eastAsia="宋体"/>
        </w:rPr>
        <w:t>“</w:t>
      </w:r>
      <w:r>
        <w:rPr>
          <w:rFonts w:ascii="宋体" w:hAnsi="宋体" w:eastAsia="宋体"/>
        </w:rPr>
        <w:t>rbf</w:t>
      </w:r>
      <w:r>
        <w:rPr>
          <w:rFonts w:hint="eastAsia" w:ascii="宋体" w:hAnsi="宋体" w:eastAsia="宋体"/>
        </w:rPr>
        <w:t>”</w:t>
      </w:r>
      <w:r>
        <w:rPr>
          <w:rFonts w:ascii="宋体" w:hAnsi="宋体" w:eastAsia="宋体"/>
        </w:rPr>
        <w:br w:type="textWrapping"/>
      </w:r>
      <w:r>
        <w:rPr>
          <w:rFonts w:hint="eastAsia" w:ascii="宋体" w:hAnsi="宋体" w:eastAsia="宋体"/>
        </w:rPr>
        <w:t>③</w:t>
      </w:r>
      <w:r>
        <w:rPr>
          <w:rFonts w:ascii="宋体" w:hAnsi="宋体" w:eastAsia="宋体"/>
        </w:rPr>
        <w:t>m很小，n很大。比如n=1-1000，m=50000+，即(m/n)在[~,0.02].</w:t>
      </w:r>
      <w:r>
        <w:rPr>
          <w:rFonts w:ascii="宋体" w:hAnsi="宋体" w:eastAsia="宋体"/>
        </w:rPr>
        <w:br w:type="textWrapping"/>
      </w:r>
      <w:r>
        <w:rPr>
          <w:rFonts w:ascii="宋体" w:hAnsi="宋体" w:eastAsia="宋体"/>
        </w:rPr>
        <w:t>增加m的量，考虑</w:t>
      </w:r>
      <w:r>
        <w:rPr>
          <w:rFonts w:hint="eastAsia" w:ascii="宋体" w:hAnsi="宋体" w:eastAsia="宋体"/>
        </w:rPr>
        <w:t>“</w:t>
      </w:r>
      <w:r>
        <w:rPr>
          <w:rFonts w:ascii="宋体" w:hAnsi="宋体" w:eastAsia="宋体"/>
        </w:rPr>
        <w:t>linear</w:t>
      </w:r>
      <w:r>
        <w:rPr>
          <w:rFonts w:hint="eastAsia" w:ascii="宋体" w:hAnsi="宋体" w:eastAsia="宋体"/>
        </w:rPr>
        <w:t>”</w:t>
      </w:r>
    </w:p>
    <w:p w14:paraId="4319F97D">
      <w:pPr>
        <w:ind w:left="630" w:leftChars="3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④算法的超参数较高时考虑“</w:t>
      </w:r>
      <w:r>
        <w:rPr>
          <w:rFonts w:ascii="宋体" w:hAnsi="宋体" w:eastAsia="宋体"/>
        </w:rPr>
        <w:t>linear</w:t>
      </w:r>
      <w:r>
        <w:rPr>
          <w:rFonts w:hint="eastAsia" w:ascii="宋体" w:hAnsi="宋体" w:eastAsia="宋体"/>
        </w:rPr>
        <w:t>”</w:t>
      </w:r>
    </w:p>
    <w:p w14:paraId="77D5EEA4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4、特征个数相同时，初始聚类数越多，正确性就越低</w:t>
      </w:r>
    </w:p>
    <w:p w14:paraId="453CAE15">
      <w:pPr>
        <w:rPr>
          <w:rFonts w:ascii="宋体" w:hAnsi="宋体" w:eastAsia="宋体"/>
        </w:rPr>
      </w:pPr>
    </w:p>
    <w:p w14:paraId="7592C199"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5、</w:t>
      </w:r>
      <w:r>
        <w:rPr>
          <w:rFonts w:ascii="宋体" w:hAnsi="宋体" w:eastAsia="宋体"/>
          <w:szCs w:val="21"/>
        </w:rPr>
        <w:t>心得体会</w:t>
      </w:r>
      <w:r>
        <w:rPr>
          <w:rFonts w:hint="eastAsia" w:ascii="宋体" w:hAnsi="宋体" w:eastAsia="宋体"/>
          <w:szCs w:val="21"/>
        </w:rPr>
        <w:t>：这实验太难搞懂了</w:t>
      </w:r>
    </w:p>
    <w:p w14:paraId="0A9D5D75">
      <w:pPr>
        <w:ind w:firstLine="422" w:firstLineChars="200"/>
        <w:rPr>
          <w:rFonts w:ascii="宋体" w:hAnsi="宋体" w:eastAsia="宋体"/>
          <w:b/>
          <w:bCs/>
          <w:szCs w:val="21"/>
          <w:shd w:val="clear" w:color="auto" w:fill="FFFFFF"/>
        </w:rPr>
      </w:pPr>
      <w:bookmarkStart w:id="0" w:name="t0"/>
      <w:bookmarkEnd w:id="0"/>
      <w:r>
        <w:rPr>
          <w:rFonts w:hint="eastAsia" w:ascii="宋体" w:hAnsi="宋体" w:eastAsia="宋体"/>
          <w:b/>
          <w:bCs/>
          <w:szCs w:val="21"/>
          <w:shd w:val="clear" w:color="auto" w:fill="FFFFFF"/>
        </w:rPr>
        <w:t>逻辑回归（LR）与支持向量机（SVM）的区别和联系</w:t>
      </w:r>
    </w:p>
    <w:p w14:paraId="59236570">
      <w:pPr>
        <w:ind w:firstLine="422" w:firstLineChars="200"/>
        <w:rPr>
          <w:rFonts w:hint="eastAsia" w:ascii="宋体" w:hAnsi="宋体" w:eastAsia="宋体"/>
          <w:b/>
          <w:bCs/>
          <w:szCs w:val="21"/>
          <w:shd w:val="clear" w:color="auto" w:fill="FFFFFF"/>
        </w:rPr>
      </w:pPr>
    </w:p>
    <w:p w14:paraId="5DCAD6E2">
      <w:pPr>
        <w:rPr>
          <w:rFonts w:ascii="宋体" w:hAnsi="宋体" w:eastAsia="宋体"/>
          <w:b/>
          <w:bCs/>
          <w:szCs w:val="21"/>
          <w:shd w:val="clear" w:color="auto" w:fill="FFFFFF"/>
        </w:rPr>
      </w:pPr>
      <w:bookmarkStart w:id="1" w:name="_Hlk41575893"/>
      <w:r>
        <w:rPr>
          <w:rFonts w:hint="eastAsia" w:ascii="宋体" w:hAnsi="宋体" w:eastAsia="宋体"/>
          <w:b/>
          <w:bCs/>
          <w:szCs w:val="21"/>
          <w:shd w:val="clear" w:color="auto" w:fill="FFFFFF"/>
        </w:rPr>
        <w:t>相同点：</w:t>
      </w:r>
    </w:p>
    <w:bookmarkEnd w:id="1"/>
    <w:p w14:paraId="71931B7D"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color w:val="auto"/>
          <w:szCs w:val="21"/>
        </w:rPr>
      </w:pPr>
      <w:r>
        <w:rPr>
          <w:rFonts w:hint="eastAsia" w:ascii="宋体" w:hAnsi="宋体" w:eastAsia="宋体"/>
          <w:color w:val="auto"/>
          <w:szCs w:val="21"/>
          <w:shd w:val="clear" w:color="auto" w:fill="FFFFFF"/>
        </w:rPr>
        <w:t>LR和SVM都是分类算法。</w:t>
      </w:r>
    </w:p>
    <w:p w14:paraId="08056DBF"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color w:val="auto"/>
          <w:szCs w:val="21"/>
        </w:rPr>
      </w:pPr>
      <w:r>
        <w:rPr>
          <w:rFonts w:hint="eastAsia" w:ascii="宋体" w:hAnsi="宋体" w:eastAsia="宋体"/>
          <w:color w:val="auto"/>
          <w:szCs w:val="21"/>
          <w:shd w:val="clear" w:color="auto" w:fill="FFFFFF"/>
        </w:rPr>
        <w:t>如果不考虑核函数，LR和SVM都是线性分类算法，也就是说他们的分类决策面都是线性的。</w:t>
      </w:r>
    </w:p>
    <w:p w14:paraId="46825563"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color w:val="auto"/>
          <w:szCs w:val="21"/>
        </w:rPr>
      </w:pPr>
      <w:r>
        <w:rPr>
          <w:rFonts w:hint="eastAsia" w:ascii="宋体" w:hAnsi="宋体" w:eastAsia="宋体"/>
          <w:color w:val="auto"/>
          <w:szCs w:val="21"/>
          <w:shd w:val="clear" w:color="auto" w:fill="FFFFFF"/>
        </w:rPr>
        <w:t>LR和SVM都是监督学习算法。</w:t>
      </w:r>
    </w:p>
    <w:p w14:paraId="7234571B"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color w:val="auto"/>
          <w:szCs w:val="21"/>
        </w:rPr>
      </w:pPr>
      <w:r>
        <w:rPr>
          <w:rFonts w:hint="eastAsia" w:ascii="宋体" w:hAnsi="宋体" w:eastAsia="宋体"/>
          <w:color w:val="auto"/>
          <w:szCs w:val="21"/>
          <w:shd w:val="clear" w:color="auto" w:fill="FFFFFF"/>
        </w:rPr>
        <w:t>LR和SVM在学术界和工业界都广为人知并且应用广泛。</w:t>
      </w:r>
    </w:p>
    <w:p w14:paraId="0CD638D0">
      <w:pPr>
        <w:rPr>
          <w:rFonts w:ascii="宋体" w:hAnsi="宋体" w:eastAsia="宋体"/>
          <w:b/>
          <w:bCs/>
          <w:color w:val="auto"/>
          <w:szCs w:val="21"/>
          <w:shd w:val="clear" w:color="auto" w:fill="FFFFFF"/>
        </w:rPr>
      </w:pPr>
      <w:r>
        <w:rPr>
          <w:rFonts w:hint="eastAsia" w:ascii="宋体" w:hAnsi="宋体" w:eastAsia="宋体"/>
          <w:b/>
          <w:bCs/>
          <w:color w:val="auto"/>
          <w:szCs w:val="21"/>
          <w:shd w:val="clear" w:color="auto" w:fill="FFFFFF"/>
        </w:rPr>
        <w:t>不同点：</w:t>
      </w:r>
    </w:p>
    <w:p w14:paraId="0A134790"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color w:val="auto"/>
          <w:szCs w:val="21"/>
          <w:shd w:val="clear" w:color="auto" w:fill="FFFFFF"/>
        </w:rPr>
      </w:pPr>
      <w:r>
        <w:rPr>
          <w:rFonts w:hint="eastAsia" w:ascii="宋体" w:hAnsi="宋体" w:eastAsia="宋体"/>
          <w:color w:val="auto"/>
          <w:szCs w:val="21"/>
          <w:shd w:val="clear" w:color="auto" w:fill="FFFFFF"/>
        </w:rPr>
        <w:t>损失函数是二者最为本质的区别。</w:t>
      </w:r>
    </w:p>
    <w:p w14:paraId="5F901E77"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color w:val="auto"/>
          <w:szCs w:val="21"/>
          <w:shd w:val="clear" w:color="auto" w:fill="FFFFFF"/>
        </w:rPr>
      </w:pPr>
      <w:r>
        <w:rPr>
          <w:rFonts w:hint="eastAsia" w:ascii="宋体" w:hAnsi="宋体" w:eastAsia="宋体"/>
          <w:color w:val="auto"/>
          <w:szCs w:val="21"/>
          <w:shd w:val="clear" w:color="auto" w:fill="FFFFFF"/>
        </w:rPr>
        <w:t>两个模型对数据和参数的敏感程度不同 。</w:t>
      </w:r>
    </w:p>
    <w:p w14:paraId="27F64495"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color w:val="auto"/>
          <w:szCs w:val="21"/>
          <w:shd w:val="clear" w:color="auto" w:fill="FFFFFF"/>
        </w:rPr>
      </w:pPr>
      <w:r>
        <w:rPr>
          <w:rFonts w:hint="eastAsia" w:ascii="宋体" w:hAnsi="宋体" w:eastAsia="宋体"/>
          <w:color w:val="auto"/>
          <w:szCs w:val="21"/>
          <w:shd w:val="clear" w:color="auto" w:fill="FFFFFF"/>
        </w:rPr>
        <w:t>SVM 基于距离分类，LR 基于概率分类。</w:t>
      </w:r>
    </w:p>
    <w:p w14:paraId="394F0CCC"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color w:val="auto"/>
          <w:szCs w:val="21"/>
          <w:shd w:val="clear" w:color="auto" w:fill="FFFFFF"/>
        </w:rPr>
      </w:pPr>
      <w:r>
        <w:rPr>
          <w:rFonts w:hint="eastAsia" w:ascii="宋体" w:hAnsi="宋体" w:eastAsia="宋体"/>
          <w:color w:val="auto"/>
          <w:szCs w:val="21"/>
          <w:shd w:val="clear" w:color="auto" w:fill="FFFFFF"/>
        </w:rPr>
        <w:t>在解决非线性问题时，支持向量机采用核函数的机制，而LR通常不采用核函数的方法。</w:t>
      </w:r>
    </w:p>
    <w:p w14:paraId="35C5993A">
      <w:pPr>
        <w:pStyle w:val="6"/>
        <w:numPr>
          <w:ilvl w:val="0"/>
          <w:numId w:val="3"/>
        </w:numPr>
        <w:ind w:firstLineChars="0"/>
        <w:rPr>
          <w:rFonts w:hint="eastAsia" w:ascii="宋体" w:hAnsi="宋体" w:eastAsia="宋体"/>
          <w:color w:val="auto"/>
          <w:szCs w:val="21"/>
          <w:shd w:val="clear" w:color="auto" w:fill="FFFFFF"/>
        </w:rPr>
      </w:pPr>
      <w:r>
        <w:rPr>
          <w:rFonts w:hint="eastAsia" w:ascii="宋体" w:hAnsi="宋体" w:eastAsia="宋体"/>
          <w:color w:val="auto"/>
          <w:szCs w:val="21"/>
          <w:shd w:val="clear" w:color="auto" w:fill="FFFFFF"/>
        </w:rPr>
        <w:t>在小规模数据集上，Linear SVM要略好于LR，但差别也不是特别大，而且Linear SVM的计算复杂度受数据量限制，对海量数据LR使用更加广泛。</w:t>
      </w:r>
    </w:p>
    <w:p w14:paraId="6E63ECF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65FBAE"/>
    <w:multiLevelType w:val="singleLevel"/>
    <w:tmpl w:val="8D65FBAE"/>
    <w:lvl w:ilvl="0" w:tentative="0">
      <w:start w:val="11"/>
      <w:numFmt w:val="upperLetter"/>
      <w:suff w:val="nothing"/>
      <w:lvlText w:val="%1-"/>
      <w:lvlJc w:val="left"/>
    </w:lvl>
  </w:abstractNum>
  <w:abstractNum w:abstractNumId="1">
    <w:nsid w:val="45645B23"/>
    <w:multiLevelType w:val="multilevel"/>
    <w:tmpl w:val="45645B2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1E1096"/>
    <w:multiLevelType w:val="multilevel"/>
    <w:tmpl w:val="681E109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24D5D"/>
    <w:rsid w:val="1C7B3F33"/>
    <w:rsid w:val="311F19E9"/>
    <w:rsid w:val="505B39B1"/>
    <w:rsid w:val="7342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21"/>
      <w:ind w:left="115"/>
    </w:pPr>
    <w:rPr>
      <w:rFonts w:ascii="Times New Roman" w:hAnsi="Times New Roman" w:eastAsia="Times New Roman"/>
      <w:szCs w:val="21"/>
    </w:r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1778</Words>
  <Characters>2317</Characters>
  <Lines>0</Lines>
  <Paragraphs>0</Paragraphs>
  <TotalTime>2</TotalTime>
  <ScaleCrop>false</ScaleCrop>
  <LinksUpToDate>false</LinksUpToDate>
  <CharactersWithSpaces>2367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2020-05-12T00:50:00Z</dcterms:created>
  <dc:creator>Kukukukiki</dc:creator>
  <cp:lastModifiedBy>K</cp:lastModifiedBy>
  <dcterms:modified xsi:type="dcterms:W3CDTF">2024-12-26T05:15:38Z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711611335229433D8699A110AD5C8520_12</vt:lpwstr>
  </property>
</Properties>
</file>