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5.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8.png" ContentType="image/png"/>
  <Override PartName="/word/media/rId61.png" ContentType="image/png"/>
  <Override PartName="/word/media/rId67.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2026-06-17</w:t>
      </w:r>
    </w:p>
    <w:bookmarkStart w:id="9" w:name="streszczenie"/>
    <w:p>
      <w:pPr>
        <w:pStyle w:val="Heading1"/>
      </w:pPr>
      <w:r>
        <w:t xml:space="preserve">Streszczenie</w:t>
      </w:r>
    </w:p>
    <w:p>
      <w:pPr>
        <w:pStyle w:val="FirstParagraph"/>
      </w:pPr>
      <w:r>
        <w:t xml:space="preserve">Praca analizuje dorobek publikacyjny 462 pracowników z dyscypliny</w:t>
      </w:r>
      <w:r>
        <w:t xml:space="preserve"> </w:t>
      </w:r>
      <w:r>
        <w:rPr>
          <w:i/>
          <w:iCs/>
        </w:rPr>
        <w:t xml:space="preserve">rolnictwo i ogrodnictwo</w:t>
      </w:r>
      <w:r>
        <w:t xml:space="preserve"> </w:t>
      </w:r>
      <w:r>
        <w:t xml:space="preserve">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(Minister Edukacji i Nauki 2022)</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w:t>
      </w:r>
      <w:r>
        <w:t xml:space="preserve"> </w:t>
      </w:r>
      <w:r>
        <w:rPr>
          <w:i/>
          <w:iCs/>
        </w:rPr>
        <w:t xml:space="preserve">rolnictwo i ogrodnictwo</w:t>
      </w:r>
      <w:r>
        <w:t xml:space="preserve"> </w:t>
      </w:r>
      <w:r>
        <w:t xml:space="preserve">należy do dziedziny nauk rolniczych</w:t>
      </w:r>
      <w:r>
        <w:t xml:space="preserve"> </w:t>
      </w:r>
      <w:r>
        <w:t xml:space="preserve">(Minister Nauki i Szkolnictwa Wyższego 2025a)</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(Minister Edukacji i Nauki 2022; Minister Nauki i Szkolnictwa Wyższego 2025b)</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w:t>
      </w:r>
      <w:r>
        <w:t xml:space="preserve"> </w:t>
      </w:r>
      <w:r>
        <w:rPr>
          <w:b/>
          <w:bCs/>
        </w:rPr>
        <w:t xml:space="preserve">rolnictwo i ogrodnictwo</w:t>
      </w:r>
      <w:r>
        <w:t xml:space="preserve"> </w:t>
      </w:r>
      <w:r>
        <w:t xml:space="preserve">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wdrożenie produkcyjne uruchomiono na PW w 2012 roku</w:t>
      </w:r>
      <w:r>
        <w:t xml:space="preserve"> </w:t>
      </w:r>
      <w:r>
        <w:t xml:space="preserve">(Koperwas et al. 2015)</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Jest to jeden z najczęściej stosowanych systemów tego typu w polskim szkolnictwie wyższym, dostosowany do krajowego systemu ewaluacji nauki. Jego znaczenie dla niniejszej pracy polega na tym, że udostępnia porównywalne, uczelniane agregaty dorobku naukowego w jednolitej strukturze danych</w:t>
      </w:r>
      <w:r>
        <w:t xml:space="preserve"> </w:t>
      </w:r>
      <w:r>
        <w:t xml:space="preserve">(Warsaw University of Technology 2024)</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wysoki impact można przewidywać na podstawie cech strukturalnych, takich jak stanowisko, uczelnia, liczba publikacji i współpraca naukowa?</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2"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(Warsaw University of Technology 2024)</w:t>
      </w:r>
      <w:r>
        <w:t xml:space="preserve">, źródło podstawowe: agregaty bibliometryczne per autor (h-index WoS/Scopus</w:t>
      </w:r>
      <w:r>
        <w:t xml:space="preserve"> </w:t>
      </w:r>
      <w:r>
        <w:t xml:space="preserve">(Hirsch 2005)</w:t>
      </w:r>
      <w:r>
        <w:t xml:space="preserve">, sumaryczny IF</w:t>
      </w:r>
      <w:r>
        <w:t xml:space="preserve"> </w:t>
      </w:r>
      <w:r>
        <w:t xml:space="preserve">(Garfield 2006)</w:t>
      </w:r>
      <w:r>
        <w:t xml:space="preserve">, SNIP</w:t>
      </w:r>
      <w:r>
        <w:t xml:space="preserve"> </w:t>
      </w:r>
      <w:r>
        <w:t xml:space="preserve">(Moed 2010)</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(Priem et al. 2022)</w:t>
      </w:r>
      <w:r>
        <w:t xml:space="preserve">, źródło uzupełniające, dostarcza danych, których nie ma w Omega-PSIR: FWCI (Field-Weighted Citation Impact), czyli liczbę cytowań pracy porównaną ze światową średnią w jej dziedzinie, której nie da się policzyć z danych jednej uczelni</w:t>
      </w:r>
      <w:r>
        <w:t xml:space="preserve"> </w:t>
      </w:r>
      <w:r>
        <w:t xml:space="preserve">(Waltman 2016)</w:t>
      </w:r>
      <w:r>
        <w:t xml:space="preserve">; liczbę cytowań publikacji; listę współautorów potrzebną do analizy sieci współpracy; oraz niezależne porównanie (kontrolę jakości) metryk pobranych z Omega-PSIR.</w:t>
      </w:r>
    </w:p>
    <w:p>
      <w:pPr>
        <w:pStyle w:val="FirstParagraph"/>
      </w:pPr>
      <w:r>
        <w:t xml:space="preserve">W pracy analizowano zagregowane wskaźniki bibliometryczne przypisane do poszczególnych autorów, takie jak sumaryczny IF, sumaryczna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(Minister Edukacji i Nauki 2022)</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w:t>
      </w:r>
      <w:r>
        <w:t xml:space="preserve"> </w:t>
      </w:r>
      <w:r>
        <w:rPr>
          <w:i/>
          <w:iCs/>
        </w:rPr>
        <w:t xml:space="preserve">rolnictwo i ogrodnictwo</w:t>
      </w:r>
      <w:r>
        <w:t xml:space="preserve"> </w:t>
      </w:r>
      <w:r>
        <w:t xml:space="preserve">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dxa" w:w="9638"/>
        <w:tblLayout w:type="autofit"/>
        <w:tblLook w:firstRow="0" w:lastRow="0" w:firstColumn="0" w:lastColumn="0" w:noHBand="0" w:noVBand="0" w:val="0000"/>
      </w:tblPr>
      <w:tblGrid>
        <w:gridCol w:w="9638"/>
      </w:tblGrid>
      <w:tr>
        <w:tc>
          <w:tcPr/>
          <w:bookmarkStart w:id="18" w:name="fig-pipeline"/>
          <w:p>
            <w:pPr>
              <w:pStyle w:val="Compact"/>
              <w:jc w:val="center"/>
            </w:pPr>
            <w:r>
              <w:drawing>
                <wp:inline>
                  <wp:extent cx="5334000" cy="7468563"/>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5334000" cy="746856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impactu zastosowano modele Random Forest</w:t>
      </w:r>
      <w:r>
        <w:t xml:space="preserve"> </w:t>
      </w:r>
      <w:r>
        <w:t xml:space="preserve">(Breiman 2001)</w:t>
      </w:r>
      <w:r>
        <w:t xml:space="preserve"> </w:t>
      </w:r>
      <w:r>
        <w:t xml:space="preserve">i XGBoost</w:t>
      </w:r>
      <w:r>
        <w:t xml:space="preserve"> </w:t>
      </w:r>
      <w:r>
        <w:t xml:space="preserve">(Chen i Guestrin 2016)</w:t>
      </w:r>
      <w:r>
        <w:t xml:space="preserve">. Ich jakość oceniono w 5-krotnej walidacji krzyżowej, a znaczenie cech opisano za pomocą wartości SHAP</w:t>
      </w:r>
      <w:r>
        <w:t xml:space="preserve"> </w:t>
      </w:r>
      <w:r>
        <w:t xml:space="preserve">(Lundberg i Lee 2017)</w:t>
      </w:r>
      <w:r>
        <w:t xml:space="preserve">.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 Do wykrycia takich grup zastosowano algorytm Louvain</w:t>
      </w:r>
      <w:r>
        <w:t xml:space="preserve"> </w:t>
      </w:r>
      <w:r>
        <w:t xml:space="preserve">(Blondel et al. 2008)</w:t>
      </w:r>
      <w:r>
        <w:t xml:space="preserve">, a modularność</w:t>
      </w:r>
      <w:r>
        <w:t xml:space="preserve"> </w:t>
      </w:r>
      <w:r>
        <w:t xml:space="preserve">(Newman 2006)</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gemini-3-flash-preview (Gemini CLI w wersji 0.46.0, Google).</w:t>
      </w:r>
    </w:p>
    <w:bookmarkEnd w:id="21"/>
    <w:bookmarkEnd w:id="22"/>
    <w:bookmarkStart w:id="73" w:name="wyniki"/>
    <w:p>
      <w:pPr>
        <w:pStyle w:val="Heading1"/>
      </w:pPr>
      <w:r>
        <w:t xml:space="preserve">Wyniki</w:t>
      </w:r>
    </w:p>
    <w:bookmarkStart w:id="24"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(Winkler 1990)</w:t>
      </w:r>
      <w:r>
        <w:t xml:space="preserve">) powiodło się dla</w:t>
      </w:r>
      <w:r>
        <w:t xml:space="preserve"> </w:t>
      </w:r>
      <w:r>
        <w:rPr>
          <w:b/>
          <w:bCs/>
        </w:rPr>
        <w:t xml:space="preserve">367 osób (79,4 %)</w:t>
      </w:r>
      <w:r>
        <w:t xml:space="preserve">: UPWr 79,7 %, SGGW 89,3 %, URK 77,8 %, UWM 67,1 %. Dopasowanie wymagało normalizacji nazw uwzględniającej charakterystyczny dla URK sufiks afiliacyjny po przecinku (np. „Jan Kowalski, prof. URK”), którego nieusunięcie zaniżało początkowo dopasowanie tej uczelni do 47,5 %; po korekcie poziom URK zrównał się z pozostałymi. Najsłabiej dopasowany pozostaje UWM (67,1 %), co przekłada się na lekkie niedoreprezentowanie tej uczelni w analizach opartych na metrykach OpenAlex (FWCI, sieci współautorstwa).</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dxa" w:w="9638"/>
        <w:tblLayout w:type="autofit"/>
        <w:tblLook w:firstRow="0" w:lastRow="0" w:firstColumn="0" w:lastColumn="0" w:noHBand="0" w:noVBand="0" w:val="0000"/>
      </w:tblPr>
      <w:tblGrid>
        <w:gridCol w:w="9638"/>
      </w:tblGrid>
      <w:tr>
        <w:tc>
          <w:tcPr/>
          <w:bookmarkStart w:id="23"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964"/>
              <w:gridCol w:w="675"/>
              <w:gridCol w:w="514"/>
              <w:gridCol w:w="899"/>
              <w:gridCol w:w="899"/>
              <w:gridCol w:w="899"/>
              <w:gridCol w:w="899"/>
              <w:gridCol w:w="1189"/>
              <w:gridCol w:w="996"/>
              <w:gridCol w:w="803"/>
              <w:gridCol w:w="90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49,0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0000"/>
                    </w:rPr>
                    <w:t xml:space="preserve">* wartości podane jako mediany (na pełnej liczebności uczelni); h-index wg WoS.</w:t>
                  </w:r>
                </w:p>
              </w:tc>
            </w:tr>
          </w:tbl>
          <w:bookmarkEnd w:id="23"/>
        </w:tc>
      </w:tr>
    </w:tbl>
    <w:p>
      <w:pPr>
        <w:pStyle w:val="BodyText"/>
      </w:pPr>
      <w:r>
        <w:t xml:space="preserve">W analizie 2-czynnikowej uwzględniono 420 osób posiadających określone stanowisko z trzech kategorii (adiunkt, profesor uczelni, profesor); rozkład w układzie uczelnia × stanowisko przedstawia</w:t>
      </w:r>
      <w:r>
        <w:t xml:space="preserve"> </w:t>
      </w:r>
      <w:hyperlink w:anchor="tbl-proba">
        <w:r>
          <w:rPr>
            <w:rStyle w:val="Hyperlink"/>
          </w:rPr>
          <w:t xml:space="preserve">Tabela 1</w:t>
        </w:r>
      </w:hyperlink>
      <w:r>
        <w:t xml:space="preserve">, a najmniejsza komórka liczy 13 osób, co umożliwia estymację członu interakcji.</w:t>
      </w:r>
    </w:p>
    <w:bookmarkEnd w:id="24"/>
    <w:bookmarkStart w:id="29"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impactu: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impactu jedynie umiarkowanie (r = 0,36–0,44), odzwierciedla bowiem objętość dorobku, a nie jego skumulowane oddziaływanie. Drugą, w przybliżeniu ortogonalną osią jest</w:t>
      </w:r>
      <w:r>
        <w:t xml:space="preserve"> </w:t>
      </w:r>
      <w:r>
        <w:rPr>
          <w:b/>
          <w:bCs/>
        </w:rPr>
        <w:t xml:space="preserve">intensywność jakościowa</w:t>
      </w:r>
      <w:r>
        <w:t xml:space="preserve"> </w:t>
      </w:r>
      <w:r>
        <w:t xml:space="preserve">(IF na publikację), słabo skorelowana z metrykami wielkości; jej ujemny związek z liczbą publikacji (r = -0,37) wskazuje na klasyczny kompromis ilość–jakość: naukowcy o największej produktywności mają przeciętnie niższy IF przypadający na pojedynczą pracę.</w:t>
      </w:r>
    </w:p>
    <w:tbl>
      <w:tblPr>
        <w:tblStyle w:val="Table"/>
        <w:tblW w:type="dxa" w:w="9638"/>
        <w:tblLayout w:type="autofit"/>
        <w:tblLook w:firstRow="0" w:lastRow="0" w:firstColumn="0" w:lastColumn="0" w:noHBand="0" w:noVBand="0" w:val="0000"/>
      </w:tblPr>
      <w:tblGrid>
        <w:gridCol w:w="9638"/>
      </w:tblGrid>
      <w:tr>
        <w:tc>
          <w:tcPr/>
          <w:bookmarkStart w:id="28" w:name="fig-korelacje"/>
          <w:p>
            <w:pPr>
              <w:pStyle w:val="Compact"/>
              <w:jc w:val="center"/>
            </w:pPr>
            <w:r>
              <w:drawing>
                <wp:inline>
                  <wp:extent cx="5334000" cy="4533900"/>
                  <wp:effectExtent b="0" l="0" r="0" t="0"/>
                  <wp:docPr descr="" title="" id="26" name="Picture"/>
                  <a:graphic>
                    <a:graphicData uri="http://schemas.openxmlformats.org/drawingml/2006/picture">
                      <pic:pic>
                        <pic:nvPicPr>
                          <pic:cNvPr descr="../Wykresy/praca/fig_01b_korelacje.png" id="27" name="Picture"/>
                          <pic:cNvPicPr>
                            <a:picLocks noChangeArrowheads="1" noChangeAspect="1"/>
                          </pic:cNvPicPr>
                        </pic:nvPicPr>
                        <pic:blipFill>
                          <a:blip r:embed="rId2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impactu (h-index, sumaryczny IF, punktacja MEiN; r 0,82–0,95) kontrastuje z liczbą publikacji, powiązaną z nim tylko umiarkowanie (r 0,36–0,44), oraz z IF na publikację, tworzącym odrębną oś jakości, ujemnie skorelowaną z liczbą publikacji.</w:t>
            </w:r>
          </w:p>
          <w:bookmarkEnd w:id="28"/>
        </w:tc>
      </w:tr>
    </w:tbl>
    <w:bookmarkEnd w:id="29"/>
    <w:bookmarkStart w:id="47"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pokazany na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Wyjątkiem jest wskaźnik IF / MEiN, którego rozkład jest bardziej symetryczny, ale także dla niego testy wykazały naruszenie założeń testów parametrycznych.</w:t>
      </w:r>
    </w:p>
    <w:tbl>
      <w:tblPr>
        <w:tblStyle w:val="Table"/>
        <w:tblW w:type="dxa" w:w="9638"/>
        <w:tblLayout w:type="autofit"/>
        <w:tblLook w:firstRow="0" w:lastRow="0" w:firstColumn="0" w:lastColumn="0" w:noHBand="0" w:noVBand="0" w:val="0000"/>
      </w:tblPr>
      <w:tblGrid>
        <w:gridCol w:w="9638"/>
      </w:tblGrid>
      <w:tr>
        <w:tc>
          <w:tcPr/>
          <w:bookmarkStart w:id="33" w:name="fig-rozklady"/>
          <w:p>
            <w:pPr>
              <w:pStyle w:val="Compact"/>
              <w:jc w:val="center"/>
            </w:pPr>
            <w:r>
              <w:drawing>
                <wp:inline>
                  <wp:extent cx="5334000" cy="3081866"/>
                  <wp:effectExtent b="0" l="0" r="0" t="0"/>
                  <wp:docPr descr="" title="" id="31" name="Picture"/>
                  <a:graphic>
                    <a:graphicData uri="http://schemas.openxmlformats.org/drawingml/2006/picture">
                      <pic:pic>
                        <pic:nvPicPr>
                          <pic:cNvPr descr="../Wykresy/praca/fig_01c_rozklady.png" id="32" name="Picture"/>
                          <pic:cNvPicPr>
                            <a:picLocks noChangeArrowheads="1" noChangeAspect="1"/>
                          </pic:cNvPicPr>
                        </pic:nvPicPr>
                        <pic:blipFill>
                          <a:blip r:embed="rId30"/>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3"/>
        </w:tc>
      </w:tr>
    </w:tbl>
    <w:p>
      <w:pPr>
        <w:pStyle w:val="BodyText"/>
      </w:pPr>
      <w:r>
        <w:t xml:space="preserve">Wyniki tego porównania dla trzech metryk o pełnym pokryciu pokazano na</w:t>
      </w:r>
      <w:r>
        <w:t xml:space="preserve">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 </w:t>
      </w:r>
      <w:r>
        <w:t xml:space="preserve">i</w:t>
      </w:r>
      <w:r>
        <w:t xml:space="preserve"> </w:t>
      </w:r>
      <w:hyperlink w:anchor="fig-npub">
        <w:r>
          <w:rPr>
            <w:rStyle w:val="Hyperlink"/>
          </w:rPr>
          <w:t xml:space="preserve">Rysunek 6</w:t>
        </w:r>
      </w:hyperlink>
      <w:r>
        <w:t xml:space="preserve"> </w:t>
      </w:r>
      <w:r>
        <w:t xml:space="preserve">jako wykresy pudełkowe z oznaczeniami grup jednorodnych.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dxa" w:w="9638"/>
        <w:tblLayout w:type="autofit"/>
        <w:tblLook w:firstRow="0" w:lastRow="0" w:firstColumn="0" w:lastColumn="0" w:noHBand="0" w:noVBand="0" w:val="0000"/>
      </w:tblPr>
      <w:tblGrid>
        <w:gridCol w:w="9638"/>
      </w:tblGrid>
      <w:tr>
        <w:tc>
          <w:tcPr/>
          <w:bookmarkStart w:id="37" w:name="fig-hindex"/>
          <w:p>
            <w:pPr>
              <w:pStyle w:val="Compact"/>
              <w:jc w:val="center"/>
            </w:pPr>
            <w:r>
              <w:drawing>
                <wp:inline>
                  <wp:extent cx="5334000" cy="3388658"/>
                  <wp:effectExtent b="0" l="0" r="0" t="0"/>
                  <wp:docPr descr="" title="" id="35" name="Picture"/>
                  <a:graphic>
                    <a:graphicData uri="http://schemas.openxmlformats.org/drawingml/2006/picture">
                      <pic:pic>
                        <pic:nvPicPr>
                          <pic:cNvPr descr="../Wykresy/praca/fig_02a_hindex.png" id="36" name="Picture"/>
                          <pic:cNvPicPr>
                            <a:picLocks noChangeArrowheads="1" noChangeAspect="1"/>
                          </pic:cNvPicPr>
                        </pic:nvPicPr>
                        <pic:blipFill>
                          <a:blip r:embed="rId3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7"/>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1" w:name="fig-sumif"/>
          <w:p>
            <w:pPr>
              <w:pStyle w:val="Compact"/>
              <w:jc w:val="center"/>
            </w:pPr>
            <w:r>
              <w:drawing>
                <wp:inline>
                  <wp:extent cx="5334000" cy="3388658"/>
                  <wp:effectExtent b="0" l="0" r="0" t="0"/>
                  <wp:docPr descr="" title="" id="39" name="Picture"/>
                  <a:graphic>
                    <a:graphicData uri="http://schemas.openxmlformats.org/drawingml/2006/picture">
                      <pic:pic>
                        <pic:nvPicPr>
                          <pic:cNvPr descr="../Wykresy/praca/fig_02b_sumif.png" id="40" name="Picture"/>
                          <pic:cNvPicPr>
                            <a:picLocks noChangeArrowheads="1" noChangeAspect="1"/>
                          </pic:cNvPicPr>
                        </pic:nvPicPr>
                        <pic:blipFill>
                          <a:blip r:embed="rId38"/>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jak na</w:t>
            </w:r>
            <w:r>
              <w:t xml:space="preserve"> </w:t>
            </w:r>
            <w:hyperlink w:anchor="fig-hindex">
              <w:r>
                <w:rPr>
                  <w:rStyle w:val="Hyperlink"/>
                </w:rPr>
                <w:t xml:space="preserve">Rysunek 4</w:t>
              </w:r>
            </w:hyperlink>
            <w:r>
              <w:t xml:space="preserve">.</w:t>
            </w:r>
          </w:p>
          <w:bookmarkEnd w:id="41"/>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5" w:name="fig-npub"/>
          <w:p>
            <w:pPr>
              <w:pStyle w:val="Compact"/>
              <w:jc w:val="center"/>
            </w:pPr>
            <w:r>
              <w:drawing>
                <wp:inline>
                  <wp:extent cx="5334000" cy="3388658"/>
                  <wp:effectExtent b="0" l="0" r="0" t="0"/>
                  <wp:docPr descr="" title="" id="43" name="Picture"/>
                  <a:graphic>
                    <a:graphicData uri="http://schemas.openxmlformats.org/drawingml/2006/picture">
                      <pic:pic>
                        <pic:nvPicPr>
                          <pic:cNvPr descr="../Wykresy/praca/fig_02c_npub.png" id="44" name="Picture"/>
                          <pic:cNvPicPr>
                            <a:picLocks noChangeArrowheads="1" noChangeAspect="1"/>
                          </pic:cNvPicPr>
                        </pic:nvPicPr>
                        <pic:blipFill>
                          <a:blip r:embed="rId42"/>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jak na</w:t>
            </w:r>
            <w:r>
              <w:t xml:space="preserve"> </w:t>
            </w:r>
            <w:hyperlink w:anchor="fig-hindex">
              <w:r>
                <w:rPr>
                  <w:rStyle w:val="Hyperlink"/>
                </w:rPr>
                <w:t xml:space="preserve">Rysunek 4</w:t>
              </w:r>
            </w:hyperlink>
            <w:r>
              <w:t xml:space="preserve">.</w:t>
            </w:r>
          </w:p>
          <w:bookmarkEnd w:id="45"/>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zwyczajni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46"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3074"/>
              <w:gridCol w:w="1579"/>
              <w:gridCol w:w="1412"/>
              <w:gridCol w:w="1828"/>
              <w:gridCol w:w="174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Grupy jednorodne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0000"/>
                    </w:rPr>
                    <w:t xml:space="preserve">H to statystyka Kruskala-Wallisa (rozkład chi-kwadrat o df stopniach swobody).</w:t>
                  </w:r>
                </w:p>
              </w:tc>
            </w:tr>
          </w:tbl>
          <w:bookmarkEnd w:id="46"/>
        </w:tc>
      </w:tr>
    </w:tbl>
    <w:p>
      <w:pPr>
        <w:pStyle w:val="BodyText"/>
      </w:pPr>
      <w:r>
        <w:t xml:space="preserve">Liczba grup jednorodnych jest najwyższa dla liczby publikacji (8 grup), co czyni ją metryką najsilniej różnicującą komórki, a wyraźne rozwarstwienie (6 grup) wykazują także h-index, sumaryczny IF i punktacja MEiN. Jedynym wskaźnikiem bez istotnych różnic pozostaje złożony IF / MEiN, nieistotny już na poziomie testu ogólnego (p = 0,075): jako iloraz dwóch silnie skorelowanych wielkości znosi on efekt skali dorobku i nie odróżnia komórek. Wzrost median z rangą stanowiska jest więc nie tylko kierunkowy, lecz osiąga istotność statystyczną dla pięciu z sześciu metryk mimo konserwatywnej korekty Bonferroniego na 12 komórkach.</w:t>
      </w:r>
    </w:p>
    <w:bookmarkEnd w:id="47"/>
    <w:bookmarkStart w:id="58" w:name="Xfa9455c5230fab5057550e2356fe6e7695b65cb"/>
    <w:p>
      <w:pPr>
        <w:pStyle w:val="Heading2"/>
      </w:pPr>
      <w:r>
        <w:t xml:space="preserve">Typologia profili bibliometrycznych (pytanie 1)</w:t>
      </w:r>
    </w:p>
    <w:p>
      <w:pPr>
        <w:pStyle w:val="FirstParagraph"/>
      </w:pPr>
      <w:r>
        <w:t xml:space="preserve">Analiza głównych składowych na czterech standaryzowanych cechach pełnego pokrycia (n = 449) wykazała, że dwie pierwsze składowe wyjaśniają</w:t>
      </w:r>
      <w:r>
        <w:t xml:space="preserve"> </w:t>
      </w:r>
      <w:r>
        <w:rPr>
          <w:b/>
          <w:bCs/>
        </w:rPr>
        <w:t xml:space="preserve">87,9 % wariancji</w:t>
      </w:r>
      <w:r>
        <w:t xml:space="preserve"> </w:t>
      </w:r>
      <w:r>
        <w:t xml:space="preserve">(PC1: 54,1 %, PC2: 33,8 %). Walidacja liczby klastrów metodą sylwetki wskazała rozwiązanie</w:t>
      </w:r>
      <w:r>
        <w:t xml:space="preserve"> </w:t>
      </w:r>
      <w:r>
        <w:rPr>
          <w:b/>
          <w:bCs/>
        </w:rPr>
        <w:t xml:space="preserve">dwuklastrowe</w:t>
      </w:r>
      <w:r>
        <w:t xml:space="preserve">.</w:t>
      </w:r>
    </w:p>
    <w:tbl>
      <w:tblPr>
        <w:tblStyle w:val="Table"/>
        <w:tblW w:type="dxa" w:w="9638"/>
        <w:tblLayout w:type="autofit"/>
        <w:tblLook w:firstRow="0" w:lastRow="0" w:firstColumn="0" w:lastColumn="0" w:noHBand="0" w:noVBand="0" w:val="0000"/>
      </w:tblPr>
      <w:tblGrid>
        <w:gridCol w:w="9638"/>
      </w:tblGrid>
      <w:tr>
        <w:tc>
          <w:tcPr/>
          <w:bookmarkStart w:id="51" w:name="fig-klastry"/>
          <w:p>
            <w:pPr>
              <w:pStyle w:val="Compact"/>
              <w:jc w:val="center"/>
            </w:pPr>
            <w:r>
              <w:drawing>
                <wp:inline>
                  <wp:extent cx="5067300" cy="2338753"/>
                  <wp:effectExtent b="0" l="0" r="0" t="0"/>
                  <wp:docPr descr="" title="" id="49" name="Picture"/>
                  <a:graphic>
                    <a:graphicData uri="http://schemas.openxmlformats.org/drawingml/2006/picture">
                      <pic:pic>
                        <pic:nvPicPr>
                          <pic:cNvPr descr="../Wykresy/praca/fig_03_klastrowanie.png" id="50" name="Picture"/>
                          <pic:cNvPicPr>
                            <a:picLocks noChangeArrowheads="1" noChangeAspect="1"/>
                          </pic:cNvPicPr>
                        </pic:nvPicPr>
                        <pic:blipFill>
                          <a:blip r:embed="rId48"/>
                          <a:stretch>
                            <a:fillRect/>
                          </a:stretch>
                        </pic:blipFill>
                        <pic:spPr bwMode="auto">
                          <a:xfrm>
                            <a:off x="0" y="0"/>
                            <a:ext cx="5067300" cy="2338753"/>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PCA (lewy panel) oraz standaryzowane centroidy klastrów (prawy panel).</w:t>
            </w:r>
          </w:p>
          <w:bookmarkEnd w:id="51"/>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2"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dxa" w:w="9638"/>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2"/>
        </w:tc>
      </w:tr>
    </w:tbl>
    <w:p>
      <w:pPr>
        <w:pStyle w:val="BodyText"/>
      </w:pPr>
      <w:r>
        <w:t xml:space="preserve">Walidacja zewnętrzna typologii dała wynik kluczowy dla całej pracy: przynależność do klastra jest</w:t>
      </w:r>
      <w:r>
        <w:t xml:space="preserve"> </w:t>
      </w:r>
      <w:r>
        <w:rPr>
          <w:b/>
          <w:bCs/>
        </w:rPr>
        <w:t xml:space="preserve">niezależna od uczelni</w:t>
      </w:r>
      <w:r>
        <w:t xml:space="preserve"> </w:t>
      </w:r>
      <w:r>
        <w:t xml:space="preserve">(χ² test niezależności p = 0,19; Craméra V = 0,10), natomiast</w:t>
      </w:r>
      <w:r>
        <w:t xml:space="preserve"> </w:t>
      </w:r>
      <w:r>
        <w:rPr>
          <w:b/>
          <w:bCs/>
        </w:rPr>
        <w:t xml:space="preserve">silnie powiązana ze stanowiskiem</w:t>
      </w:r>
      <w:r>
        <w:t xml:space="preserve"> </w:t>
      </w:r>
      <w:r>
        <w:t xml:space="preserve">(p &lt; 0,001; Craméra V = 0,45). Typologia profilu bibliometrycznego odzwierciedla zatem oś senioralności/produktywności, która przebiega jednorodnie przez wszystkie cztery uczelnie. Zgodność klastrowania k-means z hierarchicznym (Warda) była umiarkowana (Craméra V = 0,67); dendrogram Warda (</w:t>
      </w:r>
      <w:hyperlink w:anchor="fig-dendrogram">
        <w:r>
          <w:rPr>
            <w:rStyle w:val="Hyperlink"/>
          </w:rPr>
          <w:t xml:space="preserve">Rysunek 8</w:t>
        </w:r>
      </w:hyperlink>
      <w:r>
        <w:t xml:space="preserve">) potwierdza jednak nadrzędny podział na dwa duże skupiska, spójny z rozwiązaniem dwuklastrowym.</w:t>
      </w:r>
    </w:p>
    <w:tbl>
      <w:tblPr>
        <w:tblStyle w:val="Table"/>
        <w:tblW w:type="dxa" w:w="9638"/>
        <w:tblLayout w:type="autofit"/>
        <w:tblLook w:firstRow="0" w:lastRow="0" w:firstColumn="0" w:lastColumn="0" w:noHBand="0" w:noVBand="0" w:val="0000"/>
      </w:tblPr>
      <w:tblGrid>
        <w:gridCol w:w="9638"/>
      </w:tblGrid>
      <w:tr>
        <w:tc>
          <w:tcPr/>
          <w:bookmarkStart w:id="56" w:name="fig-dendrogram"/>
          <w:p>
            <w:pPr>
              <w:pStyle w:val="Compact"/>
              <w:jc w:val="center"/>
            </w:pPr>
            <w:r>
              <w:drawing>
                <wp:inline>
                  <wp:extent cx="4533900" cy="2266950"/>
                  <wp:effectExtent b="0" l="0" r="0" t="0"/>
                  <wp:docPr descr="" title="" id="54" name="Picture"/>
                  <a:graphic>
                    <a:graphicData uri="http://schemas.openxmlformats.org/drawingml/2006/picture">
                      <pic:pic>
                        <pic:nvPicPr>
                          <pic:cNvPr descr="../Wykresy/klastrowanie/07_dendrogram_ward.png" id="55" name="Picture"/>
                          <pic:cNvPicPr>
                            <a:picLocks noChangeArrowheads="1" noChangeAspect="1"/>
                          </pic:cNvPicPr>
                        </pic:nvPicPr>
                        <pic:blipFill>
                          <a:blip r:embed="rId53"/>
                          <a:stretch>
                            <a:fillRect/>
                          </a:stretch>
                        </pic:blipFill>
                        <pic:spPr bwMode="auto">
                          <a:xfrm>
                            <a:off x="0" y="0"/>
                            <a:ext cx="4533900" cy="2266950"/>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Dendrogram aglomeracyjnego klastrowania metodą Warda na standaryzowanych cechach pełnego pokrycia. Najwyższy poziom łączenia odpowiada podziałowi na rdzeń wysokoproduktywny i pozostałą populację.</w:t>
            </w:r>
          </w:p>
          <w:bookmarkEnd w:id="56"/>
        </w:tc>
      </w:tr>
    </w:tbl>
    <w:p>
      <w:pPr>
        <w:pStyle w:val="BodyText"/>
      </w:pPr>
      <w:r>
        <w:t xml:space="preserve">Wariant eksploracyjny z wymuszonym k = 3 ujawnia, że „pozostała populacja” rozpada się na dwie jakościowo różne grupy, co wzbogaca typologię o trzeci, nieoczywisty typ profilu (</w:t>
      </w:r>
      <w:hyperlink w:anchor="tbl-klastry3">
        <w:r>
          <w:rPr>
            <w:rStyle w:val="Hyperlink"/>
          </w:rPr>
          <w:t xml:space="preserve">Tabela 4</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7" w:name="tbl-klastry3"/>
          <w:p>
            <w:pPr>
              <w:jc w:val="center"/>
            </w:pPr>
            <w:pPr>
              <w:jc w:val="left"/>
              <w:spacing w:before="200"/>
              <w:pStyle w:val="ImageCaption"/>
            </w:pPr>
            <w:r>
              <w:t xml:space="preserve">Tabela 4: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07"/>
              <w:gridCol w:w="612"/>
              <w:gridCol w:w="1377"/>
              <w:gridCol w:w="1377"/>
              <w:gridCol w:w="1224"/>
              <w:gridCol w:w="214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 (opisowo)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bl>
          <w:bookmarkEnd w:id="57"/>
        </w:tc>
      </w:tr>
    </w:tbl>
    <w:p>
      <w:pPr>
        <w:pStyle w:val="BodyText"/>
      </w:pPr>
      <w:r>
        <w:t xml:space="preserve">Trzecia grupa to</w:t>
      </w:r>
      <w:r>
        <w:t xml:space="preserve"> </w:t>
      </w:r>
      <w:r>
        <w:rPr>
          <w:b/>
          <w:bCs/>
        </w:rPr>
        <w:t xml:space="preserve">profil jakościowy</w:t>
      </w:r>
      <w:r>
        <w:t xml:space="preserve">: najmniejszy dorobek ilościowy (mediana 19,5 publikacji), ale najwyższa intensywność jakościowa (IF na publikację 2,68 i FWCI 2,32, najwyższe ze wszystkich klastrów), zdominowana przez młodszą kadrę (63 z 88 osób to asystenci i adiunkci). Jej istnienie pokazuje, że obok osi senioralności/produktywności przebiega</w:t>
      </w:r>
      <w:r>
        <w:t xml:space="preserve"> </w:t>
      </w:r>
      <w:r>
        <w:rPr>
          <w:b/>
          <w:bCs/>
        </w:rPr>
        <w:t xml:space="preserve">niezależna oś jakości</w:t>
      </w:r>
      <w:r>
        <w:t xml:space="preserve">, wzdłuż której wysoki impact osiągają również badacze o krótkim stażu i niewielkim dorobku. Także w wariancie k = 3 typologia pozostaje niezależna od uczelni (Craméra V = 0,10), a jej związek ze stanowiskiem jest słabszy niż przy k = 2 (V = 0,38), właśnie dlatego, że profil jakościowy przecina hierarchię akademicką.</w:t>
      </w:r>
    </w:p>
    <w:bookmarkEnd w:id="58"/>
    <w:bookmarkStart w:id="66" w:name="predykcja-wysokiego-impactu-pytanie-3"/>
    <w:p>
      <w:pPr>
        <w:pStyle w:val="Heading2"/>
      </w:pPr>
      <w:r>
        <w:t xml:space="preserve">Predykcja wysokiego impactu (pytanie 3)</w:t>
      </w:r>
    </w:p>
    <w:p>
      <w:pPr>
        <w:pStyle w:val="FirstParagraph"/>
      </w:pPr>
      <w:r>
        <w:t xml:space="preserve">Zmienną celu zdefiniowano jako przynależność do górnego decyla sumarycznego IF w całej próbie (high-impact: 46 z 452 osób, 10,2 %). Predyktorami były cechy strukturalne (stanowisko, uczelnia, liczba publikacji) oraz cechy sieciowe/cytowaniowe z OpenAlex (liczba unikalnych współautorów, średnia liczba autorów na pracę, średni FWCI); wskaźniki h-index i sumaryczny IF wykluczono jako predyktory ze względu na tautologiczny związek ze zmienną celu. Porównano Random Forest i XGBoost (strojenie na 5-krotnej walidacji krzyżowej); metryki testowe obu modeli podaje</w:t>
      </w:r>
      <w:r>
        <w:t xml:space="preserve"> </w:t>
      </w:r>
      <w:hyperlink w:anchor="tbl-modele">
        <w:r>
          <w:rPr>
            <w:rStyle w:val="Hyperlink"/>
          </w:rPr>
          <w:t xml:space="preserve">Tabela 5</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9" w:name="tbl-modele"/>
          <w:p>
            <w:pPr>
              <w:jc w:val="center"/>
            </w:pPr>
            <w:pPr>
              <w:jc w:val="left"/>
              <w:spacing w:before="200"/>
              <w:pStyle w:val="ImageCaption"/>
            </w:pPr>
            <w:r>
              <w:t xml:space="preserve">Tabela 5: Metryki testowe modeli predykcji wysokiego impactu (próg domyślny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dxa" w:w="9638"/>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bl>
          <w:bookmarkEnd w:id="59"/>
        </w:tc>
      </w:tr>
    </w:tbl>
    <w:p>
      <w:pPr>
        <w:pStyle w:val="BodyText"/>
      </w:pPr>
      <w:r>
        <w:t xml:space="preserve">Oba modele osiągnęły</w:t>
      </w:r>
      <w:r>
        <w:t xml:space="preserve"> </w:t>
      </w:r>
      <w:r>
        <w:rPr>
          <w:b/>
          <w:bCs/>
        </w:rPr>
        <w:t xml:space="preserve">wysoką zdolność dyskryminacyjną</w:t>
      </w:r>
      <w:r>
        <w:t xml:space="preserve"> </w:t>
      </w:r>
      <w:r>
        <w:t xml:space="preserve">(AUC ok. 0,93–0,97), lecz przy domyślnym progu decyzyjnym 0,5 i silnie niezbalansowanej zmiennej celu (10 % klasy pozytywnej) ich</w:t>
      </w:r>
      <w:r>
        <w:t xml:space="preserve"> </w:t>
      </w:r>
      <w:r>
        <w:rPr>
          <w:b/>
          <w:bCs/>
        </w:rPr>
        <w:t xml:space="preserve">czułość jest niska (0,20–0,30)</w:t>
      </w:r>
      <w:r>
        <w:t xml:space="preserve">: modele poprawnie rankują obserwacje, ale klasyfikują niemal wszystkie jako klasę większościową, przez co wysoka trafność (0,90) odpowiada w praktyce trywialnej regule „zawsze niski impact”.</w:t>
      </w:r>
    </w:p>
    <w:p>
      <w:pPr>
        <w:pStyle w:val="BodyText"/>
      </w:pPr>
      <w:r>
        <w:t xml:space="preserve">Problem ten dotyczy punktu pracy, nie zdolności dyskryminacyjnej. Wyznaczono zatem</w:t>
      </w:r>
      <w:r>
        <w:t xml:space="preserve"> </w:t>
      </w:r>
      <w:r>
        <w:rPr>
          <w:b/>
          <w:bCs/>
        </w:rPr>
        <w:t xml:space="preserve">próg decyzyjny optymalizujący indeks J Youdena</w:t>
      </w:r>
      <w:r>
        <w:t xml:space="preserve"> </w:t>
      </w:r>
      <w:r>
        <w:t xml:space="preserve">(Youden 1950)</w:t>
      </w:r>
      <w:r>
        <w:t xml:space="preserve"> </w:t>
      </w:r>
      <w:r>
        <w:t xml:space="preserve">(czułość + swoistość - 1) na predykcjach out-of-fold z walidacji krzyżowej (a więc bez strojenia na zbiorze testowym), uzyskując próg 0,054, znacznie niższy od 0,5, adekwatny do 10-procentowej prewalencji klasy pozytywnej. Po zastosowaniu tego progu do zbioru testowego model Random Forest osiąga</w:t>
      </w:r>
      <w:r>
        <w:t xml:space="preserve"> </w:t>
      </w:r>
      <w:r>
        <w:rPr>
          <w:b/>
          <w:bCs/>
        </w:rPr>
        <w:t xml:space="preserve">czułość 1,00 przy swoistości 0,74</w:t>
      </w:r>
      <w:r>
        <w:t xml:space="preserve"> </w:t>
      </w:r>
      <w:r>
        <w:t xml:space="preserve">(zbalansowana trafność 0,87), poprawnie identyfikując wszystkie obserwacje wysokiego impactu kosztem 21 fałszywie dodatnich (</w:t>
      </w:r>
      <w:hyperlink w:anchor="tbl-prog">
        <w:r>
          <w:rPr>
            <w:rStyle w:val="Hyperlink"/>
          </w:rPr>
          <w:t xml:space="preserve">Tabela 6</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60" w:name="tbl-prog"/>
          <w:p>
            <w:pPr>
              <w:jc w:val="center"/>
            </w:pPr>
            <w:pPr>
              <w:jc w:val="left"/>
              <w:spacing w:before="200"/>
              <w:pStyle w:val="ImageCaption"/>
            </w:pPr>
            <w:r>
              <w:t xml:space="preserve">Tabela 6: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dxa" w:w="9638"/>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bl>
          <w:bookmarkEnd w:id="60"/>
        </w:tc>
      </w:tr>
    </w:tbl>
    <w:p>
      <w:pPr>
        <w:pStyle w:val="BodyText"/>
      </w:pPr>
      <w:r>
        <w:t xml:space="preserve">Analiza ważności cech (ważność permutacyjna Random Forest oraz wartości SHAP dla XGBoost;</w:t>
      </w:r>
      <w:r>
        <w:t xml:space="preserve"> </w:t>
      </w:r>
      <w:hyperlink w:anchor="fig-modele">
        <w:r>
          <w:rPr>
            <w:rStyle w:val="Hyperlink"/>
          </w:rPr>
          <w:t xml:space="preserve">Rysunek 9</w:t>
        </w:r>
      </w:hyperlink>
      <w:r>
        <w:t xml:space="preserve">) wskazała</w:t>
      </w:r>
      <w:r>
        <w:t xml:space="preserve"> </w:t>
      </w:r>
      <w:r>
        <w:rPr>
          <w:b/>
          <w:bCs/>
        </w:rPr>
        <w:t xml:space="preserve">liczbę publikacji</w:t>
      </w:r>
      <w:r>
        <w:t xml:space="preserve"> </w:t>
      </w:r>
      <w:r>
        <w:t xml:space="preserve">jako predyktor dominujący, a w dalszej kolejności liczbę unikalnych współautorów oraz cechy struktury współpracy (średnia liczba autorów na pracę, średni FWCI); cechy stanowiska i uczelni miały marginalny wkład. Predykcja wysokiego impactu opiera się więc przede wszystkim na produktywności i osadzeniu w sieci współpracy, a nie na formalnej pozycji akademickiej czy afiliacji.</w:t>
      </w:r>
    </w:p>
    <w:tbl>
      <w:tblPr>
        <w:tblStyle w:val="Table"/>
        <w:tblW w:type="dxa" w:w="9638"/>
        <w:tblLayout w:type="autofit"/>
        <w:tblLook w:firstRow="0" w:lastRow="0" w:firstColumn="0" w:lastColumn="0" w:noHBand="0" w:noVBand="0" w:val="0000"/>
      </w:tblPr>
      <w:tblGrid>
        <w:gridCol w:w="9638"/>
      </w:tblGrid>
      <w:tr>
        <w:tc>
          <w:tcPr/>
          <w:bookmarkStart w:id="64" w:name="fig-modele"/>
          <w:p>
            <w:pPr>
              <w:pStyle w:val="Compact"/>
              <w:jc w:val="center"/>
            </w:pPr>
            <w:r>
              <w:drawing>
                <wp:inline>
                  <wp:extent cx="5067300" cy="2143857"/>
                  <wp:effectExtent b="0" l="0" r="0" t="0"/>
                  <wp:docPr descr="" title="" id="62" name="Picture"/>
                  <a:graphic>
                    <a:graphicData uri="http://schemas.openxmlformats.org/drawingml/2006/picture">
                      <pic:pic>
                        <pic:nvPicPr>
                          <pic:cNvPr descr="../Wykresy/praca/fig_04_modele.png" id="63" name="Picture"/>
                          <pic:cNvPicPr>
                            <a:picLocks noChangeArrowheads="1" noChangeAspect="1"/>
                          </pic:cNvPicPr>
                        </pic:nvPicPr>
                        <pic:blipFill>
                          <a:blip r:embed="rId61"/>
                          <a:stretch>
                            <a:fillRect/>
                          </a:stretch>
                        </pic:blipFill>
                        <pic:spPr bwMode="auto">
                          <a:xfrm>
                            <a:off x="0" y="0"/>
                            <a:ext cx="5067300" cy="2143857"/>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Metryki testowe modeli (lewy panel) oraz permutacyjna ważność cech Random Forest (prawy panel).</w:t>
            </w:r>
          </w:p>
          <w:bookmarkEnd w:id="64"/>
        </w:tc>
      </w:tr>
    </w:tbl>
    <w:bookmarkStart w:id="65" w:name="X9a06c264e53828f05fa2a8f64de99156fbea9e7"/>
    <w:p>
      <w:pPr>
        <w:pStyle w:val="Heading3"/>
      </w:pPr>
      <w:r>
        <w:t xml:space="preserve">Model jakościowy: czy wysoki impact to tylko staż?</w:t>
      </w:r>
    </w:p>
    <w:p>
      <w:pPr>
        <w:pStyle w:val="FirstParagraph"/>
      </w:pPr>
      <w:r>
        <w:t xml:space="preserve">Powyższy model przewiduje cel</w:t>
      </w:r>
      <w:r>
        <w:t xml:space="preserve"> </w:t>
      </w:r>
      <w:r>
        <w:rPr>
          <w:i/>
          <w:iCs/>
        </w:rPr>
        <w:t xml:space="preserve">kumulatywny</w:t>
      </w:r>
      <w:r>
        <w:t xml:space="preserve"> </w:t>
      </w:r>
      <w:r>
        <w:t xml:space="preserve">(sumaryczny IF), który z natury rośnie z dorobkiem, więc dominacja liczby publikacji może być częściowo tautologiczna. Aby to skontrolować, zbudowano drugi model o celu</w:t>
      </w:r>
      <w:r>
        <w:t xml:space="preserve"> </w:t>
      </w:r>
      <w:r>
        <w:rPr>
          <w:i/>
          <w:iCs/>
        </w:rPr>
        <w:t xml:space="preserve">niekumulatywnym</w:t>
      </w:r>
      <w:r>
        <w:t xml:space="preserve">: wysoka jakość zdefiniowana jako średni FWCI &gt; 1 (impact powyżej światowej średniej w dziedzinie, niezależny od liczby prac; 234 z 366 osób, 63,9 %). Zestaw predyktorów rozszerzono o</w:t>
      </w:r>
      <w:r>
        <w:t xml:space="preserve"> </w:t>
      </w:r>
      <w:r>
        <w:rPr>
          <w:b/>
          <w:bCs/>
        </w:rPr>
        <w:t xml:space="preserve">wiek akademicki</w:t>
      </w:r>
      <w:r>
        <w:t xml:space="preserve"> </w:t>
      </w:r>
      <w:r>
        <w:t xml:space="preserve">(lata od pierwszej publikacji), usuwając wszystkie pochodne IF.</w:t>
      </w:r>
    </w:p>
    <w:p>
      <w:pPr>
        <w:pStyle w:val="BodyText"/>
      </w:pPr>
      <w:r>
        <w:t xml:space="preserve">Wynik jest wymowny na dwa sposoby. Po pierwsze, jakość jest</w:t>
      </w:r>
      <w:r>
        <w:t xml:space="preserve"> </w:t>
      </w:r>
      <w:r>
        <w:rPr>
          <w:b/>
          <w:bCs/>
        </w:rPr>
        <w:t xml:space="preserve">znacznie trudniej przewidywalna</w:t>
      </w:r>
      <w:r>
        <w:t xml:space="preserve"> </w:t>
      </w:r>
      <w:r>
        <w:t xml:space="preserve">ze struktury niż objętość dorobku: AUC spada do ok. 0,81 (RF 0,807, XGBoost 0,810) wobec 0,97 dla modelu ilościowego. Po drugie, gdy celem jest jakość, a nie suma,</w:t>
      </w:r>
      <w:r>
        <w:t xml:space="preserve"> </w:t>
      </w:r>
      <w:r>
        <w:rPr>
          <w:b/>
          <w:bCs/>
        </w:rPr>
        <w:t xml:space="preserve">wiek akademicki przestaje dominować</w:t>
      </w:r>
      <w:r>
        <w:t xml:space="preserve">: najważniejszymi predyktorami są cechy struktury współpracy (średnia liczba autorów na pracę oraz liczba unikalnych współautorów), podczas gdy wiek akademicki, liczba publikacji, stanowisko i uczelnia mają wkład marginalny. Wysoki impact w przeliczeniu na pracę wiąże się więc z osadzeniem w szerszych, wieloautorskich kolaboracjach, a nie ze stażem czy formalną pozycją. Potwierdza to obserwację z typologii (profil jakościowy młodej kadry, klaster 3 przy k = 3): istnieje oś jakości niezależna od osi senioralności.</w:t>
      </w:r>
    </w:p>
    <w:bookmarkEnd w:id="65"/>
    <w:bookmarkEnd w:id="66"/>
    <w:bookmarkStart w:id="72" w:name="sieć-współautorstwa-pytanie-4"/>
    <w:p>
      <w:pPr>
        <w:pStyle w:val="Heading2"/>
      </w:pPr>
      <w:r>
        <w:t xml:space="preserve">Sieć współautorstwa (pytanie 4)</w:t>
      </w:r>
    </w:p>
    <w:p>
      <w:pPr>
        <w:pStyle w:val="FirstParagraph"/>
      </w:pPr>
      <w:r>
        <w:t xml:space="preserve">Sieć współautorstwa zbudowano z krawędzi OpenAlex ograniczonych do współprac wewnątrz badanej kohorty (oba węzły dopasowane, waga ≥ 2 wspólne publikacje): 367 węzłów i 630 krawędzi. Największa składowa spójności obejmuje</w:t>
      </w:r>
      <w:r>
        <w:t xml:space="preserve"> </w:t>
      </w:r>
      <w:r>
        <w:rPr>
          <w:b/>
          <w:bCs/>
        </w:rPr>
        <w:t xml:space="preserve">265 węzłów (72 %)</w:t>
      </w:r>
      <w:r>
        <w:t xml:space="preserve"> </w:t>
      </w:r>
      <w:r>
        <w:t xml:space="preserve">i 595 krawędzi, o gęstości 0,017 i współczynniku gronowania (transitivity) 0,37.</w:t>
      </w:r>
    </w:p>
    <w:tbl>
      <w:tblPr>
        <w:tblStyle w:val="Table"/>
        <w:tblW w:type="dxa" w:w="9638"/>
        <w:tblLayout w:type="autofit"/>
        <w:tblLook w:firstRow="0" w:lastRow="0" w:firstColumn="0" w:lastColumn="0" w:noHBand="0" w:noVBand="0" w:val="0000"/>
      </w:tblPr>
      <w:tblGrid>
        <w:gridCol w:w="9638"/>
      </w:tblGrid>
      <w:tr>
        <w:tc>
          <w:tcPr/>
          <w:bookmarkStart w:id="70" w:name="fig-siec"/>
          <w:p>
            <w:pPr>
              <w:pStyle w:val="Compact"/>
              <w:jc w:val="center"/>
            </w:pPr>
            <w:r>
              <w:drawing>
                <wp:inline>
                  <wp:extent cx="5067300" cy="2533650"/>
                  <wp:effectExtent b="0" l="0" r="0" t="0"/>
                  <wp:docPr descr="" title="" id="68" name="Picture"/>
                  <a:graphic>
                    <a:graphicData uri="http://schemas.openxmlformats.org/drawingml/2006/picture">
                      <pic:pic>
                        <pic:nvPicPr>
                          <pic:cNvPr descr="../Wykresy/praca/fig_05_siec.png" id="69" name="Picture"/>
                          <pic:cNvPicPr>
                            <a:picLocks noChangeArrowheads="1" noChangeAspect="1"/>
                          </pic:cNvPicPr>
                        </pic:nvPicPr>
                        <pic:blipFill>
                          <a:blip r:embed="rId67"/>
                          <a:stretch>
                            <a:fillRect/>
                          </a:stretch>
                        </pic:blipFill>
                        <pic:spPr bwMode="auto">
                          <a:xfrm>
                            <a:off x="0" y="0"/>
                            <a:ext cx="5067300" cy="253365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z podziałem na społeczności Louvain (lewy panel) oraz zgodność społeczności z uczelnią (prawy panel).</w:t>
            </w:r>
          </w:p>
          <w:bookmarkEnd w:id="70"/>
        </w:tc>
      </w:tr>
    </w:tbl>
    <w:p>
      <w:pPr>
        <w:pStyle w:val="BodyText"/>
      </w:pPr>
      <w:r>
        <w:t xml:space="preserve">Wykrywanie wspólnot algorytmem Louvain wyodrębniło</w:t>
      </w:r>
      <w:r>
        <w:t xml:space="preserve"> </w:t>
      </w:r>
      <w:r>
        <w:rPr>
          <w:b/>
          <w:bCs/>
        </w:rPr>
        <w:t xml:space="preserve">21 społeczności przy bardzo wysokiej modularności Q = 0,856</w:t>
      </w:r>
      <w:r>
        <w:t xml:space="preserve">, co świadczy o silnie zmodularyzowanej strukturze współpracy. Zgodność wykrytych społeczności ze zmiennymi opisowymi oceniono skorygowanym indeksem Randa (ARI)</w:t>
      </w:r>
      <w:r>
        <w:t xml:space="preserve"> </w:t>
      </w:r>
      <w:r>
        <w:t xml:space="preserve">(Hubert i Arabie 1985)</w:t>
      </w:r>
      <w:r>
        <w:t xml:space="preserve"> </w:t>
      </w:r>
      <w:r>
        <w:t xml:space="preserve">oraz znormalizowaną informacją wzajemną (NMI); rozstrzyga ona pytanie 4 (</w:t>
      </w:r>
      <w:hyperlink w:anchor="tbl-spolecznosci">
        <w:r>
          <w:rPr>
            <w:rStyle w:val="Hyperlink"/>
          </w:rPr>
          <w:t xml:space="preserve">Tabela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71" w:name="tbl-spolecznosci"/>
          <w:p>
            <w:pPr>
              <w:jc w:val="center"/>
            </w:pPr>
            <w:pPr>
              <w:jc w:val="left"/>
              <w:spacing w:before="200"/>
              <w:pStyle w:val="ImageCaption"/>
            </w:pPr>
            <w:r>
              <w:t xml:space="preserve">Tabela 7: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dxa" w:w="9638"/>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bl>
          <w:bookmarkEnd w:id="71"/>
        </w:tc>
      </w:tr>
    </w:tbl>
    <w:p>
      <w:pPr>
        <w:pStyle w:val="BodyText"/>
      </w:pPr>
      <w:r>
        <w:t xml:space="preserve">Społeczności współautorstwa pokrywają się przede wszystkim z</w:t>
      </w:r>
      <w:r>
        <w:t xml:space="preserve"> </w:t>
      </w:r>
      <w:r>
        <w:rPr>
          <w:b/>
          <w:bCs/>
        </w:rPr>
        <w:t xml:space="preserve">afiliacją uczelnianą</w:t>
      </w:r>
      <w:r>
        <w:t xml:space="preserve"> </w:t>
      </w:r>
      <w:r>
        <w:t xml:space="preserve">(NMI = 0,58), a niemal w ogóle ze stanowiskiem (NMI = 0,09). Heatmapa zgodności (</w:t>
      </w:r>
      <w:hyperlink w:anchor="fig-siec">
        <w:r>
          <w:rPr>
            <w:rStyle w:val="Hyperlink"/>
          </w:rPr>
          <w:t xml:space="preserve">Rysunek 10</w:t>
        </w:r>
      </w:hyperlink>
      <w:r>
        <w:t xml:space="preserve">, prawy panel) pokazuje, że większość społeczności jest jednorodna uczelniano (po 100 % członków z jednej uczelni); wspólnoty międzyuczelniane są nieliczne. Innymi słowy współpraca naukowa w badanej dyscyplinie ma charakter przede wszystkim</w:t>
      </w:r>
      <w:r>
        <w:t xml:space="preserve"> </w:t>
      </w:r>
      <w:r>
        <w:rPr>
          <w:b/>
          <w:bCs/>
        </w:rPr>
        <w:t xml:space="preserve">wewnątrzinstytucjonalny</w:t>
      </w:r>
      <w:r>
        <w:t xml:space="preserve">. Najwyższą centralność stopnia osiąga profesor z URK (S. Smoleń), a tuż za nim plasuje się grupa gleboznawcza UPWr.</w:t>
      </w:r>
    </w:p>
    <w:bookmarkEnd w:id="72"/>
    <w:bookmarkEnd w:id="73"/>
    <w:bookmarkStart w:id="83" w:name="dyskusja"/>
    <w:p>
      <w:pPr>
        <w:pStyle w:val="Heading1"/>
      </w:pPr>
      <w:r>
        <w:t xml:space="preserve">Dyskusja</w:t>
      </w:r>
    </w:p>
    <w:bookmarkStart w:id="74" w:name="X8e8cd80b7d1e8d8e23d38bfd67a798253a95b88"/>
    <w:p>
      <w:pPr>
        <w:pStyle w:val="Heading2"/>
      </w:pPr>
      <w:r>
        <w:t xml:space="preserve">Dwoistość: profil indywidualny a struktura współpracy</w:t>
      </w:r>
    </w:p>
    <w:p>
      <w:pPr>
        <w:pStyle w:val="FirstParagraph"/>
      </w:pPr>
      <w:r>
        <w:t xml:space="preserve">Najważniejszym ustaleniem pracy jest</w:t>
      </w:r>
      <w:r>
        <w:t xml:space="preserve"> </w:t>
      </w:r>
      <w:r>
        <w:rPr>
          <w:b/>
          <w:bCs/>
        </w:rPr>
        <w:t xml:space="preserve">rozbieżność osi organizujących indywidualny dorobek i zbiorową współpracę</w:t>
      </w:r>
      <w:r>
        <w:t xml:space="preserve">. Z jednej strony profil bibliometryczny pojedynczego naukowca, uchwycony zarówno przez analizę 2-czynnikową (warstwa 1), jak i przez typologię klastrową (warstwa 2), porządkuje się wzdłuż</w:t>
      </w:r>
      <w:r>
        <w:t xml:space="preserve"> </w:t>
      </w:r>
      <w:r>
        <w:rPr>
          <w:b/>
          <w:bCs/>
        </w:rPr>
        <w:t xml:space="preserve">osi senioralności</w:t>
      </w:r>
      <w:r>
        <w:t xml:space="preserve">: różnice między stanowiskami są monotoniczne i jednorodne dla wszystkich czterech uczelni, a przynależność do klastra wysokoproduktywnego jest silnie powiązana ze stanowiskiem (Craméra V = 0,45), lecz statystycznie niezależna od uczelni (V = 0,10). Z drugiej strony sieć współautorstwa (warstwa 4) dzieli populację wzdłuż</w:t>
      </w:r>
      <w:r>
        <w:t xml:space="preserve"> </w:t>
      </w:r>
      <w:r>
        <w:rPr>
          <w:b/>
          <w:bCs/>
        </w:rPr>
        <w:t xml:space="preserve">osi afiliacyjnej</w:t>
      </w:r>
      <w:r>
        <w:t xml:space="preserve">: społeczności Louvain pokrywają się przede wszystkim z uczelnią (NMI = 0,58), a niemal w ogóle ze stanowiskiem (NMI = 0,09).</w:t>
      </w:r>
    </w:p>
    <w:p>
      <w:pPr>
        <w:pStyle w:val="BodyText"/>
      </w:pPr>
      <w:r>
        <w:t xml:space="preserve">Innymi słowy:</w:t>
      </w:r>
      <w:r>
        <w:t xml:space="preserve"> </w:t>
      </w:r>
      <w:r>
        <w:rPr>
          <w:i/>
          <w:iCs/>
        </w:rPr>
        <w:t xml:space="preserve">kim</w:t>
      </w:r>
      <w:r>
        <w:t xml:space="preserve"> </w:t>
      </w:r>
      <w:r>
        <w:t xml:space="preserve">naukowiec jest pod względem bibliometrycznym zależy od etapu kariery niezależnie od macierzystej instytucji, ale</w:t>
      </w:r>
      <w:r>
        <w:t xml:space="preserve"> </w:t>
      </w:r>
      <w:r>
        <w:rPr>
          <w:i/>
          <w:iCs/>
        </w:rPr>
        <w:t xml:space="preserve">z kim</w:t>
      </w:r>
      <w:r>
        <w:t xml:space="preserve"> </w:t>
      </w:r>
      <w:r>
        <w:t xml:space="preserve">współpracuje determinuje przede wszystkim afiliacja. Współpraca w badanej dyscyplinie ma charakter wyraźnie wewnątrzinstytucjonalny: mosty międzyuczelniane są nieliczne, a wysoka modularność sieci (Q = 0,856) potwierdza silnie izolowane skupiska. Jest to spójne z naturą nauk rolniczych, gdzie znaczna część badań osadzona jest w lokalnej infrastrukturze (pola doświadczalne, stacje badawcze, lokalne uwarunkowania glebowo-klimatyczne).</w:t>
      </w:r>
    </w:p>
    <w:bookmarkEnd w:id="74"/>
    <w:bookmarkStart w:id="75" w:name="predyktory-wysokiego-impactu"/>
    <w:p>
      <w:pPr>
        <w:pStyle w:val="Heading2"/>
      </w:pPr>
      <w:r>
        <w:t xml:space="preserve">Predyktory wysokiego impactu</w:t>
      </w:r>
    </w:p>
    <w:p>
      <w:pPr>
        <w:pStyle w:val="FirstParagraph"/>
      </w:pPr>
      <w:r>
        <w:t xml:space="preserve">Modelowanie predykcyjne (warstwa 3) wzmacnia ten obraz: wysoki impact (górny decyl sumarycznego IF) daje się przewidzieć z cech strukturalnych z bardzo dobrą zdolnością dyskryminacyjną (AUC ok. 0,97), a najważniejszymi predyktorami są</w:t>
      </w:r>
      <w:r>
        <w:t xml:space="preserve"> </w:t>
      </w:r>
      <w:r>
        <w:rPr>
          <w:b/>
          <w:bCs/>
        </w:rPr>
        <w:t xml:space="preserve">liczba publikacji oraz osadzenie w sieci współpracy</w:t>
      </w:r>
      <w:r>
        <w:t xml:space="preserve"> </w:t>
      </w:r>
      <w:r>
        <w:t xml:space="preserve">(liczba unikalnych współautorów, FWCI), nie zaś formalne stanowisko czy uczelnia. Sugeruje to, że wysoki dorobek jest funkcją produktywności i kapitału sieciowego, a nie pozycji w hierarchii akademickiej per se; stanowisko jest raczej</w:t>
      </w:r>
      <w:r>
        <w:t xml:space="preserve"> </w:t>
      </w:r>
      <w:r>
        <w:rPr>
          <w:i/>
          <w:iCs/>
        </w:rPr>
        <w:t xml:space="preserve">skutkiem</w:t>
      </w:r>
      <w:r>
        <w:t xml:space="preserve"> </w:t>
      </w:r>
      <w:r>
        <w:t xml:space="preserve">skumulowanego dorobku niż jego niezależnym predyktorem. Niska czułość modelu przy progu domyślnym okazała się problemem punktu pracy, a nie modelu: po kalibracji progu na danych walidacyjnych model wiarygodnie identyfikuje całą klasę wysokiego impactu (czułość 1,00, zbalansowana trafność 0,87).</w:t>
      </w:r>
    </w:p>
    <w:p>
      <w:pPr>
        <w:pStyle w:val="BodyText"/>
      </w:pPr>
      <w:r>
        <w:t xml:space="preserve">Model jakościowy uzupełnia ten obraz o istotne zastrzeżenie. Gdy celem predykcji jest jakość niekumulatywna (FWCI &gt; 1), a nie suma dorobku, zdolność dyskryminacyjna wyraźnie spada (AUC ok. 0,81), a hierarchia predyktorów się zmienia: znaczenie tracą produktywność i wiek akademicki, a na czoło wysuwa się</w:t>
      </w:r>
      <w:r>
        <w:t xml:space="preserve"> </w:t>
      </w:r>
      <w:r>
        <w:rPr>
          <w:b/>
          <w:bCs/>
        </w:rPr>
        <w:t xml:space="preserve">struktura współpracy</w:t>
      </w:r>
      <w:r>
        <w:t xml:space="preserve"> </w:t>
      </w:r>
      <w:r>
        <w:t xml:space="preserve">(liczność i wieloautorskość kolaboracji). Innymi słowy,</w:t>
      </w:r>
      <w:r>
        <w:t xml:space="preserve"> </w:t>
      </w:r>
      <w:r>
        <w:rPr>
          <w:i/>
          <w:iCs/>
        </w:rPr>
        <w:t xml:space="preserve">ile</w:t>
      </w:r>
      <w:r>
        <w:t xml:space="preserve"> </w:t>
      </w:r>
      <w:r>
        <w:t xml:space="preserve">i</w:t>
      </w:r>
      <w:r>
        <w:t xml:space="preserve"> </w:t>
      </w:r>
      <w:r>
        <w:rPr>
          <w:i/>
          <w:iCs/>
        </w:rPr>
        <w:t xml:space="preserve">jak długo</w:t>
      </w:r>
      <w:r>
        <w:t xml:space="preserve"> </w:t>
      </w:r>
      <w:r>
        <w:t xml:space="preserve">ktoś publikuje przewiduje skumulowany impact niemal trywialnie, ale</w:t>
      </w:r>
      <w:r>
        <w:t xml:space="preserve"> </w:t>
      </w:r>
      <w:r>
        <w:rPr>
          <w:i/>
          <w:iCs/>
        </w:rPr>
        <w:t xml:space="preserve">jak dobre</w:t>
      </w:r>
      <w:r>
        <w:t xml:space="preserve"> </w:t>
      </w:r>
      <w:r>
        <w:t xml:space="preserve">są pojedyncze prace zależy przede wszystkim od osadzenia w szerokiej współpracy, nie od stażu. To bezpośrednio osłabia interpretację, w której wysoki impact byłby wyłącznie pochodną senioralności, i wskazuje na samodzielną oś jakości, widoczną też w typologii (profil jakościowy młodej kadry).</w:t>
      </w:r>
    </w:p>
    <w:bookmarkEnd w:id="75"/>
    <w:bookmarkStart w:id="76" w:name="kategoria-ewaluacyjna-mein"/>
    <w:p>
      <w:pPr>
        <w:pStyle w:val="Heading2"/>
      </w:pPr>
      <w:r>
        <w:t xml:space="preserve">Kategoria ewaluacyjna MEiN</w:t>
      </w:r>
    </w:p>
    <w:p>
      <w:pPr>
        <w:pStyle w:val="FirstParagraph"/>
      </w:pPr>
      <w:r>
        <w:t xml:space="preserve">Ze względu na idealną współliniowość kategorii z uczelnią (UWM jako jedyna uczelnia B+) nie sposób rozdzielić efektu kategorii od efektu instytucji. Na poziomie opisowym UWM (B+) nie odstaje systematycznie</w:t>
      </w:r>
      <w:r>
        <w:t xml:space="preserve"> </w:t>
      </w:r>
      <w:r>
        <w:rPr>
          <w:i/>
          <w:iCs/>
        </w:rPr>
        <w:t xml:space="preserve">in minus</w:t>
      </w:r>
      <w:r>
        <w:t xml:space="preserve"> </w:t>
      </w:r>
      <w:r>
        <w:t xml:space="preserve">od uczelni kategorii A, jego mediany metryk mieszczą się w zakresie pozostałych uczelni, co sugeruje, że formalna kategoria ewaluacyjna nie przekłada się wprost na różnice w indywidualnych wskaźnikach bibliometrycznych badanej kohorty. Wniosek ten należy jednak traktować ostrożnie, jako hipotezę do weryfikacji na próbie z większą liczbą uczelni B+.</w:t>
      </w:r>
    </w:p>
    <w:bookmarkEnd w:id="76"/>
    <w:bookmarkStart w:id="81" w:name="Xc8114be83f87911a3e825982079ac6b9186de2d"/>
    <w:p>
      <w:pPr>
        <w:pStyle w:val="Heading2"/>
      </w:pPr>
      <w:r>
        <w:t xml:space="preserve">Dynamika rozwoju a wrażliwość na źródło danych</w:t>
      </w:r>
    </w:p>
    <w:p>
      <w:pPr>
        <w:pStyle w:val="FirstParagraph"/>
      </w:pPr>
      <w:r>
        <w:t xml:space="preserve">Statyczny obraz dorobku uzupełniono analizą eksploracyjną</w:t>
      </w:r>
      <w:r>
        <w:t xml:space="preserve"> </w:t>
      </w:r>
      <w:r>
        <w:rPr>
          <w:b/>
          <w:bCs/>
        </w:rPr>
        <w:t xml:space="preserve">tempa rozwoju produktywności</w:t>
      </w:r>
      <w:r>
        <w:t xml:space="preserve"> </w:t>
      </w:r>
      <w:r>
        <w:t xml:space="preserve">każdej uczelni, mierzonego rocznym wzrostem liczby publikacji na badacza (CAGR z regresji log-liniowej trajektorii 2008–2024, znormalizowanej do okresu bazowego). Analizę przeprowadzono dwukrotnie i wynik okazał się</w:t>
      </w:r>
      <w:r>
        <w:t xml:space="preserve"> </w:t>
      </w:r>
      <w:r>
        <w:rPr>
          <w:b/>
          <w:bCs/>
        </w:rPr>
        <w:t xml:space="preserve">silnie zależny od źródła danych</w:t>
      </w:r>
      <w:r>
        <w:t xml:space="preserve">, co stanowi samodzielny rezultat metodyczny. Na danych OpenAlex uczelnie układały się w wąskim, praktycznie nierozróżnialnym zakresie (CAGR 4,0–4,6 %: SGGW 4,6 %, URK 4,2 %, UPWr 4,1 %, UWM 4,0 %), bez wyraźnego lidera tempa. Po powtórzeniu analizy na</w:t>
      </w:r>
      <w:r>
        <w:t xml:space="preserve"> </w:t>
      </w:r>
      <w:r>
        <w:rPr>
          <w:b/>
          <w:bCs/>
        </w:rPr>
        <w:t xml:space="preserve">pełnych listach publikacji Omega-PSIR</w:t>
      </w:r>
      <w:r>
        <w:t xml:space="preserve"> </w:t>
      </w:r>
      <w:r>
        <w:t xml:space="preserve">(100 % próby, 491 osób, pełny katalog z polskimi czasopismami i monografiami nieindeksowanymi w OpenAlex)</w:t>
      </w:r>
      <w:r>
        <w:t xml:space="preserve"> </w:t>
      </w:r>
      <w:r>
        <w:rPr>
          <w:b/>
          <w:bCs/>
        </w:rPr>
        <w:t xml:space="preserve">obraz uległ rozwarstwieniu i przestawieniu</w:t>
      </w:r>
      <w:r>
        <w:t xml:space="preserve"> </w:t>
      </w:r>
      <w:r>
        <w:t xml:space="preserve">(</w:t>
      </w:r>
      <w:hyperlink w:anchor="fig-dynamika">
        <w:r>
          <w:rPr>
            <w:rStyle w:val="Hyperlink"/>
          </w:rPr>
          <w:t xml:space="preserve">Rysunek 11</w:t>
        </w:r>
      </w:hyperlink>
      <w:r>
        <w:t xml:space="preserve">): najszybciej rozwijają się URK (CAGR 5,4 %; 95 % CI 0,8–10,3 %) i UWM (4,9 %; 1,6–8,2 %), podczas gdy UPWr (2,7 %; −0,6–6,0 %) i SGGW (1,2 %; −0,8–3,2 %) są praktycznie płaskie. Najbardziej wymowne jest położenie SGGW, która z pozycji formalnie najszybszej w OpenAlex (4,6 %) spada na ostatnie miejsce w danych CRIS (1,2 %). Podział ten utrzymuje się w wariancie odpornościowym ograniczonym do kadry o ustalonej karierze (pierwsza publikacja ≤ 2010 r.: URK 3,9 %, UWM 4,0 % wobec UPWr 0,7 %, SGGW −0,1 %), nie jest więc artefaktem napływu młodej kadry.</w:t>
      </w:r>
    </w:p>
    <w:tbl>
      <w:tblPr>
        <w:tblStyle w:val="Table"/>
        <w:tblW w:type="dxa" w:w="9638"/>
        <w:tblLayout w:type="autofit"/>
        <w:tblLook w:firstRow="0" w:lastRow="0" w:firstColumn="0" w:lastColumn="0" w:noHBand="0" w:noVBand="0" w:val="0000"/>
      </w:tblPr>
      <w:tblGrid>
        <w:gridCol w:w="9638"/>
      </w:tblGrid>
      <w:tr>
        <w:tc>
          <w:tcPr/>
          <w:bookmarkStart w:id="80" w:name="fig-dynamika"/>
          <w:p>
            <w:pPr>
              <w:pStyle w:val="Compact"/>
              <w:jc w:val="center"/>
            </w:pPr>
            <w:r>
              <w:drawing>
                <wp:inline>
                  <wp:extent cx="4267200" cy="2607733"/>
                  <wp:effectExtent b="0" l="0" r="0" t="0"/>
                  <wp:docPr descr="" title="" id="78" name="Picture"/>
                  <a:graphic>
                    <a:graphicData uri="http://schemas.openxmlformats.org/drawingml/2006/picture">
                      <pic:pic>
                        <pic:nvPicPr>
                          <pic:cNvPr descr="../Wykresy/praca/fig_06_dynamika_porownanie.png" id="79" name="Picture"/>
                          <pic:cNvPicPr>
                            <a:picLocks noChangeArrowheads="1" noChangeAspect="1"/>
                          </pic:cNvPicPr>
                        </pic:nvPicPr>
                        <pic:blipFill>
                          <a:blip r:embed="rId77"/>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Tempo rozwoju produktywności (CAGR output na badacza) liczone na dwóch źródłach. Pełne pokrycie CRIS odwraca ranking względem OpenAlex.</w:t>
            </w:r>
          </w:p>
          <w:bookmarkEnd w:id="80"/>
        </w:tc>
      </w:tr>
    </w:tbl>
    <w:p>
      <w:pPr>
        <w:pStyle w:val="BodyText"/>
      </w:pPr>
      <w:r>
        <w:t xml:space="preserve">Rozbieżność nie jest przypadkowa i, co istotne, nie da się jej zbyć artefaktem jakości dopasowania. Analizę OpenAlex przeprowadzono już po skorygowaniu dopasowania URK (z 47,5 % do 77,8 %, poziomu porównywalnego z pozostałymi uczelniami), a mimo to OpenAlex nadal zlewa wszystkie cztery uczelnie w jednolity pas ok. 4 %, podczas gdy kompletny katalog CRIS ujawnia realne rozwarstwienie tempa (1,2–5,4 %). Źródłem rozbieżności jest więc nie niedopasowanie autorów, lecz</w:t>
      </w:r>
      <w:r>
        <w:t xml:space="preserve"> </w:t>
      </w:r>
      <w:r>
        <w:rPr>
          <w:b/>
          <w:bCs/>
        </w:rPr>
        <w:t xml:space="preserve">niepełne pokrycie polskiego dorobku przez OpenAlex</w:t>
      </w:r>
      <w:r>
        <w:t xml:space="preserve">: globalny indeks pomija znaczną część publikacji w polskich czasopismach i monografiach, a wyższe, bogatsze o lokalny dorobek poziomy bazowe w danych CRIS sprawiają, że pozorny „wzrost” widoczny w OpenAlex był po części artefaktem rosnącego w czasie pokrycia polskich publikacji przez tę bazę. Wynik ten jest bezpośrednim potwierdzeniem</w:t>
      </w:r>
      <w:r>
        <w:t xml:space="preserve"> </w:t>
      </w:r>
      <w:r>
        <w:rPr>
          <w:b/>
          <w:bCs/>
        </w:rPr>
        <w:t xml:space="preserve">centralnej tezy metodycznej pracy</w:t>
      </w:r>
      <w:r>
        <w:t xml:space="preserve">, że jednorodność i kompletność systemu CRIS są dla porównań międzyuczelnianych ważniejsze niż wygoda gotowego indeksu globalnego: ten sam wskaźnik dynamiki prowadzi do przeciwnych wniosków w zależności od kompletności źródła. Same różnice tempa należy przy tym traktować ostrożnie ze względu na szerokie, częściowo nakładające się przedziały ufności; wiarygodny jest jakościowy podział na uczelnie rozwijające się (URK, UWM) i o produktywności ustabilizowanej (UPWr, SGGW), nie zaś dokładny ranking.</w:t>
      </w:r>
    </w:p>
    <w:bookmarkEnd w:id="81"/>
    <w:bookmarkStart w:id="82" w:name="ograniczenia"/>
    <w:p>
      <w:pPr>
        <w:pStyle w:val="Heading2"/>
      </w:pPr>
      <w:r>
        <w:t xml:space="preserve">Ograniczenia</w:t>
      </w:r>
    </w:p>
    <w:p>
      <w:pPr>
        <w:pStyle w:val="Compact"/>
        <w:numPr>
          <w:ilvl w:val="0"/>
          <w:numId w:val="1003"/>
        </w:numPr>
      </w:pPr>
      <w:r>
        <w:rPr>
          <w:b/>
          <w:bCs/>
        </w:rPr>
        <w:t xml:space="preserve">Proxy a metodyka oficjalna.</w:t>
      </w:r>
      <w:r>
        <w:t xml:space="preserve"> </w:t>
      </w:r>
      <w:r>
        <w:t xml:space="preserve">Analiza opiera się na per-autorskich agregatach bibliometrycznych, które przybliżają indywidualny dorobek, ale nie odtwarzają algorytmu ewaluacji jakości działalności naukowej (poziom podmiotu, udziały jednostkowe, sloty, punktacja ministerialna zamiast IF)</w:t>
      </w:r>
      <w:r>
        <w:t xml:space="preserve"> </w:t>
      </w:r>
      <w:r>
        <w:t xml:space="preserve">(Minister Edukacji i Nauki 2022)</w:t>
      </w:r>
      <w:r>
        <w:t xml:space="preserve">. Wniosków nie należy zatem wprost przekładać na przewidywane kategorie ewaluacyjne uczelni.</w:t>
      </w:r>
    </w:p>
    <w:p>
      <w:pPr>
        <w:pStyle w:val="Compact"/>
        <w:numPr>
          <w:ilvl w:val="0"/>
          <w:numId w:val="1003"/>
        </w:numPr>
      </w:pPr>
      <w:r>
        <w:rPr>
          <w:b/>
          <w:bCs/>
        </w:rPr>
        <w:t xml:space="preserve">Confounding kategoria–uczelnia.</w:t>
      </w:r>
      <w:r>
        <w:t xml:space="preserve"> </w:t>
      </w:r>
      <w:r>
        <w:t xml:space="preserve">Pojedyncza uczelnia kategorii B+ uniemożliwia oddzielenie wpływu kategorii ewaluacyjnej od idiosynkrazji instytucji; kategorię ujęto wyłącznie opisowo.</w:t>
      </w:r>
    </w:p>
    <w:p>
      <w:pPr>
        <w:pStyle w:val="Compact"/>
        <w:numPr>
          <w:ilvl w:val="0"/>
          <w:numId w:val="1003"/>
        </w:numPr>
      </w:pPr>
      <w:r>
        <w:rPr>
          <w:b/>
          <w:bCs/>
        </w:rPr>
        <w:t xml:space="preserve">Niejednorodność pokrycia metryk.</w:t>
      </w:r>
      <w:r>
        <w:t xml:space="preserve"> </w:t>
      </w:r>
      <w:r>
        <w:t xml:space="preserve">SGGW nie eksponuje sumarycznej punktacji MEiN w API (100 % braków), przez co analizy oparte na MEiN ograniczono do trzech uczelni. UWM nie udostępnia SNIP. Wymusza to ostrożność w porównaniach międzyuczelnianych dla tych wskaźników.</w:t>
      </w:r>
    </w:p>
    <w:p>
      <w:pPr>
        <w:pStyle w:val="Compact"/>
        <w:numPr>
          <w:ilvl w:val="0"/>
          <w:numId w:val="1003"/>
        </w:numPr>
      </w:pPr>
      <w:r>
        <w:rPr>
          <w:b/>
          <w:bCs/>
        </w:rPr>
        <w:t xml:space="preserve">Zmienność reżimu punktacji MEiN w czasie.</w:t>
      </w:r>
      <w:r>
        <w:t xml:space="preserve"> </w:t>
      </w:r>
      <w:r>
        <w:t xml:space="preserve">Sumaryczna punktacja MEiN jest wielkością kumulatywną, obejmującą publikacje oceniane w różnych, niespójnych reżimach punktowych: przed reformą 2018/2019 (osobne listy A/B/C o odmiennych skalach), w nowym systemie 20–200 punktów wprowadzonym pierwszym wykazem czasopism z 2019 r., a następnie po jego skokowej rewizji w 2023 r. Dane przekazują tę metrykę jako jedną sumę, bez rozbicia na okresy, więc nie sposób tych reżimów rozdzielić; dodatkowo wzmacnia to jej charakter proxy, a nie odwzorowania oficjalnego wyniku ewaluacyjnego.</w:t>
      </w:r>
    </w:p>
    <w:p>
      <w:pPr>
        <w:pStyle w:val="Compact"/>
        <w:numPr>
          <w:ilvl w:val="0"/>
          <w:numId w:val="1003"/>
        </w:numPr>
      </w:pPr>
      <w:r>
        <w:rPr>
          <w:b/>
          <w:bCs/>
        </w:rPr>
        <w:t xml:space="preserve">Niepełne i nierówne dopasowanie do OpenAlex</w:t>
      </w:r>
      <w:r>
        <w:t xml:space="preserve"> </w:t>
      </w:r>
      <w:r>
        <w:t xml:space="preserve">(79,4 % średnio). Po skorygowaniu normalizacji nazw dopasowanie URK wzrosło z 47,5 % do 77,8 %, zbliżając się do średniej; najniższe pozostaje dla UWM (67,1 %). Metryki pochodne OpenAlex (FWCI, sieci współautorstwa) dotyczą zatem tylko zmatchowanej części próby i mogą być obciążone brakiem typu MNAR dla osób niedopasowanych.</w:t>
      </w:r>
    </w:p>
    <w:p>
      <w:pPr>
        <w:pStyle w:val="Compact"/>
        <w:numPr>
          <w:ilvl w:val="0"/>
          <w:numId w:val="1003"/>
        </w:numPr>
      </w:pPr>
      <w:r>
        <w:rPr>
          <w:b/>
          <w:bCs/>
        </w:rPr>
        <w:t xml:space="preserve">Przekrojowy charakter danych.</w:t>
      </w:r>
      <w:r>
        <w:t xml:space="preserve"> </w:t>
      </w:r>
      <w:r>
        <w:t xml:space="preserve">Wskaźniki kumulatywne (h-index, sumaryczny IF, liczba publikacji) rosną ze stażem; brak kontroli wieku akademickiego oznacza, że efekt stanowiska częściowo nakłada się na efekt długości kariery. Obserwowana zależność profilu od stanowiska ma więc komponentę mechaniczną (kumulacji), której niniejsze dane nie pozwalają odseparować.</w:t>
      </w:r>
    </w:p>
    <w:p>
      <w:pPr>
        <w:pStyle w:val="Compact"/>
        <w:numPr>
          <w:ilvl w:val="0"/>
          <w:numId w:val="1003"/>
        </w:numPr>
      </w:pPr>
      <w:r>
        <w:rPr>
          <w:b/>
          <w:bCs/>
        </w:rPr>
        <w:t xml:space="preserve">Mała liczność klasy pozytywnej</w:t>
      </w:r>
      <w:r>
        <w:t xml:space="preserve"> </w:t>
      </w:r>
      <w:r>
        <w:t xml:space="preserve">w modelu ilościowym (46 osób); mimo poprawnej walidacji krzyżowej i kalibracji progu wyniki predykcyjne należy traktować jako orientacyjne.</w:t>
      </w:r>
    </w:p>
    <w:p>
      <w:pPr>
        <w:pStyle w:val="Compact"/>
        <w:numPr>
          <w:ilvl w:val="0"/>
          <w:numId w:val="1003"/>
        </w:numPr>
      </w:pPr>
      <w:r>
        <w:rPr>
          <w:b/>
          <w:bCs/>
        </w:rPr>
        <w:t xml:space="preserve">Ograniczenia modelu jakościowego.</w:t>
      </w:r>
      <w:r>
        <w:t xml:space="preserve"> </w:t>
      </w:r>
      <w:r>
        <w:t xml:space="preserve">Model FWCI &gt; 1 oraz cecha wieku akademickiego (z</w:t>
      </w:r>
      <w:r>
        <w:t xml:space="preserve"> </w:t>
      </w:r>
      <w:r>
        <w:rPr>
          <w:rStyle w:val="VerbatimChar"/>
        </w:rPr>
        <w:t xml:space="preserve">first_pub</w:t>
      </w:r>
      <w:r>
        <w:t xml:space="preserve"> </w:t>
      </w:r>
      <w:r>
        <w:t xml:space="preserve">OpenAlex) działają tylko na podpróbie zmatchowanej (366 osób), są więc podatne na ten sam bias pokrycia co inne metryki OpenAlex; wiek akademicki oszacowano odpornie (5. percentyl lat publikacji), ale pozostaje on przybliżeniem realnego stażu. Typologię k = 3 (profil jakościowy) potraktowano jako eksploracyjną, obok głównego rozwiązania k = 2.</w:t>
      </w:r>
    </w:p>
    <w:p>
      <w:pPr>
        <w:pStyle w:val="Compact"/>
        <w:numPr>
          <w:ilvl w:val="0"/>
          <w:numId w:val="1003"/>
        </w:numPr>
      </w:pPr>
      <w:r>
        <w:rPr>
          <w:b/>
          <w:bCs/>
        </w:rPr>
        <w:t xml:space="preserve">Eksploracyjny charakter analizy dynamiki i błąd przeżywalności.</w:t>
      </w:r>
      <w:r>
        <w:t xml:space="preserve"> </w:t>
      </w:r>
      <w:r>
        <w:t xml:space="preserve">Tempo rozwoju oszacowano na trajektoriach przekrojowo zatrudnionej kadry (bez osób, które odeszły lub przeszły na emeryturę przed momentem scrapingu); analiza opisuje zatem</w:t>
      </w:r>
      <w:r>
        <w:t xml:space="preserve"> </w:t>
      </w:r>
      <w:r>
        <w:rPr>
          <w:b/>
          <w:bCs/>
        </w:rPr>
        <w:t xml:space="preserve">historię dorobku obecnej kadry, a nie historię instytucji</w:t>
      </w:r>
      <w:r>
        <w:t xml:space="preserve">. Przedziały ufności CAGR są przy tym szerokie i częściowo się nakładają, dlatego wynik należy traktować jako sygnał kierunkowy, nie ścisły ranking. Wariant „kohorta ustalona” (pierwsza publikacja ≤ 2010 r.) częściowo ogranicza wpływ napływu młodej kadry, lecz nie eliminuje samego błędu przeżywalności.</w:t>
      </w:r>
    </w:p>
    <w:p>
      <w:pPr>
        <w:pStyle w:val="Compact"/>
        <w:numPr>
          <w:ilvl w:val="0"/>
          <w:numId w:val="1003"/>
        </w:numPr>
      </w:pPr>
      <w:r>
        <w:rPr>
          <w:b/>
          <w:bCs/>
        </w:rPr>
        <w:t xml:space="preserve">Niepełne pokrycie OpenAlex dla polskich czasopism</w:t>
      </w:r>
      <w:r>
        <w:t xml:space="preserve">, przyczyna przyjęcia Omega-PSIR jako źródła podstawowego, sprawia, że metryki pochodne OpenAlex (FWCI) są dostępne tylko dla zmatchowanej części próby.</w:t>
      </w:r>
    </w:p>
    <w:bookmarkEnd w:id="82"/>
    <w:bookmarkEnd w:id="83"/>
    <w:bookmarkStart w:id="85" w:name="wnioski"/>
    <w:p>
      <w:pPr>
        <w:pStyle w:val="Heading1"/>
      </w:pPr>
      <w:r>
        <w:t xml:space="preserve">Wnioski</w:t>
      </w:r>
    </w:p>
    <w:p>
      <w:pPr>
        <w:pStyle w:val="Compact"/>
        <w:numPr>
          <w:ilvl w:val="0"/>
          <w:numId w:val="1004"/>
        </w:numPr>
      </w:pPr>
      <w:r>
        <w:rPr>
          <w:b/>
          <w:bCs/>
        </w:rPr>
        <w:t xml:space="preserve">Typologia (pytanie 1).</w:t>
      </w:r>
      <w:r>
        <w:t xml:space="preserve"> </w:t>
      </w:r>
      <w:r>
        <w:t xml:space="preserve">Wśród naukowców dyscypliny rolnictwo i ogrodnictwo wyróżniają się dwa odróżnialne typy profili bibliometrycznych: nieliczny rdzeń wysokoproduktywny (ok. 23 % populacji) oraz pozostała większość. Typologia ta jest jednorodna dla wszystkich czterech uczelni.</w:t>
      </w:r>
    </w:p>
    <w:p>
      <w:pPr>
        <w:pStyle w:val="Compact"/>
        <w:numPr>
          <w:ilvl w:val="0"/>
          <w:numId w:val="1004"/>
        </w:numPr>
      </w:pPr>
      <w:r>
        <w:rPr>
          <w:b/>
          <w:bCs/>
        </w:rPr>
        <w:t xml:space="preserve">Różnicowanie (pytanie 2).</w:t>
      </w:r>
      <w:r>
        <w:t xml:space="preserve"> </w:t>
      </w:r>
      <w:r>
        <w:t xml:space="preserve">Stanowisko różnicuje wskaźniki bibliometryczne monotonicznie i jednolicie międzyuczelnianie (adiunkt &lt; profesor uczelni &lt; profesor); uczelnia różnicuje je słabo. Po konserwatywnej korekcie wielokrotnych porównań istotność osiąga pięć z sześciu metryk (liczba publikacji, h-index, sumaryczny IF, punktacja MEiN oraz IF na publikację); jedynie złożony wskaźnik IF / MEiN nie różnicuje komórek. W obrębie każdej uczelni adiunkci stanowią grupę istotnie odrębną od obu poziomów profesorskich.</w:t>
      </w:r>
    </w:p>
    <w:p>
      <w:pPr>
        <w:pStyle w:val="Compact"/>
        <w:numPr>
          <w:ilvl w:val="0"/>
          <w:numId w:val="1004"/>
        </w:numPr>
      </w:pPr>
      <w:r>
        <w:rPr>
          <w:b/>
          <w:bCs/>
        </w:rPr>
        <w:t xml:space="preserve">Predykcja (pytanie 3).</w:t>
      </w:r>
      <w:r>
        <w:t xml:space="preserve"> </w:t>
      </w:r>
      <w:r>
        <w:t xml:space="preserve">Wysoki impact daje się przewidzieć z cech strukturalnych z wysoką zdolnością dyskryminacyjną (AUC ok. 0,97); kluczowe są produktywność i kapitał sieciowy, a nie pozycja formalna. Zdolność dyskryminacyjna jest wysoka, lecz użyteczność klasyfikacyjna zależy od doboru progu decyzyjnego, a przy zaledwie 46 przypadkach pozytywnych i pojedynczym podziale na zbiór uczący i testowy (czułość 1,00, zbalansowana trafność 0,87 po kalibracji progu Youdena) wymaga potwierdzenia na niezależnej próbie.</w:t>
      </w:r>
    </w:p>
    <w:p>
      <w:pPr>
        <w:pStyle w:val="Compact"/>
        <w:numPr>
          <w:ilvl w:val="0"/>
          <w:numId w:val="1004"/>
        </w:numPr>
      </w:pPr>
      <w:r>
        <w:rPr>
          <w:b/>
          <w:bCs/>
        </w:rPr>
        <w:t xml:space="preserve">Sieci (pytanie 4).</w:t>
      </w:r>
      <w:r>
        <w:t xml:space="preserve"> </w:t>
      </w:r>
      <w:r>
        <w:t xml:space="preserve">Sieć współautorstwa jest silnie zmodularyzowana (Q = 0,856), a wspólnoty pokrywają się głównie z afiliacją uczelnianą (NMI = 0,58), nie ze stanowiskiem. Współpraca ma charakter przede wszystkim wewnątrzinstytucjonalny; wspólnoty międzyuczelniane są nieliczne.</w:t>
      </w:r>
    </w:p>
    <w:p>
      <w:pPr>
        <w:pStyle w:val="FirstParagraph"/>
      </w:pPr>
      <w:r>
        <w:t xml:space="preserve">Łącznie wyniki rysują spójny obraz:</w:t>
      </w:r>
      <w:r>
        <w:t xml:space="preserve"> </w:t>
      </w:r>
      <w:r>
        <w:rPr>
          <w:b/>
          <w:bCs/>
        </w:rPr>
        <w:t xml:space="preserve">indywidualny dorobek organizuje senioralność, a zbiorową współpracę organizuje afiliacja</w:t>
      </w:r>
      <w:r>
        <w:t xml:space="preserve">. Praca potwierdza również użyteczność metodyczną doboru próby według jednorodności systemu CRIS: spójność technologiczna Omega-PSIR umożliwiła porównywalną ekstrakcję wskaźników, których pozyskanie z niejednorodnych repozytoriów byłoby obciążone niekontrolowaną zmiennością polityki deponowania.</w:t>
      </w:r>
    </w:p>
    <w:bookmarkStart w:id="84" w:name="wnioski-dla-praktyki"/>
    <w:p>
      <w:pPr>
        <w:pStyle w:val="Heading2"/>
      </w:pPr>
      <w:r>
        <w:t xml:space="preserve">Wnioski dla praktyki</w:t>
      </w:r>
    </w:p>
    <w:p>
      <w:pPr>
        <w:pStyle w:val="FirstParagraph"/>
      </w:pPr>
      <w:r>
        <w:t xml:space="preserve">Z analizy płyną pewne wskazania dla podmiotów odpowiedzialnych za systemy informacji o nauce, które ze względu na obserwacyjny i przekrojowy charakter danych (oraz częściowy bias pokrycia OpenAlex) należy traktować jako sugestie, nie jako gotowe rekomendacje polityki. Po pierwsze,</w:t>
      </w:r>
      <w:r>
        <w:t xml:space="preserve"> </w:t>
      </w:r>
      <w:r>
        <w:rPr>
          <w:b/>
          <w:bCs/>
        </w:rPr>
        <w:t xml:space="preserve">kompletność i jednorodność CRIS-u sprzyja wiarygodności porównań międzyuczelnianych</w:t>
      </w:r>
      <w:r>
        <w:t xml:space="preserve">: pokazana w pracy wrażliwość wskaźnika dynamiki na źródło danych (ten sam CAGR daje przeciwny ranking na OpenAlex i na pełnym katalogu CRIS) jest ostrzeżeniem przed opieraniem ocen porównawczych wyłącznie na globalnych indeksach, które systematycznie pomijają polskie czasopisma i monografie. Po drugie,</w:t>
      </w:r>
      <w:r>
        <w:t xml:space="preserve"> </w:t>
      </w:r>
      <w:r>
        <w:rPr>
          <w:b/>
          <w:bCs/>
        </w:rPr>
        <w:t xml:space="preserve">niejednolite eksponowanie metryk w interfejsie i API utrudnia naukoznawcze wykorzystanie danych</w:t>
      </w:r>
      <w:r>
        <w:t xml:space="preserve">: brak zagregowanej punktacji ministerialnej w widoku profilu SGGW oraz brak wskaźnika SNIP w UWM wymusiły zawężenie części analiz do trzech uczelni. Sugeruje to postulat pod adresem operatorów Baz Wiedzy, by komplet zagregowanych metryk (sumaryczny IF, SNIP, punktacja MEiN, h-index) udostępniać w jednolitej, maszynowo dostępnej formie, co podniosłoby porównywalność i wartość analityczną tych systemów. Po trzecie, dla</w:t>
      </w:r>
      <w:r>
        <w:t xml:space="preserve"> </w:t>
      </w:r>
      <w:r>
        <w:rPr>
          <w:b/>
          <w:bCs/>
        </w:rPr>
        <w:t xml:space="preserve">samych badaczy i jednostek</w:t>
      </w:r>
      <w:r>
        <w:t xml:space="preserve"> </w:t>
      </w:r>
      <w:r>
        <w:t xml:space="preserve">rozdzielenie osi senioralności (dorobek) od osi jakości (intensywność cytowań niezależna od stażu) sugeruje, że wczesny etap kariery nie wyklucza wysokiego impactu, a jego korelatem wydaje się osadzenie w szerokiej, wieloautorskiej współpracy; obserwacja ta wymagałaby jednak potwierdzenia projektem wzdłużnym, zanim przełożono by ją na praktykę budowania zespołów.</w:t>
      </w:r>
    </w:p>
    <w:bookmarkEnd w:id="84"/>
    <w:bookmarkEnd w:id="85"/>
    <w:bookmarkStart w:id="107" w:name="bibliografia"/>
    <w:p>
      <w:pPr>
        <w:pStyle w:val="Heading1"/>
      </w:pPr>
      <w:r>
        <w:t xml:space="preserve">Bibliografia</w:t>
      </w:r>
    </w:p>
    <w:bookmarkStart w:id="106" w:name="refs"/>
    <w:bookmarkStart w:id="86"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86"/>
    <w:bookmarkStart w:id="87"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87"/>
    <w:bookmarkStart w:id="88"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88"/>
    <w:bookmarkStart w:id="89"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89"/>
    <w:bookmarkStart w:id="90"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90"/>
    <w:bookmarkStart w:id="91"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91"/>
    <w:bookmarkStart w:id="93"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92">
        <w:r>
          <w:rPr>
            <w:rStyle w:val="Hyperlink"/>
          </w:rPr>
          <w:t xml:space="preserve">https://dspacecris.eurocris.org/handle/11366/446</w:t>
        </w:r>
      </w:hyperlink>
      <w:r>
        <w:t xml:space="preserve">.</w:t>
      </w:r>
    </w:p>
    <w:bookmarkEnd w:id="93"/>
    <w:bookmarkStart w:id="94"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94"/>
    <w:bookmarkStart w:id="95"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95"/>
    <w:bookmarkStart w:id="96"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96"/>
    <w:bookmarkStart w:id="97"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97"/>
    <w:bookmarkStart w:id="98"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98"/>
    <w:bookmarkStart w:id="99"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99"/>
    <w:bookmarkStart w:id="100"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00"/>
    <w:bookmarkStart w:id="101"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01"/>
    <w:bookmarkStart w:id="103"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02">
        <w:r>
          <w:rPr>
            <w:rStyle w:val="Hyperlink"/>
          </w:rPr>
          <w:t xml:space="preserve">https://www.omegapsir.io/</w:t>
        </w:r>
      </w:hyperlink>
      <w:r>
        <w:t xml:space="preserve">.</w:t>
      </w:r>
    </w:p>
    <w:bookmarkEnd w:id="103"/>
    <w:bookmarkStart w:id="104"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04"/>
    <w:bookmarkStart w:id="105"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hyperlink" Id="rId92" Target="https://dspacecris.eurocris.org/handle/11366/446" TargetMode="External" /><Relationship Type="http://schemas.openxmlformats.org/officeDocument/2006/relationships/hyperlink" Id="rId102"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92" Target="https://dspacecris.eurocris.org/handle/11366/446" TargetMode="External" /><Relationship Type="http://schemas.openxmlformats.org/officeDocument/2006/relationships/hyperlink" Id="rId102"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2026-06-17T16:08:27Z</dcterms:created>
  <dcterms:modified xsi:type="dcterms:W3CDTF">2026-06-17T16:08:27Z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2026-06-17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Praca dyplomowa: studia podyplomowe Data Science</vt:lpwstr>
  </property>
  <property fmtid="{D5CDD505-2E9C-101B-9397-08002B2CF9AE}" pid="13" name="toc-title">
    <vt:lpwstr>Spis treści</vt:lpwstr>
  </property>
</Properties>
</file>