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6.png" ContentType="image/png"/>
  <Override PartName="/word/media/rId37.png" ContentType="image/png"/>
  <Override PartName="/word/media/rId43.png" ContentType="image/png"/>
  <Override PartName="/word/media/rId56.png" ContentType="image/png"/>
  <Override PartName="/word/media/rId62.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2026-06-16</w:t>
      </w:r>
    </w:p>
    <w:bookmarkStart w:id="20" w:name="streszczenie"/>
    <w:p>
      <w:pPr>
        <w:pStyle w:val="Heading1"/>
      </w:pPr>
      <w:r>
        <w:t xml:space="preserve">Streszczenie</w:t>
      </w:r>
    </w:p>
    <w:p>
      <w:pPr>
        <w:pStyle w:val="FirstParagraph"/>
      </w:pPr>
      <w:r>
        <w:t xml:space="preserve">Praca analizuje dorobek publikacyjny 462 pracowników z dyscypliny</w:t>
      </w:r>
      <w:r>
        <w:t xml:space="preserve"> </w:t>
      </w:r>
      <w:r>
        <w:rPr>
          <w:i/>
          <w:iCs/>
        </w:rPr>
        <w:t xml:space="preserve">rolnictwo i ogrodnictwo</w:t>
      </w:r>
      <w:r>
        <w:t xml:space="preserve"> </w:t>
      </w:r>
      <w:r>
        <w:t xml:space="preserve">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bookmarkEnd w:id="20"/>
    <w:bookmarkStart w:id="24" w:name="wprowadzenie"/>
    <w:p>
      <w:pPr>
        <w:pStyle w:val="Heading1"/>
      </w:pPr>
      <w:r>
        <w:t xml:space="preserve">Wprowadzenie</w:t>
      </w:r>
    </w:p>
    <w:bookmarkStart w:id="21"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(Minister Edukacji i Nauki 2022)</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w:t>
      </w:r>
      <w:r>
        <w:t xml:space="preserve"> </w:t>
      </w:r>
      <w:r>
        <w:rPr>
          <w:i/>
          <w:iCs/>
        </w:rPr>
        <w:t xml:space="preserve">rolnictwo i ogrodnictwo</w:t>
      </w:r>
      <w:r>
        <w:t xml:space="preserve"> </w:t>
      </w:r>
      <w:r>
        <w:t xml:space="preserve">należy do dziedziny nauk rolniczych</w:t>
      </w:r>
      <w:r>
        <w:t xml:space="preserve"> </w:t>
      </w:r>
      <w:r>
        <w:t xml:space="preserve">(Minister Nauki i Szkolnictwa Wyższego 2025a)</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(Minister Edukacji i Nauki 2022; Minister Nauki i Szkolnictwa Wyższego 2025b)</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bookmarkEnd w:id="21"/>
    <w:bookmarkStart w:id="22" w:name="cel-pracy"/>
    <w:p>
      <w:pPr>
        <w:pStyle w:val="Heading2"/>
      </w:pPr>
      <w:r>
        <w:t xml:space="preserve">Cel pracy</w:t>
      </w:r>
    </w:p>
    <w:p>
      <w:pPr>
        <w:pStyle w:val="FirstParagraph"/>
      </w:pPr>
      <w:r>
        <w:t xml:space="preserve">Niniejsza praca analizuje dorobek bibliometryczny pracowników naukowych dyscypliny</w:t>
      </w:r>
      <w:r>
        <w:t xml:space="preserve"> </w:t>
      </w:r>
      <w:r>
        <w:rPr>
          <w:b/>
          <w:bCs/>
        </w:rPr>
        <w:t xml:space="preserve">rolnictwo i ogrodnictwo</w:t>
      </w:r>
      <w:r>
        <w:t xml:space="preserve"> </w:t>
      </w:r>
      <w:r>
        <w:t xml:space="preserve">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wdrożenie produkcyjne uruchomiono na PW w 2012 roku</w:t>
      </w:r>
      <w:r>
        <w:t xml:space="preserve"> </w:t>
      </w:r>
      <w:r>
        <w:t xml:space="preserve">(Koperwas i in. 2015)</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Jest to jeden z najczęściej stosowanych systemów tego typu w polskim szkolnictwie wyższym, dostosowany do krajowego systemu ewaluacji nauki. Jego znaczenie dla niniejszej pracy polega na tym, że udostępnia porównywalne, uczelniane agregaty dorobku naukowego w jednolitej strukturze danych</w:t>
      </w:r>
      <w:r>
        <w:t xml:space="preserve"> </w:t>
      </w:r>
      <w:r>
        <w:t xml:space="preserve">(Warsaw University of Technology 2024)</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bookmarkEnd w:id="22"/>
    <w:bookmarkStart w:id="23"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wysoki impact można przewidywać na podstawie cech strukturalnych, takich jak stanowisko, uczelnia, liczba publikacji i współpraca naukowa?</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23"/>
    <w:bookmarkEnd w:id="24"/>
    <w:bookmarkStart w:id="33" w:name="materiał-i-metodyka"/>
    <w:p>
      <w:pPr>
        <w:pStyle w:val="Heading1"/>
      </w:pPr>
      <w:r>
        <w:t xml:space="preserve">Materiał i metodyka</w:t>
      </w:r>
    </w:p>
    <w:bookmarkStart w:id="25"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(Warsaw University of Technology 2024)</w:t>
      </w:r>
      <w:r>
        <w:t xml:space="preserve">, źródło podstawowe: agregaty bibliometryczne per autor (h-index WoS/Scopus</w:t>
      </w:r>
      <w:r>
        <w:t xml:space="preserve"> </w:t>
      </w:r>
      <w:r>
        <w:t xml:space="preserve">(Hirsch 2005)</w:t>
      </w:r>
      <w:r>
        <w:t xml:space="preserve">, sumaryczny IF</w:t>
      </w:r>
      <w:r>
        <w:t xml:space="preserve"> </w:t>
      </w:r>
      <w:r>
        <w:t xml:space="preserve">(Garfield 2006)</w:t>
      </w:r>
      <w:r>
        <w:t xml:space="preserve">, SNIP</w:t>
      </w:r>
      <w:r>
        <w:t xml:space="preserve"> </w:t>
      </w:r>
      <w:r>
        <w:t xml:space="preserve">(Moed 2010)</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(Priem, Piwowar, i Orr 2022)</w:t>
      </w:r>
      <w:r>
        <w:t xml:space="preserve">, źródło uzupełniające, dostarcza danych, których nie ma w Omega-PSIR: FWCI (Field-Weighted Citation Impact), czyli liczbę cytowań pracy porównaną ze światową średnią w jej dziedzinie, której nie da się policzyć z danych jednej uczelni</w:t>
      </w:r>
      <w:r>
        <w:t xml:space="preserve"> </w:t>
      </w:r>
      <w:r>
        <w:t xml:space="preserve">(Waltman 2016)</w:t>
      </w:r>
      <w:r>
        <w:t xml:space="preserve">; liczbę cytowań publikacji; listę współautorów potrzebną do analizy sieci współpracy; oraz niezależne porównanie (kontrolę jakości) metryk pobranych z Omega-PSIR.</w:t>
      </w:r>
    </w:p>
    <w:p>
      <w:pPr>
        <w:pStyle w:val="FirstParagraph"/>
      </w:pPr>
      <w:r>
        <w:t xml:space="preserve">W pracy analizowano zagregowane wskaźniki bibliometryczne przypisane do poszczególnych autorów, takie jak sumaryczny IF, sumaryczna punktacja MEiN, h-index i liczba publikacji. Należy zaznaczyć, że wskaźniki te służą jako przybliżenie indywidualnego dorobku naukowego, a nie jako odtworzenie oficjalnej ewaluacji jakości działalności naukowej.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(Minister Edukacji i Nauki 2022)</w:t>
      </w:r>
      <w:r>
        <w:t xml:space="preserve">. Wskaźniki wykorzystane w tej pracy wybrano dlatego, że są dostępne w porównywalnej formie dla badanych uczelni i pozwalają opisać profil bibliometryczny naukowca.</w:t>
      </w:r>
    </w:p>
    <w:bookmarkEnd w:id="25"/>
    <w:bookmarkStart w:id="30"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w:t>
      </w:r>
      <w:r>
        <w:t xml:space="preserve"> </w:t>
      </w:r>
      <w:r>
        <w:rPr>
          <w:i/>
          <w:iCs/>
        </w:rPr>
        <w:t xml:space="preserve">rolnictwo i ogrodnictwo</w:t>
      </w:r>
      <w:r>
        <w:t xml:space="preserve"> </w:t>
      </w:r>
      <w:r>
        <w:t xml:space="preserve">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pct" w:w="5000"/>
        <w:tblLayout w:type="fixed"/>
        <w:tblLook w:firstRow="0" w:lastRow="0" w:firstColumn="0" w:lastColumn="0" w:noHBand="0" w:noVBand="0" w:val="0000"/>
      </w:tblPr>
      <w:tblGrid>
        <w:gridCol w:w="7920"/>
      </w:tblGrid>
      <w:tr>
        <w:tc>
          <w:tcPr/>
          <w:bookmarkStart w:id="29" w:name="fig-pipeline"/>
          <w:p>
            <w:pPr>
              <w:pStyle w:val="Compact"/>
              <w:jc w:val="center"/>
            </w:pPr>
            <w:r>
              <w:drawing>
                <wp:inline>
                  <wp:extent cx="3733800" cy="5227994"/>
                  <wp:effectExtent b="0" l="0" r="0" t="0"/>
                  <wp:docPr descr="" title="" id="27" name="Picture"/>
                  <a:graphic>
                    <a:graphicData uri="http://schemas.openxmlformats.org/drawingml/2006/picture">
                      <pic:pic>
                        <pic:nvPicPr>
                          <pic:cNvPr descr="../Wykresy/praca/fig_00_pipeline.png" id="28" name="Picture"/>
                          <pic:cNvPicPr>
                            <a:picLocks noChangeArrowheads="1" noChangeAspect="1"/>
                          </pic:cNvPicPr>
                        </pic:nvPicPr>
                        <pic:blipFill>
                          <a:blip r:embed="rId26"/>
                          <a:stretch>
                            <a:fillRect/>
                          </a:stretch>
                        </pic:blipFill>
                        <pic:spPr bwMode="auto">
                          <a:xfrm>
                            <a:off x="0" y="0"/>
                            <a:ext cx="3733800" cy="5227994"/>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 Schemat przepływu danych: od czterech instancji Omega-PSIR przez scraping (Python) i przetwarzanie (R) z uzupełnieniem OpenAlex do zbioru analitycznego i warstw modelowania.</w:t>
            </w:r>
          </w:p>
          <w:bookmarkEnd w:id="29"/>
        </w:tc>
      </w:tr>
    </w:tbl>
    <w:bookmarkEnd w:id="30"/>
    <w:bookmarkStart w:id="31" w:name="metody-analityczne"/>
    <w:p>
      <w:pPr>
        <w:pStyle w:val="Heading2"/>
      </w:pPr>
      <w:r>
        <w:t xml:space="preserve">Metody analityczne</w:t>
      </w:r>
    </w:p>
    <w:p>
      <w:pPr>
        <w:pStyle w:val="Compact"/>
        <w:numPr>
          <w:ilvl w:val="0"/>
          <w:numId w:val="1002"/>
        </w:numPr>
      </w:pPr>
      <w:r>
        <w:t xml:space="preserve">EDA + statystyka klasyczna: analiza 2-czynnikowa uczelnia × stanowisko z automatycznym doborem testu (2-czynnikowa ANOVA + Tukey HSD przy spełnionych założeniach; Kruskal-Wallis na komórkach interakcji + test Dunna z korektą Bonferroniego przy ich naruszeniu).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t xml:space="preserve">PCA + klastrowanie k-means (walidacja silhouette + gap statistic): typologia profili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t xml:space="preserve">Modelowanie predykcyjne: Random Forest</w:t>
      </w:r>
      <w:r>
        <w:t xml:space="preserve"> </w:t>
      </w:r>
      <w:r>
        <w:t xml:space="preserve">(Breiman 2001)</w:t>
      </w:r>
      <w:r>
        <w:t xml:space="preserve"> </w:t>
      </w:r>
      <w:r>
        <w:t xml:space="preserve">+ XGBoost</w:t>
      </w:r>
      <w:r>
        <w:t xml:space="preserve"> </w:t>
      </w:r>
      <w:r>
        <w:t xml:space="preserve">(Chen i Guestrin 2016)</w:t>
      </w:r>
      <w:r>
        <w:t xml:space="preserve"> </w:t>
      </w:r>
      <w:r>
        <w:t xml:space="preserve">(CV 5-fold + wartości SHAP</w:t>
      </w:r>
      <w:r>
        <w:t xml:space="preserve"> </w:t>
      </w:r>
      <w:r>
        <w:t xml:space="preserve">(Lundberg i Lee 2017)</w:t>
      </w:r>
      <w:r>
        <w:t xml:space="preserve"> </w:t>
      </w:r>
      <w:r>
        <w:t xml:space="preserve">do interpretacji ważności cech).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t xml:space="preserve">Analiza sieci współautorstwa: igraph + wykrywanie wspólnot algorytmem Louvain</w:t>
      </w:r>
      <w:r>
        <w:t xml:space="preserve"> </w:t>
      </w:r>
      <w:r>
        <w:t xml:space="preserve">(Blondel i in. 2008)</w:t>
      </w:r>
      <w:r>
        <w:t xml:space="preserve"> </w:t>
      </w:r>
      <w:r>
        <w:t xml:space="preserve">z oceną modularności</w:t>
      </w:r>
      <w:r>
        <w:t xml:space="preserve"> </w:t>
      </w:r>
      <w:r>
        <w:t xml:space="preserve">(Newman 2006)</w:t>
      </w:r>
      <w:r>
        <w:t xml:space="preserve">: mapowanie wspólnot międzyuczelnianych.</w:t>
      </w:r>
    </w:p>
    <w:bookmarkEnd w:id="31"/>
    <w:bookmarkStart w:id="32"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gemini-3-flash-preview (Gemini CLI w wersji 0.46.0, Google).</w:t>
      </w:r>
    </w:p>
    <w:bookmarkEnd w:id="32"/>
    <w:bookmarkEnd w:id="33"/>
    <w:bookmarkStart w:id="68" w:name="wyniki"/>
    <w:p>
      <w:pPr>
        <w:pStyle w:val="Heading1"/>
      </w:pPr>
      <w:r>
        <w:t xml:space="preserve">Wyniki</w:t>
      </w:r>
    </w:p>
    <w:bookmarkStart w:id="35"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(Winkler 1990)</w:t>
      </w:r>
      <w:r>
        <w:t xml:space="preserve">) powiodło się dla</w:t>
      </w:r>
      <w:r>
        <w:t xml:space="preserve"> </w:t>
      </w:r>
      <w:r>
        <w:rPr>
          <w:b/>
          <w:bCs/>
        </w:rPr>
        <w:t xml:space="preserve">367 osób (79,4 %)</w:t>
      </w:r>
      <w:r>
        <w:t xml:space="preserve">: UPWr 79,7 %, SGGW 89,3 %, URK 77,8 %, UWM 67,1 %. Dopasowanie wymagało normalizacji nazw uwzględniającej charakterystyczny dla URK sufiks afiliacyjny po przecinku (np. „Jan Kowalski, prof. URK”), którego nieusunięcie zaniżało początkowo dopasowanie tej uczelni do 47,5 %; po korekcie poziom URK zrównał się z pozostałymi. Najsłabiej dopasowany pozostaje UWM (67,1 %), co przekłada się na lekkie niedoreprezentowanie tej uczelni w analizach opartych na metrykach OpenAlex (FWCI, sieci współautorstwa).</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pct" w:w="5000"/>
        <w:tblLayout w:type="fixed"/>
        <w:tblLook w:firstRow="0" w:lastRow="0" w:firstColumn="0" w:lastColumn="0" w:noHBand="0" w:noVBand="0" w:val="0000"/>
      </w:tblPr>
      <w:tblGrid>
        <w:gridCol w:w="7920"/>
      </w:tblGrid>
      <w:tr>
        <w:tc>
          <w:tcPr/>
          <w:bookmarkStart w:id="34" w:name="tbl-proba"/>
          <w:p>
            <w:pPr>
              <w:jc w:val="center"/>
            </w:pPr>
            <w:pPr>
              <w:jc w:val="star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605"/>
              <w:gridCol w:w="461"/>
              <w:gridCol w:w="806"/>
              <w:gridCol w:w="806"/>
              <w:gridCol w:w="806"/>
              <w:gridCol w:w="806"/>
              <w:gridCol w:w="1066"/>
              <w:gridCol w:w="893"/>
              <w:gridCol w:w="720"/>
              <w:gridCol w:w="80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h-index*</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w:t>
                  </w:r>
                </w:p>
              </w:tc>
            </w:tr>
            <w:tr>
              <w:trPr>
                <w:trHeight w:val="360" w:hRule="auto"/>
              </w:trPr>
              footer1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Dopasow. OpenAlex = odsetek osób uczelni powiązanych z rekordem autora w bazie OpenAlex (po identyfikatorze ROR i nazwisku).</w:t>
                  </w:r>
                </w:p>
              </w:tc>
            </w:tr>
            <w:tr>
              <w:trPr>
                <w:trHeight w:val="360" w:hRule="auto"/>
              </w:trPr>
              footer2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wartości podane jako mediany (na pełnej liczebności uczelni); h-index wg WoS.</w:t>
                  </w:r>
                </w:p>
              </w:tc>
            </w:tr>
          </w:tbl>
          <w:bookmarkEnd w:id="34"/>
        </w:tc>
      </w:tr>
    </w:tbl>
    <w:p>
      <w:pPr>
        <w:pStyle w:val="BodyText"/>
      </w:pPr>
      <w:r>
        <w:t xml:space="preserve">W analizie 2-czynnikowej uwzględniono 420 osób posiadających określone stanowisko z trzech kategorii (adiunkt, profesor uczelni, profesor); rozkład w układzie uczelnia × stanowisko przedstawia</w:t>
      </w:r>
      <w:r>
        <w:t xml:space="preserve"> </w:t>
      </w:r>
      <w:hyperlink w:anchor="tbl-proba">
        <w:r>
          <w:rPr>
            <w:rStyle w:val="Hyperlink"/>
          </w:rPr>
          <w:t xml:space="preserve">Tabela 1</w:t>
        </w:r>
      </w:hyperlink>
      <w:r>
        <w:t xml:space="preserve">, a najmniejsza komórka liczy 13 osób, co umożliwia estymację członu interakcji.</w:t>
      </w:r>
    </w:p>
    <w:bookmarkEnd w:id="35"/>
    <w:bookmarkStart w:id="36" w:name="X02db023cedd07580e5dfe409dd487ced35067e3"/>
    <w:p>
      <w:pPr>
        <w:pStyle w:val="Heading2"/>
      </w:pPr>
      <w:r>
        <w:t xml:space="preserve">Struktura korelacyjna wskaźników (pytanie 2)</w:t>
      </w:r>
    </w:p>
    <w:p>
      <w:pPr>
        <w:pStyle w:val="FirstParagraph"/>
      </w:pPr>
      <w:r>
        <w:t xml:space="preserve">Wskaźniki bibliometryczne układają się w dwa słabo skorelowane wymiary:</w:t>
      </w:r>
      <w:r>
        <w:t xml:space="preserve"> </w:t>
      </w:r>
      <w:r>
        <w:rPr>
          <w:b/>
          <w:bCs/>
        </w:rPr>
        <w:t xml:space="preserve">wielkości dorobku</w:t>
      </w:r>
      <w:r>
        <w:t xml:space="preserve"> </w:t>
      </w:r>
      <w:r>
        <w:t xml:space="preserve">(h-index WoS, sumaryczny IF, punktacja MEiN, liczba publikacji; wzajemne korelacje 0,82–0,95) oraz</w:t>
      </w:r>
      <w:r>
        <w:t xml:space="preserve"> </w:t>
      </w:r>
      <w:r>
        <w:rPr>
          <w:b/>
          <w:bCs/>
        </w:rPr>
        <w:t xml:space="preserve">intensywności jakościowej</w:t>
      </w:r>
      <w:r>
        <w:t xml:space="preserve"> </w:t>
      </w:r>
      <w:r>
        <w:t xml:space="preserve">(IF na publikację). Korelacja sumarycznego IF z punktacją MEiN wynosi r = 0,95; punktacja ministerialna jest niemal liniową funkcją sumarycznego IF, co potwierdza, że oba wskaźniki mierzą zbliżony konstrukt. Istotny jest ujemny związek liczby publikacji z IF na publikację (r = -0,37): naukowcy o największej produktywności mają przeciętnie niższy IF przypadający na pojedynczą pracę, sygnał klasycznego kompromisu ilość–jakość.</w:t>
      </w:r>
    </w:p>
    <w:bookmarkEnd w:id="36"/>
    <w:bookmarkStart w:id="42" w:name="X9c8c52eb2f7e550762f978589a62a093450f118"/>
    <w:p>
      <w:pPr>
        <w:pStyle w:val="Heading2"/>
      </w:pPr>
      <w:r>
        <w:t xml:space="preserve">Różnicowanie wskaźników: uczelnia × stanowisko (pytanie 2)</w:t>
      </w:r>
    </w:p>
    <w:p>
      <w:pPr>
        <w:pStyle w:val="FirstParagraph"/>
      </w:pPr>
      <w:r>
        <w:t xml:space="preserve">Dla wszystkich sześciu analizowanych metryk testy Shapiro-Wilka i Levene’a odrzuciły założenia normalności rozkładu reszt i jednorodności wariancji (rozkłady bibliometryczne są silnie prawoskośne), wobec czego zastosowano ścieżkę nieparametryczną:</w:t>
      </w:r>
      <w:r>
        <w:t xml:space="preserve"> </w:t>
      </w:r>
      <w:r>
        <w:rPr>
          <w:b/>
          <w:bCs/>
        </w:rPr>
        <w:t xml:space="preserve">test Kruskala-Wallisa na komórkach interakcji uczelnia × stanowisko z testem post-hoc Dunna i korektą Bonferroniego</w:t>
      </w:r>
      <w:r>
        <w:t xml:space="preserve">.</w:t>
      </w:r>
      <w:r>
        <w:t xml:space="preserve"> </w:t>
      </w:r>
      <w:hyperlink w:anchor="fig-metryki">
        <w:r>
          <w:rPr>
            <w:rStyle w:val="Hyperlink"/>
          </w:rPr>
          <w:t xml:space="preserve">Rysunek 2</w:t>
        </w:r>
      </w:hyperlink>
      <w:r>
        <w:t xml:space="preserve"> </w:t>
      </w:r>
      <w:r>
        <w:t xml:space="preserve">przedstawia rozkłady trzech metryk o pełnym pokryciu.</w:t>
      </w:r>
    </w:p>
    <w:tbl>
      <w:tblPr>
        <w:tblStyle w:val="Table"/>
        <w:tblW w:type="pct" w:w="5000"/>
        <w:tblLayout w:type="fixed"/>
        <w:tblLook w:firstRow="0" w:lastRow="0" w:firstColumn="0" w:lastColumn="0" w:noHBand="0" w:noVBand="0" w:val="0000"/>
      </w:tblPr>
      <w:tblGrid>
        <w:gridCol w:w="7920"/>
      </w:tblGrid>
      <w:tr>
        <w:tc>
          <w:tcPr/>
          <w:bookmarkStart w:id="40" w:name="fig-metryki"/>
          <w:p>
            <w:pPr>
              <w:pStyle w:val="Compact"/>
              <w:jc w:val="center"/>
            </w:pPr>
            <w:r>
              <w:drawing>
                <wp:inline>
                  <wp:extent cx="4800600" cy="3491345"/>
                  <wp:effectExtent b="0" l="0" r="0" t="0"/>
                  <wp:docPr descr="" title="" id="38" name="Picture"/>
                  <a:graphic>
                    <a:graphicData uri="http://schemas.openxmlformats.org/drawingml/2006/picture">
                      <pic:pic>
                        <pic:nvPicPr>
                          <pic:cNvPr descr="../Wykresy/praca/fig_02_metryki_box.png" id="39" name="Picture"/>
                          <pic:cNvPicPr>
                            <a:picLocks noChangeArrowheads="1" noChangeAspect="1"/>
                          </pic:cNvPicPr>
                        </pic:nvPicPr>
                        <pic:blipFill>
                          <a:blip r:embed="rId37"/>
                          <a:stretch>
                            <a:fillRect/>
                          </a:stretch>
                        </pic:blipFill>
                        <pic:spPr bwMode="auto">
                          <a:xfrm>
                            <a:off x="0" y="0"/>
                            <a:ext cx="4800600" cy="3491345"/>
                          </a:xfrm>
                          <a:prstGeom prst="rect">
                            <a:avLst/>
                          </a:prstGeom>
                          <a:noFill/>
                          <a:ln w="9525">
                            <a:noFill/>
                            <a:headEnd/>
                            <a:tailEnd/>
                          </a:ln>
                        </pic:spPr>
                      </pic:pic>
                    </a:graphicData>
                  </a:graphic>
                </wp:inline>
              </w:drawing>
            </w:r>
          </w:p>
          <w:p>
            <w:pPr>
              <w:jc w:val="center"/>
            </w:pPr>
            <w:pPr>
              <w:jc w:val="start"/>
              <w:spacing w:before="200"/>
              <w:pStyle w:val="ImageCaption"/>
            </w:pPr>
            <w:r>
              <w:t xml:space="preserve">Rysunek 2: Rozkłady kluczowych metryk bibliometrycznych w układzie uczelnia × stanowisko.</w:t>
            </w:r>
          </w:p>
          <w:bookmarkEnd w:id="40"/>
        </w:tc>
      </w:tr>
    </w:tbl>
    <w:p>
      <w:pPr>
        <w:pStyle w:val="BodyText"/>
      </w:pPr>
      <w:r>
        <w:t xml:space="preserve">Stanowisko różnicuje wskaźniki monotonicznie i konsekwentnie we wszystkich czterech uczelniach: mediany rosną w sekwencji adiunkt → profesor uczelni → profesor. Po konserwatywnej korekcie Bonferroniego dla porównań wielokrotnych (12 komórek) istotne różnice między komórkami ujawniły się jednak tylko dla trzech metryk (</w:t>
      </w:r>
      <w:hyperlink w:anchor="tbl-roznicowanie">
        <w:r>
          <w:rPr>
            <w:rStyle w:val="Hyperlink"/>
          </w:rPr>
          <w:t xml:space="preserve">Tabela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roznicowanie"/>
          <w:p>
            <w:pPr>
              <w:jc w:val="center"/>
            </w:pPr>
            <w:pPr>
              <w:jc w:val="start"/>
              <w:spacing w:before="200"/>
              <w:pStyle w:val="ImageCaption"/>
            </w:pPr>
            <w:r>
              <w:t xml:space="preserve">Tabela 2: Istotność różnic między komórkami uczelnia × stanowisko dla sześciu metryk.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2160"/>
              <w:gridCol w:w="1728"/>
              <w:gridCol w:w="216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grup jednorodnych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Różnicowanie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Kruskal-Wallis + Dunn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Kruskal-Wallis + Dunn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Kruskal-Wallis + Dunn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Kruskal-Wallis + Dunn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brak istotnych różnic między komórkami</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Kruskal-Wallis + Dunn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brak istotnych różnic między komórkami</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Kruskal-Wallis + Dunn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brak istotnych różnic między komórkami</w:t>
                  </w:r>
                </w:p>
              </w:tc>
            </w:tr>
          </w:tbl>
          <w:bookmarkEnd w:id="41"/>
        </w:tc>
      </w:tr>
    </w:tbl>
    <w:p>
      <w:pPr>
        <w:pStyle w:val="BodyText"/>
      </w:pPr>
      <w:r>
        <w:t xml:space="preserve">Brak istotnych różnic dla h-index i sumarycznego IF przy widocznym trendzie wynika z dużej rozproszenia rozkładów i konserwatywności korekty Bonferroniego na 12 komórkach; kierunkowy wzrost z rangą jest wyraźny, lecz nie osiąga istotności w porównaniach parami.</w:t>
      </w:r>
    </w:p>
    <w:bookmarkEnd w:id="42"/>
    <w:bookmarkStart w:id="53" w:name="Xfa9455c5230fab5057550e2356fe6e7695b65cb"/>
    <w:p>
      <w:pPr>
        <w:pStyle w:val="Heading2"/>
      </w:pPr>
      <w:r>
        <w:t xml:space="preserve">Typologia profili bibliometrycznych (pytanie 1)</w:t>
      </w:r>
    </w:p>
    <w:p>
      <w:pPr>
        <w:pStyle w:val="FirstParagraph"/>
      </w:pPr>
      <w:r>
        <w:t xml:space="preserve">Analiza głównych składowych na czterech standaryzowanych cechach pełnego pokrycia (n = 449) wykazała, że dwie pierwsze składowe wyjaśniają</w:t>
      </w:r>
      <w:r>
        <w:t xml:space="preserve"> </w:t>
      </w:r>
      <w:r>
        <w:rPr>
          <w:b/>
          <w:bCs/>
        </w:rPr>
        <w:t xml:space="preserve">87,9 % wariancji</w:t>
      </w:r>
      <w:r>
        <w:t xml:space="preserve"> </w:t>
      </w:r>
      <w:r>
        <w:t xml:space="preserve">(PC1: 54,1 %, PC2: 33,8 %). Walidacja liczby klastrów metodą sylwetki wskazała rozwiązanie</w:t>
      </w:r>
      <w:r>
        <w:t xml:space="preserve"> </w:t>
      </w:r>
      <w:r>
        <w:rPr>
          <w:b/>
          <w:bCs/>
        </w:rPr>
        <w:t xml:space="preserve">dwuklastrowe</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klastry"/>
          <w:p>
            <w:pPr>
              <w:pStyle w:val="Compact"/>
              <w:jc w:val="center"/>
            </w:pPr>
            <w:r>
              <w:drawing>
                <wp:inline>
                  <wp:extent cx="5067300" cy="2338753"/>
                  <wp:effectExtent b="0" l="0" r="0" t="0"/>
                  <wp:docPr descr="" title="" id="44" name="Picture"/>
                  <a:graphic>
                    <a:graphicData uri="http://schemas.openxmlformats.org/drawingml/2006/picture">
                      <pic:pic>
                        <pic:nvPicPr>
                          <pic:cNvPr descr="../Wykresy/praca/fig_03_klastrowanie.png" id="45" name="Picture"/>
                          <pic:cNvPicPr>
                            <a:picLocks noChangeArrowheads="1" noChangeAspect="1"/>
                          </pic:cNvPicPr>
                        </pic:nvPicPr>
                        <pic:blipFill>
                          <a:blip r:embed="rId43"/>
                          <a:stretch>
                            <a:fillRect/>
                          </a:stretch>
                        </pic:blipFill>
                        <pic:spPr bwMode="auto">
                          <a:xfrm>
                            <a:off x="0" y="0"/>
                            <a:ext cx="5067300" cy="2338753"/>
                          </a:xfrm>
                          <a:prstGeom prst="rect">
                            <a:avLst/>
                          </a:prstGeom>
                          <a:noFill/>
                          <a:ln w="9525">
                            <a:noFill/>
                            <a:headEnd/>
                            <a:tailEnd/>
                          </a:ln>
                        </pic:spPr>
                      </pic:pic>
                    </a:graphicData>
                  </a:graphic>
                </wp:inline>
              </w:drawing>
            </w:r>
          </w:p>
          <w:p>
            <w:pPr>
              <w:jc w:val="center"/>
            </w:pPr>
            <w:pPr>
              <w:jc w:val="start"/>
              <w:spacing w:before="200"/>
              <w:pStyle w:val="ImageCaption"/>
            </w:pPr>
            <w:r>
              <w:t xml:space="preserve">Rysunek 3: Klastrowanie k-means w przestrzeni PCA (lewy panel) oraz standaryzowane centroidy klastrów (prawy panel).</w:t>
            </w:r>
          </w:p>
          <w:bookmarkEnd w:id="46"/>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klastry2"/>
          <w:p>
            <w:pPr>
              <w:jc w:val="center"/>
            </w:pPr>
            <w:pPr>
              <w:jc w:val="star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publikacji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160,7</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61,8</w:t>
                  </w:r>
                </w:p>
              </w:tc>
            </w:tr>
          </w:tbl>
          <w:bookmarkEnd w:id="47"/>
        </w:tc>
      </w:tr>
    </w:tbl>
    <w:p>
      <w:pPr>
        <w:pStyle w:val="BodyText"/>
      </w:pPr>
      <w:r>
        <w:t xml:space="preserve">Walidacja zewnętrzna typologii dała wynik kluczowy dla całej pracy: przynależność do klastra jest</w:t>
      </w:r>
      <w:r>
        <w:t xml:space="preserve"> </w:t>
      </w:r>
      <w:r>
        <w:rPr>
          <w:b/>
          <w:bCs/>
        </w:rPr>
        <w:t xml:space="preserve">niezależna od uczelni</w:t>
      </w:r>
      <w:r>
        <w:t xml:space="preserve"> </w:t>
      </w:r>
      <w:r>
        <w:t xml:space="preserve">(χ² test niezależności p = 0,19; Craméra V = 0,10), natomiast</w:t>
      </w:r>
      <w:r>
        <w:t xml:space="preserve"> </w:t>
      </w:r>
      <w:r>
        <w:rPr>
          <w:b/>
          <w:bCs/>
        </w:rPr>
        <w:t xml:space="preserve">silnie powiązana ze stanowiskiem</w:t>
      </w:r>
      <w:r>
        <w:t xml:space="preserve"> </w:t>
      </w:r>
      <w:r>
        <w:t xml:space="preserve">(p &lt; 0,001; Craméra V = 0,45). Typologia profilu bibliometrycznego odzwierciedla zatem oś senioralności/produktywności, która przebiega jednorodnie przez wszystkie cztery uczelnie. Zgodność klastrowania k-means z hierarchicznym (Warda) była umiarkowana (Craméra V = 0,67); dendrogram Warda (</w:t>
      </w:r>
      <w:hyperlink w:anchor="fig-dendrogram">
        <w:r>
          <w:rPr>
            <w:rStyle w:val="Hyperlink"/>
          </w:rPr>
          <w:t xml:space="preserve">Rysunek 4</w:t>
        </w:r>
      </w:hyperlink>
      <w:r>
        <w:t xml:space="preserve">) potwierdza jednak nadrzędny podział na dwa duże skupiska, spójny z rozwiązaniem dwuklastrowym.</w:t>
      </w:r>
    </w:p>
    <w:tbl>
      <w:tblPr>
        <w:tblStyle w:val="Table"/>
        <w:tblW w:type="pct" w:w="5000"/>
        <w:tblLayout w:type="fixed"/>
        <w:tblLook w:firstRow="0" w:lastRow="0" w:firstColumn="0" w:lastColumn="0" w:noHBand="0" w:noVBand="0" w:val="0000"/>
      </w:tblPr>
      <w:tblGrid>
        <w:gridCol w:w="7920"/>
      </w:tblGrid>
      <w:tr>
        <w:tc>
          <w:tcPr/>
          <w:bookmarkStart w:id="51" w:name="fig-dendrogram"/>
          <w:p>
            <w:pPr>
              <w:pStyle w:val="Compact"/>
              <w:jc w:val="center"/>
            </w:pPr>
            <w:r>
              <w:drawing>
                <wp:inline>
                  <wp:extent cx="4533900" cy="2266950"/>
                  <wp:effectExtent b="0" l="0" r="0" t="0"/>
                  <wp:docPr descr="" title="" id="49" name="Picture"/>
                  <a:graphic>
                    <a:graphicData uri="http://schemas.openxmlformats.org/drawingml/2006/picture">
                      <pic:pic>
                        <pic:nvPicPr>
                          <pic:cNvPr descr="../Wykresy/klastrowanie/07_dendrogram_ward.png" id="50" name="Picture"/>
                          <pic:cNvPicPr>
                            <a:picLocks noChangeArrowheads="1" noChangeAspect="1"/>
                          </pic:cNvPicPr>
                        </pic:nvPicPr>
                        <pic:blipFill>
                          <a:blip r:embed="rId48"/>
                          <a:stretch>
                            <a:fillRect/>
                          </a:stretch>
                        </pic:blipFill>
                        <pic:spPr bwMode="auto">
                          <a:xfrm>
                            <a:off x="0" y="0"/>
                            <a:ext cx="4533900" cy="226695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4: Dendrogram aglomeracyjnego klastrowania metodą Warda na standaryzowanych cechach pełnego pokrycia. Najwyższy poziom łączenia odpowiada podziałowi na rdzeń wysokoproduktywny i pozostałą populację.</w:t>
            </w:r>
          </w:p>
          <w:bookmarkEnd w:id="51"/>
        </w:tc>
      </w:tr>
    </w:tbl>
    <w:p>
      <w:pPr>
        <w:pStyle w:val="BodyText"/>
      </w:pPr>
      <w:r>
        <w:t xml:space="preserve">Wariant eksploracyjny z wymuszonym k = 3 ujawnia, że „pozostała populacja” rozpada się na dwie jakościowo różne grupy, co wzbogaca typologię o trzeci, nieoczywisty typ profilu (</w:t>
      </w:r>
      <w:hyperlink w:anchor="tbl-klastry3">
        <w:r>
          <w:rPr>
            <w:rStyle w:val="Hyperlink"/>
          </w:rPr>
          <w:t xml:space="preserve">Tabela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klastry3"/>
          <w:p>
            <w:pPr>
              <w:jc w:val="center"/>
            </w:pPr>
            <w:pPr>
              <w:jc w:val="start"/>
              <w:spacing w:before="200"/>
              <w:pStyle w:val="ImageCaption"/>
            </w:pPr>
            <w:r>
              <w:t xml:space="preserve">Tabela 4: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6"/>
              <w:gridCol w:w="576"/>
              <w:gridCol w:w="1296"/>
              <w:gridCol w:w="1296"/>
              <w:gridCol w:w="1152"/>
              <w:gridCol w:w="2016"/>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(opisowo)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Dominujące stanowiska</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adiunkt, profesor uczelni</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profesor, profesor uczelni</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asystent, adiunkt</w:t>
                  </w:r>
                </w:p>
              </w:tc>
            </w:tr>
          </w:tbl>
          <w:bookmarkEnd w:id="52"/>
        </w:tc>
      </w:tr>
    </w:tbl>
    <w:p>
      <w:pPr>
        <w:pStyle w:val="BodyText"/>
      </w:pPr>
      <w:r>
        <w:t xml:space="preserve">Trzecia grupa to</w:t>
      </w:r>
      <w:r>
        <w:t xml:space="preserve"> </w:t>
      </w:r>
      <w:r>
        <w:rPr>
          <w:b/>
          <w:bCs/>
        </w:rPr>
        <w:t xml:space="preserve">profil jakościowy</w:t>
      </w:r>
      <w:r>
        <w:t xml:space="preserve">: najmniejszy dorobek ilościowy (mediana 19,5 publikacji), ale najwyższa intensywność jakościowa (IF na publikację 2,68 i FWCI 2,32, najwyższe ze wszystkich klastrów), zdominowana przez młodszą kadrę (63 z 88 osób to asystenci i adiunkci). Jej istnienie pokazuje, że obok osi senioralności/produktywności przebiega</w:t>
      </w:r>
      <w:r>
        <w:t xml:space="preserve"> </w:t>
      </w:r>
      <w:r>
        <w:rPr>
          <w:b/>
          <w:bCs/>
        </w:rPr>
        <w:t xml:space="preserve">niezależna oś jakości</w:t>
      </w:r>
      <w:r>
        <w:t xml:space="preserve">, wzdłuż której wysoki impact osiągają również badacze o krótkim stażu i niewielkim dorobku. Także w wariancie k = 3 typologia pozostaje niezależna od uczelni (Craméra V = 0,10), a jej związek ze stanowiskiem jest słabszy niż przy k = 2 (V = 0,38), właśnie dlatego, że profil jakościowy przecina hierarchię akademicką.</w:t>
      </w:r>
    </w:p>
    <w:bookmarkEnd w:id="53"/>
    <w:bookmarkStart w:id="61" w:name="predykcja-wysokiego-impactu-pytanie-3"/>
    <w:p>
      <w:pPr>
        <w:pStyle w:val="Heading2"/>
      </w:pPr>
      <w:r>
        <w:t xml:space="preserve">Predykcja wysokiego impactu (pytanie 3)</w:t>
      </w:r>
    </w:p>
    <w:p>
      <w:pPr>
        <w:pStyle w:val="FirstParagraph"/>
      </w:pPr>
      <w:r>
        <w:t xml:space="preserve">Zmienną celu zdefiniowano jako przynależność do górnego decyla sumarycznego IF w całej próbie (high-impact: 46 z 452 osób, 10,2 %). Predyktorami były cechy strukturalne (stanowisko, uczelnia, liczba publikacji) oraz cechy sieciowe/cytowaniowe z OpenAlex (liczba unikalnych współautorów, średnia liczba autorów na pracę, średni FWCI); wskaźniki h-index i sumaryczny IF wykluczono jako predyktory ze względu na tautologiczny związek ze zmienną celu. Porównano Random Forest i XGBoost (strojenie na 5-krotnej walidacji krzyżowej); metryki testowe obu modeli podaje</w:t>
      </w:r>
      <w:r>
        <w:t xml:space="preserve"> </w:t>
      </w:r>
      <w:hyperlink w:anchor="tbl-modele">
        <w:r>
          <w:rPr>
            <w:rStyle w:val="Hyperlink"/>
          </w:rPr>
          <w:t xml:space="preserve">Tabela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modele"/>
          <w:p>
            <w:pPr>
              <w:jc w:val="center"/>
            </w:pPr>
            <w:pPr>
              <w:jc w:val="start"/>
              <w:spacing w:before="200"/>
              <w:pStyle w:val="ImageCaption"/>
            </w:pPr>
            <w:r>
              <w:t xml:space="preserve">Tabela 5: Metryki testowe modeli predykcji wysokiego impactu (próg domyślny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Swoistość</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0,988</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0,988</w:t>
                  </w:r>
                </w:p>
              </w:tc>
            </w:tr>
          </w:tbl>
          <w:bookmarkEnd w:id="54"/>
        </w:tc>
      </w:tr>
    </w:tbl>
    <w:p>
      <w:pPr>
        <w:pStyle w:val="BodyText"/>
      </w:pPr>
      <w:r>
        <w:t xml:space="preserve">Oba modele osiągnęły</w:t>
      </w:r>
      <w:r>
        <w:t xml:space="preserve"> </w:t>
      </w:r>
      <w:r>
        <w:rPr>
          <w:b/>
          <w:bCs/>
        </w:rPr>
        <w:t xml:space="preserve">wysoką zdolność dyskryminacyjną</w:t>
      </w:r>
      <w:r>
        <w:t xml:space="preserve"> </w:t>
      </w:r>
      <w:r>
        <w:t xml:space="preserve">(AUC ok. 0,93–0,97), lecz przy domyślnym progu decyzyjnym 0,5 i silnie niezbalansowanej zmiennej celu (10 % klasy pozytywnej) ich</w:t>
      </w:r>
      <w:r>
        <w:t xml:space="preserve"> </w:t>
      </w:r>
      <w:r>
        <w:rPr>
          <w:b/>
          <w:bCs/>
        </w:rPr>
        <w:t xml:space="preserve">czułość jest niska (0,20–0,30)</w:t>
      </w:r>
      <w:r>
        <w:t xml:space="preserve">: modele poprawnie rankują obserwacje, ale klasyfikują niemal wszystkie jako klasę większościową, przez co wysoka trafność (0,90) odpowiada w praktyce trywialnej regule „zawsze niski impact”.</w:t>
      </w:r>
    </w:p>
    <w:p>
      <w:pPr>
        <w:pStyle w:val="BodyText"/>
      </w:pPr>
      <w:r>
        <w:t xml:space="preserve">Problem ten dotyczy punktu pracy, nie zdolności dyskryminacyjnej. Wyznaczono zatem</w:t>
      </w:r>
      <w:r>
        <w:t xml:space="preserve"> </w:t>
      </w:r>
      <w:r>
        <w:rPr>
          <w:b/>
          <w:bCs/>
        </w:rPr>
        <w:t xml:space="preserve">próg decyzyjny optymalizujący indeks J Youdena</w:t>
      </w:r>
      <w:r>
        <w:t xml:space="preserve"> </w:t>
      </w:r>
      <w:r>
        <w:t xml:space="preserve">(Youden 1950)</w:t>
      </w:r>
      <w:r>
        <w:t xml:space="preserve"> </w:t>
      </w:r>
      <w:r>
        <w:t xml:space="preserve">(czułość + swoistość - 1) na predykcjach out-of-fold z walidacji krzyżowej (a więc bez strojenia na zbiorze testowym), uzyskując próg 0,054, znacznie niższy od 0,5, adekwatny do 10-procentowej prewalencji klasy pozytywnej. Po zastosowaniu tego progu do zbioru testowego model Random Forest osiąga</w:t>
      </w:r>
      <w:r>
        <w:t xml:space="preserve"> </w:t>
      </w:r>
      <w:r>
        <w:rPr>
          <w:b/>
          <w:bCs/>
        </w:rPr>
        <w:t xml:space="preserve">czułość 1,00 przy swoistości 0,74</w:t>
      </w:r>
      <w:r>
        <w:t xml:space="preserve"> </w:t>
      </w:r>
      <w:r>
        <w:t xml:space="preserve">(zbalansowana trafność 0,87), poprawnie identyfikując wszystkie obserwacje wysokiego impactu kosztem 21 fałszywie dodatnich (</w:t>
      </w:r>
      <w:hyperlink w:anchor="tbl-prog">
        <w:r>
          <w:rPr>
            <w:rStyle w:val="Hyperlink"/>
          </w:rPr>
          <w:t xml:space="preserve">Tabela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prog"/>
          <w:p>
            <w:pPr>
              <w:jc w:val="center"/>
            </w:pPr>
            <w:pPr>
              <w:jc w:val="start"/>
              <w:spacing w:before="200"/>
              <w:pStyle w:val="ImageCaption"/>
            </w:pPr>
            <w:r>
              <w:t xml:space="preserve">Tabela 6: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0,87</w:t>
                  </w:r>
                </w:p>
              </w:tc>
            </w:tr>
          </w:tbl>
          <w:bookmarkEnd w:id="55"/>
        </w:tc>
      </w:tr>
    </w:tbl>
    <w:p>
      <w:pPr>
        <w:pStyle w:val="BodyText"/>
      </w:pPr>
      <w:r>
        <w:t xml:space="preserve">Analiza ważności cech (ważność permutacyjna Random Forest oraz wartości SHAP dla XGBoost;</w:t>
      </w:r>
      <w:r>
        <w:t xml:space="preserve"> </w:t>
      </w:r>
      <w:hyperlink w:anchor="fig-modele">
        <w:r>
          <w:rPr>
            <w:rStyle w:val="Hyperlink"/>
          </w:rPr>
          <w:t xml:space="preserve">Rysunek 5</w:t>
        </w:r>
      </w:hyperlink>
      <w:r>
        <w:t xml:space="preserve">) wskazała</w:t>
      </w:r>
      <w:r>
        <w:t xml:space="preserve"> </w:t>
      </w:r>
      <w:r>
        <w:rPr>
          <w:b/>
          <w:bCs/>
        </w:rPr>
        <w:t xml:space="preserve">liczbę publikacji</w:t>
      </w:r>
      <w:r>
        <w:t xml:space="preserve"> </w:t>
      </w:r>
      <w:r>
        <w:t xml:space="preserve">jako predyktor dominujący, a w dalszej kolejności liczbę unikalnych współautorów oraz cechy struktury współpracy (średnia liczba autorów na pracę, średni FWCI); cechy stanowiska i uczelni miały marginalny wkład. Predykcja wysokiego impactu opiera się więc przede wszystkim na produktywności i osadzeniu w sieci współpracy, a nie na formalnej pozycji akademickiej czy afiliacji.</w:t>
      </w:r>
    </w:p>
    <w:tbl>
      <w:tblPr>
        <w:tblStyle w:val="Table"/>
        <w:tblW w:type="pct" w:w="5000"/>
        <w:tblLayout w:type="fixed"/>
        <w:tblLook w:firstRow="0" w:lastRow="0" w:firstColumn="0" w:lastColumn="0" w:noHBand="0" w:noVBand="0" w:val="0000"/>
      </w:tblPr>
      <w:tblGrid>
        <w:gridCol w:w="7920"/>
      </w:tblGrid>
      <w:tr>
        <w:tc>
          <w:tcPr/>
          <w:bookmarkStart w:id="59" w:name="fig-modele"/>
          <w:p>
            <w:pPr>
              <w:pStyle w:val="Compact"/>
              <w:jc w:val="center"/>
            </w:pPr>
            <w:r>
              <w:drawing>
                <wp:inline>
                  <wp:extent cx="5067300" cy="2143857"/>
                  <wp:effectExtent b="0" l="0" r="0" t="0"/>
                  <wp:docPr descr="" title="" id="57" name="Picture"/>
                  <a:graphic>
                    <a:graphicData uri="http://schemas.openxmlformats.org/drawingml/2006/picture">
                      <pic:pic>
                        <pic:nvPicPr>
                          <pic:cNvPr descr="../Wykresy/praca/fig_04_modele.png" id="58" name="Picture"/>
                          <pic:cNvPicPr>
                            <a:picLocks noChangeArrowheads="1" noChangeAspect="1"/>
                          </pic:cNvPicPr>
                        </pic:nvPicPr>
                        <pic:blipFill>
                          <a:blip r:embed="rId56"/>
                          <a:stretch>
                            <a:fillRect/>
                          </a:stretch>
                        </pic:blipFill>
                        <pic:spPr bwMode="auto">
                          <a:xfrm>
                            <a:off x="0" y="0"/>
                            <a:ext cx="5067300" cy="2143857"/>
                          </a:xfrm>
                          <a:prstGeom prst="rect">
                            <a:avLst/>
                          </a:prstGeom>
                          <a:noFill/>
                          <a:ln w="9525">
                            <a:noFill/>
                            <a:headEnd/>
                            <a:tailEnd/>
                          </a:ln>
                        </pic:spPr>
                      </pic:pic>
                    </a:graphicData>
                  </a:graphic>
                </wp:inline>
              </w:drawing>
            </w:r>
          </w:p>
          <w:p>
            <w:pPr>
              <w:jc w:val="center"/>
            </w:pPr>
            <w:pPr>
              <w:jc w:val="start"/>
              <w:spacing w:before="200"/>
              <w:pStyle w:val="ImageCaption"/>
            </w:pPr>
            <w:r>
              <w:t xml:space="preserve">Rysunek 5: Metryki testowe modeli (lewy panel) oraz permutacyjna ważność cech Random Forest (prawy panel).</w:t>
            </w:r>
          </w:p>
          <w:bookmarkEnd w:id="59"/>
        </w:tc>
      </w:tr>
    </w:tbl>
    <w:bookmarkStart w:id="60" w:name="X9a06c264e53828f05fa2a8f64de99156fbea9e7"/>
    <w:p>
      <w:pPr>
        <w:pStyle w:val="Heading3"/>
      </w:pPr>
      <w:r>
        <w:t xml:space="preserve">Model jakościowy: czy wysoki impact to tylko staż?</w:t>
      </w:r>
    </w:p>
    <w:p>
      <w:pPr>
        <w:pStyle w:val="FirstParagraph"/>
      </w:pPr>
      <w:r>
        <w:t xml:space="preserve">Powyższy model przewiduje cel</w:t>
      </w:r>
      <w:r>
        <w:t xml:space="preserve"> </w:t>
      </w:r>
      <w:r>
        <w:rPr>
          <w:i/>
          <w:iCs/>
        </w:rPr>
        <w:t xml:space="preserve">kumulatywny</w:t>
      </w:r>
      <w:r>
        <w:t xml:space="preserve"> </w:t>
      </w:r>
      <w:r>
        <w:t xml:space="preserve">(sumaryczny IF), który z natury rośnie z dorobkiem, więc dominacja liczby publikacji może być częściowo tautologiczna. Aby to skontrolować, zbudowano drugi model o celu</w:t>
      </w:r>
      <w:r>
        <w:t xml:space="preserve"> </w:t>
      </w:r>
      <w:r>
        <w:rPr>
          <w:i/>
          <w:iCs/>
        </w:rPr>
        <w:t xml:space="preserve">niekumulatywnym</w:t>
      </w:r>
      <w:r>
        <w:t xml:space="preserve">: wysoka jakość zdefiniowana jako średni FWCI &gt; 1 (impact powyżej światowej średniej w dziedzinie, niezależny od liczby prac; 234 z 366 osób, 63,9 %). Zestaw predyktorów rozszerzono o</w:t>
      </w:r>
      <w:r>
        <w:t xml:space="preserve"> </w:t>
      </w:r>
      <w:r>
        <w:rPr>
          <w:b/>
          <w:bCs/>
        </w:rPr>
        <w:t xml:space="preserve">wiek akademicki</w:t>
      </w:r>
      <w:r>
        <w:t xml:space="preserve"> </w:t>
      </w:r>
      <w:r>
        <w:t xml:space="preserve">(lata od pierwszej publikacji), usuwając wszystkie pochodne IF.</w:t>
      </w:r>
    </w:p>
    <w:p>
      <w:pPr>
        <w:pStyle w:val="BodyText"/>
      </w:pPr>
      <w:r>
        <w:t xml:space="preserve">Wynik jest wymowny na dwa sposoby. Po pierwsze, jakość jest</w:t>
      </w:r>
      <w:r>
        <w:t xml:space="preserve"> </w:t>
      </w:r>
      <w:r>
        <w:rPr>
          <w:b/>
          <w:bCs/>
        </w:rPr>
        <w:t xml:space="preserve">znacznie trudniej przewidywalna</w:t>
      </w:r>
      <w:r>
        <w:t xml:space="preserve"> </w:t>
      </w:r>
      <w:r>
        <w:t xml:space="preserve">ze struktury niż objętość dorobku: AUC spada do ok. 0,81 (RF 0,807, XGBoost 0,810) wobec 0,97 dla modelu ilościowego. Po drugie, gdy celem jest jakość, a nie suma,</w:t>
      </w:r>
      <w:r>
        <w:t xml:space="preserve"> </w:t>
      </w:r>
      <w:r>
        <w:rPr>
          <w:b/>
          <w:bCs/>
        </w:rPr>
        <w:t xml:space="preserve">wiek akademicki przestaje dominować</w:t>
      </w:r>
      <w:r>
        <w:t xml:space="preserve">: najważniejszymi predyktorami są cechy struktury współpracy (średnia liczba autorów na pracę oraz liczba unikalnych współautorów), podczas gdy wiek akademicki, liczba publikacji, stanowisko i uczelnia mają wkład marginalny. Wysoki impact w przeliczeniu na pracę wiąże się więc z osadzeniem w szerszych, wieloautorskich kolaboracjach, a nie ze stażem czy formalną pozycją. Potwierdza to obserwację z typologii (profil jakościowy młodej kadry, klaster 3 przy k = 3): istnieje oś jakości niezależna od osi senioralności.</w:t>
      </w:r>
    </w:p>
    <w:bookmarkEnd w:id="60"/>
    <w:bookmarkEnd w:id="61"/>
    <w:bookmarkStart w:id="67" w:name="sieć-współautorstwa-pytanie-4"/>
    <w:p>
      <w:pPr>
        <w:pStyle w:val="Heading2"/>
      </w:pPr>
      <w:r>
        <w:t xml:space="preserve">Sieć współautorstwa (pytanie 4)</w:t>
      </w:r>
    </w:p>
    <w:p>
      <w:pPr>
        <w:pStyle w:val="FirstParagraph"/>
      </w:pPr>
      <w:r>
        <w:t xml:space="preserve">Sieć współautorstwa zbudowano z krawędzi OpenAlex ograniczonych do współprac wewnątrz badanej kohorty (oba węzły dopasowane, waga ≥ 2 wspólne publikacje): 367 węzłów i 630 krawędzi. Największa składowa spójności obejmuje</w:t>
      </w:r>
      <w:r>
        <w:t xml:space="preserve"> </w:t>
      </w:r>
      <w:r>
        <w:rPr>
          <w:b/>
          <w:bCs/>
        </w:rPr>
        <w:t xml:space="preserve">265 węzłów (72 %)</w:t>
      </w:r>
      <w:r>
        <w:t xml:space="preserve"> </w:t>
      </w:r>
      <w:r>
        <w:t xml:space="preserve">i 595 krawędzi, o gęstości 0,017 i współczynniku gronowania (transitivity) 0,37.</w:t>
      </w:r>
    </w:p>
    <w:tbl>
      <w:tblPr>
        <w:tblStyle w:val="Table"/>
        <w:tblW w:type="pct" w:w="5000"/>
        <w:tblLayout w:type="fixed"/>
        <w:tblLook w:firstRow="0" w:lastRow="0" w:firstColumn="0" w:lastColumn="0" w:noHBand="0" w:noVBand="0" w:val="0000"/>
      </w:tblPr>
      <w:tblGrid>
        <w:gridCol w:w="7920"/>
      </w:tblGrid>
      <w:tr>
        <w:tc>
          <w:tcPr/>
          <w:bookmarkStart w:id="65" w:name="fig-siec"/>
          <w:p>
            <w:pPr>
              <w:pStyle w:val="Compact"/>
              <w:jc w:val="center"/>
            </w:pPr>
            <w:r>
              <w:drawing>
                <wp:inline>
                  <wp:extent cx="5067300" cy="2533650"/>
                  <wp:effectExtent b="0" l="0" r="0" t="0"/>
                  <wp:docPr descr="" title="" id="63" name="Picture"/>
                  <a:graphic>
                    <a:graphicData uri="http://schemas.openxmlformats.org/drawingml/2006/picture">
                      <pic:pic>
                        <pic:nvPicPr>
                          <pic:cNvPr descr="../Wykresy/praca/fig_05_siec.png" id="64" name="Picture"/>
                          <pic:cNvPicPr>
                            <a:picLocks noChangeArrowheads="1" noChangeAspect="1"/>
                          </pic:cNvPicPr>
                        </pic:nvPicPr>
                        <pic:blipFill>
                          <a:blip r:embed="rId62"/>
                          <a:stretch>
                            <a:fillRect/>
                          </a:stretch>
                        </pic:blipFill>
                        <pic:spPr bwMode="auto">
                          <a:xfrm>
                            <a:off x="0" y="0"/>
                            <a:ext cx="5067300" cy="253365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6: Sieć współautorstwa z podziałem na społeczności Louvain (lewy panel) oraz zgodność społeczności z uczelnią (prawy panel).</w:t>
            </w:r>
          </w:p>
          <w:bookmarkEnd w:id="65"/>
        </w:tc>
      </w:tr>
    </w:tbl>
    <w:p>
      <w:pPr>
        <w:pStyle w:val="BodyText"/>
      </w:pPr>
      <w:r>
        <w:t xml:space="preserve">Wykrywanie wspólnot algorytmem Louvain wyodrębniło</w:t>
      </w:r>
      <w:r>
        <w:t xml:space="preserve"> </w:t>
      </w:r>
      <w:r>
        <w:rPr>
          <w:b/>
          <w:bCs/>
        </w:rPr>
        <w:t xml:space="preserve">21 społeczności przy bardzo wysokiej modularności Q = 0,856</w:t>
      </w:r>
      <w:r>
        <w:t xml:space="preserve">, co świadczy o silnie zmodularyzowanej strukturze współpracy. Zgodność wykrytych społeczności ze zmiennymi opisowymi oceniono skorygowanym indeksem Randa (ARI)</w:t>
      </w:r>
      <w:r>
        <w:t xml:space="preserve"> </w:t>
      </w:r>
      <w:r>
        <w:t xml:space="preserve">(Hubert i Arabie 1985)</w:t>
      </w:r>
      <w:r>
        <w:t xml:space="preserve"> </w:t>
      </w:r>
      <w:r>
        <w:t xml:space="preserve">oraz znormalizowaną informacją wzajemną (NMI); rozstrzyga ona pytanie 4 (</w:t>
      </w:r>
      <w:hyperlink w:anchor="tbl-spolecznosci">
        <w:r>
          <w:rPr>
            <w:rStyle w:val="Hyperlink"/>
          </w:rPr>
          <w:t xml:space="preserve">Tabela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tbl-spolecznosci"/>
          <w:p>
            <w:pPr>
              <w:jc w:val="center"/>
            </w:pPr>
            <w:pPr>
              <w:jc w:val="start"/>
              <w:spacing w:before="200"/>
              <w:pStyle w:val="ImageCaption"/>
            </w:pPr>
            <w:r>
              <w:t xml:space="preserve">Tabela 7: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NMI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0,575</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0,092</w:t>
                  </w:r>
                </w:p>
              </w:tc>
            </w:tr>
          </w:tbl>
          <w:bookmarkEnd w:id="66"/>
        </w:tc>
      </w:tr>
    </w:tbl>
    <w:p>
      <w:pPr>
        <w:pStyle w:val="BodyText"/>
      </w:pPr>
      <w:r>
        <w:t xml:space="preserve">Społeczności współautorstwa pokrywają się przede wszystkim z</w:t>
      </w:r>
      <w:r>
        <w:t xml:space="preserve"> </w:t>
      </w:r>
      <w:r>
        <w:rPr>
          <w:b/>
          <w:bCs/>
        </w:rPr>
        <w:t xml:space="preserve">afiliacją uczelnianą</w:t>
      </w:r>
      <w:r>
        <w:t xml:space="preserve"> </w:t>
      </w:r>
      <w:r>
        <w:t xml:space="preserve">(NMI = 0,58), a niemal w ogóle ze stanowiskiem (NMI = 0,09). Heatmapa zgodności (</w:t>
      </w:r>
      <w:hyperlink w:anchor="fig-siec">
        <w:r>
          <w:rPr>
            <w:rStyle w:val="Hyperlink"/>
          </w:rPr>
          <w:t xml:space="preserve">Rysunek 6</w:t>
        </w:r>
      </w:hyperlink>
      <w:r>
        <w:t xml:space="preserve">, prawy panel) pokazuje, że większość społeczności jest jednorodna uczelniano (po 100 % członków z jednej uczelni); wspólnoty międzyuczelniane są nieliczne. Innymi słowy współpraca naukowa w badanej dyscyplinie ma charakter przede wszystkim</w:t>
      </w:r>
      <w:r>
        <w:t xml:space="preserve"> </w:t>
      </w:r>
      <w:r>
        <w:rPr>
          <w:b/>
          <w:bCs/>
        </w:rPr>
        <w:t xml:space="preserve">wewnątrzinstytucjonalny</w:t>
      </w:r>
      <w:r>
        <w:t xml:space="preserve">. Najwyższą centralność stopnia osiąga profesor z URK (S. Smoleń), a tuż za nim plasuje się grupa gleboznawcza UPWr.</w:t>
      </w:r>
    </w:p>
    <w:bookmarkEnd w:id="67"/>
    <w:bookmarkEnd w:id="68"/>
    <w:bookmarkStart w:id="78" w:name="dyskusja"/>
    <w:p>
      <w:pPr>
        <w:pStyle w:val="Heading1"/>
      </w:pPr>
      <w:r>
        <w:t xml:space="preserve">Dyskusja</w:t>
      </w:r>
    </w:p>
    <w:bookmarkStart w:id="69" w:name="X8e8cd80b7d1e8d8e23d38bfd67a798253a95b88"/>
    <w:p>
      <w:pPr>
        <w:pStyle w:val="Heading2"/>
      </w:pPr>
      <w:r>
        <w:t xml:space="preserve">Dwoistość: profil indywidualny a struktura współpracy</w:t>
      </w:r>
    </w:p>
    <w:p>
      <w:pPr>
        <w:pStyle w:val="FirstParagraph"/>
      </w:pPr>
      <w:r>
        <w:t xml:space="preserve">Najważniejszym ustaleniem pracy jest</w:t>
      </w:r>
      <w:r>
        <w:t xml:space="preserve"> </w:t>
      </w:r>
      <w:r>
        <w:rPr>
          <w:b/>
          <w:bCs/>
        </w:rPr>
        <w:t xml:space="preserve">rozbieżność osi organizujących indywidualny dorobek i zbiorową współpracę</w:t>
      </w:r>
      <w:r>
        <w:t xml:space="preserve">. Z jednej strony profil bibliometryczny pojedynczego naukowca, uchwycony zarówno przez analizę 2-czynnikową (warstwa 1), jak i przez typologię klastrową (warstwa 2), porządkuje się wzdłuż</w:t>
      </w:r>
      <w:r>
        <w:t xml:space="preserve"> </w:t>
      </w:r>
      <w:r>
        <w:rPr>
          <w:b/>
          <w:bCs/>
        </w:rPr>
        <w:t xml:space="preserve">osi senioralności</w:t>
      </w:r>
      <w:r>
        <w:t xml:space="preserve">: różnice między stanowiskami są monotoniczne i jednorodne dla wszystkich czterech uczelni, a przynależność do klastra wysokoproduktywnego jest silnie powiązana ze stanowiskiem (Craméra V = 0,45), lecz statystycznie niezależna od uczelni (V = 0,10). Z drugiej strony sieć współautorstwa (warstwa 4) dzieli populację wzdłuż</w:t>
      </w:r>
      <w:r>
        <w:t xml:space="preserve"> </w:t>
      </w:r>
      <w:r>
        <w:rPr>
          <w:b/>
          <w:bCs/>
        </w:rPr>
        <w:t xml:space="preserve">osi afiliacyjnej</w:t>
      </w:r>
      <w:r>
        <w:t xml:space="preserve">: społeczności Louvain pokrywają się przede wszystkim z uczelnią (NMI = 0,58), a niemal w ogóle ze stanowiskiem (NMI = 0,09).</w:t>
      </w:r>
    </w:p>
    <w:p>
      <w:pPr>
        <w:pStyle w:val="BodyText"/>
      </w:pPr>
      <w:r>
        <w:t xml:space="preserve">Innymi słowy:</w:t>
      </w:r>
      <w:r>
        <w:t xml:space="preserve"> </w:t>
      </w:r>
      <w:r>
        <w:rPr>
          <w:i/>
          <w:iCs/>
        </w:rPr>
        <w:t xml:space="preserve">kim</w:t>
      </w:r>
      <w:r>
        <w:t xml:space="preserve"> </w:t>
      </w:r>
      <w:r>
        <w:t xml:space="preserve">naukowiec jest pod względem bibliometrycznym zależy od etapu kariery niezależnie od macierzystej instytucji, ale</w:t>
      </w:r>
      <w:r>
        <w:t xml:space="preserve"> </w:t>
      </w:r>
      <w:r>
        <w:rPr>
          <w:i/>
          <w:iCs/>
        </w:rPr>
        <w:t xml:space="preserve">z kim</w:t>
      </w:r>
      <w:r>
        <w:t xml:space="preserve"> </w:t>
      </w:r>
      <w:r>
        <w:t xml:space="preserve">współpracuje determinuje przede wszystkim afiliacja. Współpraca w badanej dyscyplinie ma charakter wyraźnie wewnątrzinstytucjonalny: mosty międzyuczelniane są nieliczne, a wysoka modularność sieci (Q = 0,856) potwierdza silnie izolowane skupiska. Jest to spójne z naturą nauk rolniczych, gdzie znaczna część badań osadzona jest w lokalnej infrastrukturze (pola doświadczalne, stacje badawcze, lokalne uwarunkowania glebowo-klimatyczne).</w:t>
      </w:r>
    </w:p>
    <w:bookmarkEnd w:id="69"/>
    <w:bookmarkStart w:id="70" w:name="predyktory-wysokiego-impactu"/>
    <w:p>
      <w:pPr>
        <w:pStyle w:val="Heading2"/>
      </w:pPr>
      <w:r>
        <w:t xml:space="preserve">Predyktory wysokiego impactu</w:t>
      </w:r>
    </w:p>
    <w:p>
      <w:pPr>
        <w:pStyle w:val="FirstParagraph"/>
      </w:pPr>
      <w:r>
        <w:t xml:space="preserve">Modelowanie predykcyjne (warstwa 3) wzmacnia ten obraz: wysoki impact (górny decyl sumarycznego IF) daje się przewidzieć z cech strukturalnych z bardzo dobrą zdolnością dyskryminacyjną (AUC ok. 0,97), a najważniejszymi predyktorami są</w:t>
      </w:r>
      <w:r>
        <w:t xml:space="preserve"> </w:t>
      </w:r>
      <w:r>
        <w:rPr>
          <w:b/>
          <w:bCs/>
        </w:rPr>
        <w:t xml:space="preserve">liczba publikacji oraz osadzenie w sieci współpracy</w:t>
      </w:r>
      <w:r>
        <w:t xml:space="preserve"> </w:t>
      </w:r>
      <w:r>
        <w:t xml:space="preserve">(liczba unikalnych współautorów, FWCI), nie zaś formalne stanowisko czy uczelnia. Sugeruje to, że wysoki dorobek jest funkcją produktywności i kapitału sieciowego, a nie pozycji w hierarchii akademickiej per se; stanowisko jest raczej</w:t>
      </w:r>
      <w:r>
        <w:t xml:space="preserve"> </w:t>
      </w:r>
      <w:r>
        <w:rPr>
          <w:i/>
          <w:iCs/>
        </w:rPr>
        <w:t xml:space="preserve">skutkiem</w:t>
      </w:r>
      <w:r>
        <w:t xml:space="preserve"> </w:t>
      </w:r>
      <w:r>
        <w:t xml:space="preserve">skumulowanego dorobku niż jego niezależnym predyktorem. Niska czułość modelu przy progu domyślnym okazała się problemem punktu pracy, a nie modelu: po kalibracji progu na danych walidacyjnych model wiarygodnie identyfikuje całą klasę wysokiego impactu (czułość 1,00, zbalansowana trafność 0,87).</w:t>
      </w:r>
    </w:p>
    <w:p>
      <w:pPr>
        <w:pStyle w:val="BodyText"/>
      </w:pPr>
      <w:r>
        <w:t xml:space="preserve">Model jakościowy uzupełnia ten obraz o istotne zastrzeżenie. Gdy celem predykcji jest jakość niekumulatywna (FWCI &gt; 1), a nie suma dorobku, zdolność dyskryminacyjna wyraźnie spada (AUC ok. 0,81), a hierarchia predyktorów się zmienia: znaczenie tracą produktywność i wiek akademicki, a na czoło wysuwa się</w:t>
      </w:r>
      <w:r>
        <w:t xml:space="preserve"> </w:t>
      </w:r>
      <w:r>
        <w:rPr>
          <w:b/>
          <w:bCs/>
        </w:rPr>
        <w:t xml:space="preserve">struktura współpracy</w:t>
      </w:r>
      <w:r>
        <w:t xml:space="preserve"> </w:t>
      </w:r>
      <w:r>
        <w:t xml:space="preserve">(liczność i wieloautorskość kolaboracji). Innymi słowy,</w:t>
      </w:r>
      <w:r>
        <w:t xml:space="preserve"> </w:t>
      </w:r>
      <w:r>
        <w:rPr>
          <w:i/>
          <w:iCs/>
        </w:rPr>
        <w:t xml:space="preserve">ile</w:t>
      </w:r>
      <w:r>
        <w:t xml:space="preserve"> </w:t>
      </w:r>
      <w:r>
        <w:t xml:space="preserve">i</w:t>
      </w:r>
      <w:r>
        <w:t xml:space="preserve"> </w:t>
      </w:r>
      <w:r>
        <w:rPr>
          <w:i/>
          <w:iCs/>
        </w:rPr>
        <w:t xml:space="preserve">jak długo</w:t>
      </w:r>
      <w:r>
        <w:t xml:space="preserve"> </w:t>
      </w:r>
      <w:r>
        <w:t xml:space="preserve">ktoś publikuje przewiduje skumulowany impact niemal trywialnie, ale</w:t>
      </w:r>
      <w:r>
        <w:t xml:space="preserve"> </w:t>
      </w:r>
      <w:r>
        <w:rPr>
          <w:i/>
          <w:iCs/>
        </w:rPr>
        <w:t xml:space="preserve">jak dobre</w:t>
      </w:r>
      <w:r>
        <w:t xml:space="preserve"> </w:t>
      </w:r>
      <w:r>
        <w:t xml:space="preserve">są pojedyncze prace zależy przede wszystkim od osadzenia w szerokiej współpracy, nie od stażu. To bezpośrednio osłabia interpretację, w której wysoki impact byłby wyłącznie pochodną senioralności, i wskazuje na samodzielną oś jakości, widoczną też w typologii (profil jakościowy młodej kadry).</w:t>
      </w:r>
    </w:p>
    <w:bookmarkEnd w:id="70"/>
    <w:bookmarkStart w:id="71" w:name="kategoria-ewaluacyjna-mein"/>
    <w:p>
      <w:pPr>
        <w:pStyle w:val="Heading2"/>
      </w:pPr>
      <w:r>
        <w:t xml:space="preserve">Kategoria ewaluacyjna MEiN</w:t>
      </w:r>
    </w:p>
    <w:p>
      <w:pPr>
        <w:pStyle w:val="FirstParagraph"/>
      </w:pPr>
      <w:r>
        <w:t xml:space="preserve">Ze względu na idealną współliniowość kategorii z uczelnią (UWM jako jedyna uczelnia B+) nie sposób rozdzielić efektu kategorii od efektu instytucji. Na poziomie opisowym UWM (B+) nie odstaje systematycznie</w:t>
      </w:r>
      <w:r>
        <w:t xml:space="preserve"> </w:t>
      </w:r>
      <w:r>
        <w:rPr>
          <w:i/>
          <w:iCs/>
        </w:rPr>
        <w:t xml:space="preserve">in minus</w:t>
      </w:r>
      <w:r>
        <w:t xml:space="preserve"> </w:t>
      </w:r>
      <w:r>
        <w:t xml:space="preserve">od uczelni kategorii A, jego mediany metryk mieszczą się w zakresie pozostałych uczelni, co sugeruje, że formalna kategoria ewaluacyjna nie przekłada się wprost na różnice w indywidualnych wskaźnikach bibliometrycznych badanej kohorty. Wniosek ten należy jednak traktować ostrożnie, jako hipotezę do weryfikacji na próbie z większą liczbą uczelni B+.</w:t>
      </w:r>
    </w:p>
    <w:bookmarkEnd w:id="71"/>
    <w:bookmarkStart w:id="76" w:name="Xc8114be83f87911a3e825982079ac6b9186de2d"/>
    <w:p>
      <w:pPr>
        <w:pStyle w:val="Heading2"/>
      </w:pPr>
      <w:r>
        <w:t xml:space="preserve">Dynamika rozwoju a wrażliwość na źródło danych</w:t>
      </w:r>
    </w:p>
    <w:p>
      <w:pPr>
        <w:pStyle w:val="FirstParagraph"/>
      </w:pPr>
      <w:r>
        <w:t xml:space="preserve">Statyczny obraz dorobku uzupełniono analizą eksploracyjną</w:t>
      </w:r>
      <w:r>
        <w:t xml:space="preserve"> </w:t>
      </w:r>
      <w:r>
        <w:rPr>
          <w:b/>
          <w:bCs/>
        </w:rPr>
        <w:t xml:space="preserve">tempa rozwoju produktywności</w:t>
      </w:r>
      <w:r>
        <w:t xml:space="preserve"> </w:t>
      </w:r>
      <w:r>
        <w:t xml:space="preserve">każdej uczelni, mierzonego rocznym wzrostem liczby publikacji na badacza (CAGR z regresji log-liniowej trajektorii 2008–2024, znormalizowanej do okresu bazowego). Analizę przeprowadzono dwukrotnie i wynik okazał się</w:t>
      </w:r>
      <w:r>
        <w:t xml:space="preserve"> </w:t>
      </w:r>
      <w:r>
        <w:rPr>
          <w:b/>
          <w:bCs/>
        </w:rPr>
        <w:t xml:space="preserve">silnie zależny od źródła danych</w:t>
      </w:r>
      <w:r>
        <w:t xml:space="preserve">, co stanowi samodzielny rezultat metodyczny. Na danych OpenAlex uczelnie układały się w wąskim, praktycznie nierozróżnialnym zakresie (CAGR 4,0–4,6 %: SGGW 4,6 %, URK 4,2 %, UPWr 4,1 %, UWM 4,0 %), bez wyraźnego lidera tempa. Po powtórzeniu analizy na</w:t>
      </w:r>
      <w:r>
        <w:t xml:space="preserve"> </w:t>
      </w:r>
      <w:r>
        <w:rPr>
          <w:b/>
          <w:bCs/>
        </w:rPr>
        <w:t xml:space="preserve">pełnych listach publikacji Omega-PSIR</w:t>
      </w:r>
      <w:r>
        <w:t xml:space="preserve"> </w:t>
      </w:r>
      <w:r>
        <w:t xml:space="preserve">(100 % próby, 491 osób, pełny katalog z polskimi czasopismami i monografiami nieindeksowanymi w OpenAlex)</w:t>
      </w:r>
      <w:r>
        <w:t xml:space="preserve"> </w:t>
      </w:r>
      <w:r>
        <w:rPr>
          <w:b/>
          <w:bCs/>
        </w:rPr>
        <w:t xml:space="preserve">obraz uległ rozwarstwieniu i przestawieniu</w:t>
      </w:r>
      <w:r>
        <w:t xml:space="preserve"> </w:t>
      </w:r>
      <w:r>
        <w:t xml:space="preserve">(</w:t>
      </w:r>
      <w:hyperlink w:anchor="fig-dynamika">
        <w:r>
          <w:rPr>
            <w:rStyle w:val="Hyperlink"/>
          </w:rPr>
          <w:t xml:space="preserve">Rysunek 7</w:t>
        </w:r>
      </w:hyperlink>
      <w:r>
        <w:t xml:space="preserve">): najszybciej rozwijają się URK (CAGR 5,4 %; 95 % CI 0,8–10,3 %) i UWM (4,9 %; 1,6–8,2 %), podczas gdy UPWr (2,7 %; −0,6–6,0 %) i SGGW (1,2 %; −0,8–3,2 %) są praktycznie płaskie. Najbardziej wymowne jest położenie SGGW, która z pozycji formalnie najszybszej w OpenAlex (4,6 %) spada na ostatnie miejsce w danych CRIS (1,2 %). Podział ten utrzymuje się w wariancie odpornościowym ograniczonym do kadry o ustalonej karierze (pierwsza publikacja ≤ 2010 r.: URK 3,9 %, UWM 4,0 % wobec UPWr 0,7 %, SGGW −0,1 %), nie jest więc artefaktem napływu młodej kadry.</w:t>
      </w:r>
    </w:p>
    <w:tbl>
      <w:tblPr>
        <w:tblStyle w:val="Table"/>
        <w:tblW w:type="pct" w:w="5000"/>
        <w:tblLayout w:type="fixed"/>
        <w:tblLook w:firstRow="0" w:lastRow="0" w:firstColumn="0" w:lastColumn="0" w:noHBand="0" w:noVBand="0" w:val="0000"/>
      </w:tblPr>
      <w:tblGrid>
        <w:gridCol w:w="7920"/>
      </w:tblGrid>
      <w:tr>
        <w:tc>
          <w:tcPr/>
          <w:bookmarkStart w:id="75" w:name="fig-dynamika"/>
          <w:p>
            <w:pPr>
              <w:pStyle w:val="Compact"/>
              <w:jc w:val="center"/>
            </w:pPr>
            <w:r>
              <w:drawing>
                <wp:inline>
                  <wp:extent cx="4267200" cy="2607733"/>
                  <wp:effectExtent b="0" l="0" r="0" t="0"/>
                  <wp:docPr descr="" title="" id="73" name="Picture"/>
                  <a:graphic>
                    <a:graphicData uri="http://schemas.openxmlformats.org/drawingml/2006/picture">
                      <pic:pic>
                        <pic:nvPicPr>
                          <pic:cNvPr descr="../Wykresy/praca/fig_06_dynamika_porownanie.png" id="74" name="Picture"/>
                          <pic:cNvPicPr>
                            <a:picLocks noChangeArrowheads="1" noChangeAspect="1"/>
                          </pic:cNvPicPr>
                        </pic:nvPicPr>
                        <pic:blipFill>
                          <a:blip r:embed="rId72"/>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start"/>
              <w:spacing w:before="200"/>
              <w:pStyle w:val="ImageCaption"/>
            </w:pPr>
            <w:r>
              <w:t xml:space="preserve">Rysunek 7: Tempo rozwoju produktywności (CAGR output na badacza) liczone na dwóch źródłach. Pełne pokrycie CRIS odwraca ranking względem OpenAlex.</w:t>
            </w:r>
          </w:p>
          <w:bookmarkEnd w:id="75"/>
        </w:tc>
      </w:tr>
    </w:tbl>
    <w:p>
      <w:pPr>
        <w:pStyle w:val="BodyText"/>
      </w:pPr>
      <w:r>
        <w:t xml:space="preserve">Rozbieżność nie jest przypadkowa i, co istotne, nie da się jej zbyć artefaktem jakości dopasowania. Analizę OpenAlex przeprowadzono już po skorygowaniu dopasowania URK (z 47,5 % do 77,8 %, poziomu porównywalnego z pozostałymi uczelniami), a mimo to OpenAlex nadal zlewa wszystkie cztery uczelnie w jednolity pas ok. 4 %, podczas gdy kompletny katalog CRIS ujawnia realne rozwarstwienie tempa (1,2–5,4 %). Źródłem rozbieżności jest więc nie niedopasowanie autorów, lecz</w:t>
      </w:r>
      <w:r>
        <w:t xml:space="preserve"> </w:t>
      </w:r>
      <w:r>
        <w:rPr>
          <w:b/>
          <w:bCs/>
        </w:rPr>
        <w:t xml:space="preserve">niepełne pokrycie polskiego dorobku przez OpenAlex</w:t>
      </w:r>
      <w:r>
        <w:t xml:space="preserve">: globalny indeks pomija znaczną część publikacji w polskich czasopismach i monografiach, a wyższe, bogatsze o lokalny dorobek poziomy bazowe w danych CRIS sprawiają, że pozorny „wzrost” widoczny w OpenAlex był po części artefaktem rosnącego w czasie pokrycia polskich publikacji przez tę bazę. Wynik ten jest bezpośrednim potwierdzeniem</w:t>
      </w:r>
      <w:r>
        <w:t xml:space="preserve"> </w:t>
      </w:r>
      <w:r>
        <w:rPr>
          <w:b/>
          <w:bCs/>
        </w:rPr>
        <w:t xml:space="preserve">centralnej tezy metodycznej pracy</w:t>
      </w:r>
      <w:r>
        <w:t xml:space="preserve">, że jednorodność i kompletność systemu CRIS są dla porównań międzyuczelnianych ważniejsze niż wygoda gotowego indeksu globalnego: ten sam wskaźnik dynamiki prowadzi do przeciwnych wniosków w zależności od kompletności źródła. Same różnice tempa należy przy tym traktować ostrożnie ze względu na szerokie, częściowo nakładające się przedziały ufności; wiarygodny jest jakościowy podział na uczelnie rozwijające się (URK, UWM) i o produktywności ustabilizowanej (UPWr, SGGW), nie zaś dokładny ranking.</w:t>
      </w:r>
    </w:p>
    <w:bookmarkEnd w:id="76"/>
    <w:bookmarkStart w:id="77" w:name="ograniczenia"/>
    <w:p>
      <w:pPr>
        <w:pStyle w:val="Heading2"/>
      </w:pPr>
      <w:r>
        <w:t xml:space="preserve">Ograniczenia</w:t>
      </w:r>
    </w:p>
    <w:p>
      <w:pPr>
        <w:pStyle w:val="Compact"/>
        <w:numPr>
          <w:ilvl w:val="0"/>
          <w:numId w:val="1003"/>
        </w:numPr>
      </w:pPr>
      <w:r>
        <w:rPr>
          <w:b/>
          <w:bCs/>
        </w:rPr>
        <w:t xml:space="preserve">Proxy a metodyka oficjalna.</w:t>
      </w:r>
      <w:r>
        <w:t xml:space="preserve"> </w:t>
      </w:r>
      <w:r>
        <w:t xml:space="preserve">Analiza opiera się na per-autorskich agregatach bibliometrycznych, które przybliżają indywidualny dorobek, ale nie odtwarzają algorytmu ewaluacji jakości działalności naukowej (poziom podmiotu, udziały jednostkowe, sloty, punktacja ministerialna zamiast IF)</w:t>
      </w:r>
      <w:r>
        <w:t xml:space="preserve"> </w:t>
      </w:r>
      <w:r>
        <w:t xml:space="preserve">(Minister Edukacji i Nauki 2022)</w:t>
      </w:r>
      <w:r>
        <w:t xml:space="preserve">. Wniosków nie należy zatem wprost przekładać na przewidywane kategorie ewaluacyjne uczelni.</w:t>
      </w:r>
    </w:p>
    <w:p>
      <w:pPr>
        <w:pStyle w:val="Compact"/>
        <w:numPr>
          <w:ilvl w:val="0"/>
          <w:numId w:val="1003"/>
        </w:numPr>
      </w:pPr>
      <w:r>
        <w:rPr>
          <w:b/>
          <w:bCs/>
        </w:rPr>
        <w:t xml:space="preserve">Confounding kategoria–uczelnia.</w:t>
      </w:r>
      <w:r>
        <w:t xml:space="preserve"> </w:t>
      </w:r>
      <w:r>
        <w:t xml:space="preserve">Pojedyncza uczelnia kategorii B+ uniemożliwia oddzielenie wpływu kategorii ewaluacyjnej od idiosynkrazji instytucji; kategorię ujęto wyłącznie opisowo.</w:t>
      </w:r>
    </w:p>
    <w:p>
      <w:pPr>
        <w:pStyle w:val="Compact"/>
        <w:numPr>
          <w:ilvl w:val="0"/>
          <w:numId w:val="1003"/>
        </w:numPr>
      </w:pPr>
      <w:r>
        <w:rPr>
          <w:b/>
          <w:bCs/>
        </w:rPr>
        <w:t xml:space="preserve">Niejednorodność pokrycia metryk.</w:t>
      </w:r>
      <w:r>
        <w:t xml:space="preserve"> </w:t>
      </w:r>
      <w:r>
        <w:t xml:space="preserve">SGGW nie eksponuje sumarycznej punktacji MEiN w API (100 % braków), przez co analizy oparte na MEiN ograniczono do trzech uczelni. UWM nie udostępnia SNIP. Wymusza to ostrożność w porównaniach międzyuczelnianych dla tych wskaźników.</w:t>
      </w:r>
    </w:p>
    <w:p>
      <w:pPr>
        <w:pStyle w:val="Compact"/>
        <w:numPr>
          <w:ilvl w:val="0"/>
          <w:numId w:val="1003"/>
        </w:numPr>
      </w:pPr>
      <w:r>
        <w:rPr>
          <w:b/>
          <w:bCs/>
        </w:rPr>
        <w:t xml:space="preserve">Zmienność reżimu punktacji MEiN w czasie.</w:t>
      </w:r>
      <w:r>
        <w:t xml:space="preserve"> </w:t>
      </w:r>
      <w:r>
        <w:t xml:space="preserve">Sumaryczna punktacja MEiN jest wielkością kumulatywną, obejmującą publikacje oceniane w różnych, niespójnych reżimach punktowych: przed reformą 2018/2019 (osobne listy A/B/C o odmiennych skalach), w nowym systemie 20–200 punktów wprowadzonym pierwszym wykazem czasopism z 2019 r., a następnie po jego skokowej rewizji w 2023 r. Dane przekazują tę metrykę jako jedną sumę, bez rozbicia na okresy, więc nie sposób tych reżimów rozdzielić; dodatkowo wzmacnia to jej charakter proxy, a nie odwzorowania oficjalnego wyniku ewaluacyjnego.</w:t>
      </w:r>
    </w:p>
    <w:p>
      <w:pPr>
        <w:pStyle w:val="Compact"/>
        <w:numPr>
          <w:ilvl w:val="0"/>
          <w:numId w:val="1003"/>
        </w:numPr>
      </w:pPr>
      <w:r>
        <w:rPr>
          <w:b/>
          <w:bCs/>
        </w:rPr>
        <w:t xml:space="preserve">Niepełne i nierówne dopasowanie do OpenAlex</w:t>
      </w:r>
      <w:r>
        <w:t xml:space="preserve"> </w:t>
      </w:r>
      <w:r>
        <w:t xml:space="preserve">(79,4 % średnio). Po skorygowaniu normalizacji nazw dopasowanie URK wzrosło z 47,5 % do 77,8 %, zbliżając się do średniej; najniższe pozostaje dla UWM (67,1 %). Metryki pochodne OpenAlex (FWCI, sieci współautorstwa) dotyczą zatem tylko zmatchowanej części próby i mogą być obciążone brakiem typu MNAR dla osób niedopasowanych.</w:t>
      </w:r>
    </w:p>
    <w:p>
      <w:pPr>
        <w:pStyle w:val="Compact"/>
        <w:numPr>
          <w:ilvl w:val="0"/>
          <w:numId w:val="1003"/>
        </w:numPr>
      </w:pPr>
      <w:r>
        <w:rPr>
          <w:b/>
          <w:bCs/>
        </w:rPr>
        <w:t xml:space="preserve">Przekrojowy charakter danych.</w:t>
      </w:r>
      <w:r>
        <w:t xml:space="preserve"> </w:t>
      </w:r>
      <w:r>
        <w:t xml:space="preserve">Wskaźniki kumulatywne (h-index, sumaryczny IF, liczba publikacji) rosną ze stażem; brak kontroli wieku akademickiego oznacza, że efekt stanowiska częściowo nakłada się na efekt długości kariery. Obserwowana zależność profilu od stanowiska ma więc komponentę mechaniczną (kumulacji), której niniejsze dane nie pozwalają odseparować.</w:t>
      </w:r>
    </w:p>
    <w:p>
      <w:pPr>
        <w:pStyle w:val="Compact"/>
        <w:numPr>
          <w:ilvl w:val="0"/>
          <w:numId w:val="1003"/>
        </w:numPr>
      </w:pPr>
      <w:r>
        <w:rPr>
          <w:b/>
          <w:bCs/>
        </w:rPr>
        <w:t xml:space="preserve">Mała liczność klasy pozytywnej</w:t>
      </w:r>
      <w:r>
        <w:t xml:space="preserve"> </w:t>
      </w:r>
      <w:r>
        <w:t xml:space="preserve">w modelu ilościowym (46 osób); mimo poprawnej walidacji krzyżowej i kalibracji progu wyniki predykcyjne należy traktować jako orientacyjne.</w:t>
      </w:r>
    </w:p>
    <w:p>
      <w:pPr>
        <w:pStyle w:val="Compact"/>
        <w:numPr>
          <w:ilvl w:val="0"/>
          <w:numId w:val="1003"/>
        </w:numPr>
      </w:pPr>
      <w:r>
        <w:rPr>
          <w:b/>
          <w:bCs/>
        </w:rPr>
        <w:t xml:space="preserve">Ograniczenia modelu jakościowego.</w:t>
      </w:r>
      <w:r>
        <w:t xml:space="preserve"> </w:t>
      </w:r>
      <w:r>
        <w:t xml:space="preserve">Model FWCI &gt; 1 oraz cecha wieku akademickiego (z</w:t>
      </w:r>
      <w:r>
        <w:t xml:space="preserve"> </w:t>
      </w:r>
      <w:r>
        <w:rPr>
          <w:rStyle w:val="VerbatimChar"/>
        </w:rPr>
        <w:t xml:space="preserve">first_pub</w:t>
      </w:r>
      <w:r>
        <w:t xml:space="preserve"> </w:t>
      </w:r>
      <w:r>
        <w:t xml:space="preserve">OpenAlex) działają tylko na podpróbie zmatchowanej (366 osób), są więc podatne na ten sam bias pokrycia co inne metryki OpenAlex; wiek akademicki oszacowano odpornie (5. percentyl lat publikacji), ale pozostaje on przybliżeniem realnego stażu. Typologię k = 3 (profil jakościowy) potraktowano jako eksploracyjną, obok głównego rozwiązania k = 2.</w:t>
      </w:r>
    </w:p>
    <w:p>
      <w:pPr>
        <w:pStyle w:val="Compact"/>
        <w:numPr>
          <w:ilvl w:val="0"/>
          <w:numId w:val="1003"/>
        </w:numPr>
      </w:pPr>
      <w:r>
        <w:rPr>
          <w:b/>
          <w:bCs/>
        </w:rPr>
        <w:t xml:space="preserve">Eksploracyjny charakter analizy dynamiki i błąd przeżywalności.</w:t>
      </w:r>
      <w:r>
        <w:t xml:space="preserve"> </w:t>
      </w:r>
      <w:r>
        <w:t xml:space="preserve">Tempo rozwoju oszacowano na trajektoriach przekrojowo zatrudnionej kadry (bez osób, które odeszły lub przeszły na emeryturę przed momentem scrapingu); analiza opisuje zatem</w:t>
      </w:r>
      <w:r>
        <w:t xml:space="preserve"> </w:t>
      </w:r>
      <w:r>
        <w:rPr>
          <w:b/>
          <w:bCs/>
        </w:rPr>
        <w:t xml:space="preserve">historię dorobku obecnej kadry, a nie historię instytucji</w:t>
      </w:r>
      <w:r>
        <w:t xml:space="preserve">. Przedziały ufności CAGR są przy tym szerokie i częściowo się nakładają, dlatego wynik należy traktować jako sygnał kierunkowy, nie ścisły ranking. Wariant „kohorta ustalona” (pierwsza publikacja ≤ 2010 r.) częściowo ogranicza wpływ napływu młodej kadry, lecz nie eliminuje samego błędu przeżywalności.</w:t>
      </w:r>
    </w:p>
    <w:p>
      <w:pPr>
        <w:pStyle w:val="Compact"/>
        <w:numPr>
          <w:ilvl w:val="0"/>
          <w:numId w:val="1003"/>
        </w:numPr>
      </w:pPr>
      <w:r>
        <w:rPr>
          <w:b/>
          <w:bCs/>
        </w:rPr>
        <w:t xml:space="preserve">Niepełne pokrycie OpenAlex dla polskich czasopism</w:t>
      </w:r>
      <w:r>
        <w:t xml:space="preserve">, przyczyna przyjęcia Omega-PSIR jako źródła podstawowego, sprawia, że metryki pochodne OpenAlex (FWCI) są dostępne tylko dla zmatchowanej części próby.</w:t>
      </w:r>
    </w:p>
    <w:bookmarkEnd w:id="77"/>
    <w:bookmarkEnd w:id="78"/>
    <w:bookmarkStart w:id="80" w:name="wnioski"/>
    <w:p>
      <w:pPr>
        <w:pStyle w:val="Heading1"/>
      </w:pPr>
      <w:r>
        <w:t xml:space="preserve">Wnioski</w:t>
      </w:r>
    </w:p>
    <w:p>
      <w:pPr>
        <w:pStyle w:val="Compact"/>
        <w:numPr>
          <w:ilvl w:val="0"/>
          <w:numId w:val="1004"/>
        </w:numPr>
      </w:pPr>
      <w:r>
        <w:rPr>
          <w:b/>
          <w:bCs/>
        </w:rPr>
        <w:t xml:space="preserve">Typologia (pytanie 1).</w:t>
      </w:r>
      <w:r>
        <w:t xml:space="preserve"> </w:t>
      </w:r>
      <w:r>
        <w:t xml:space="preserve">Wśród naukowców dyscypliny rolnictwo i ogrodnictwo wyróżniają się dwa odróżnialne typy profili bibliometrycznych: nieliczny rdzeń wysokoproduktywny (ok. 23 % populacji) oraz pozostała większość. Typologia ta jest jednorodna dla wszystkich czterech uczelni.</w:t>
      </w:r>
    </w:p>
    <w:p>
      <w:pPr>
        <w:pStyle w:val="Compact"/>
        <w:numPr>
          <w:ilvl w:val="0"/>
          <w:numId w:val="1004"/>
        </w:numPr>
      </w:pPr>
      <w:r>
        <w:rPr>
          <w:b/>
          <w:bCs/>
        </w:rPr>
        <w:t xml:space="preserve">Różnicowanie (pytanie 2).</w:t>
      </w:r>
      <w:r>
        <w:t xml:space="preserve"> </w:t>
      </w:r>
      <w:r>
        <w:t xml:space="preserve">Stanowisko różnicuje wskaźniki bibliometryczne monotonicznie i jednolicie międzyuczelnianie (adiunkt &lt; profesor uczelni &lt; profesor); uczelnia różnicuje je słabo. Po konserwatywnej korekcie wielokrotnych porównań istotność osiągają wskaźniki produktywnościowe (liczba publikacji, punktacja MEiN) i intensywność jakościowa (IF na publikację).</w:t>
      </w:r>
    </w:p>
    <w:p>
      <w:pPr>
        <w:pStyle w:val="Compact"/>
        <w:numPr>
          <w:ilvl w:val="0"/>
          <w:numId w:val="1004"/>
        </w:numPr>
      </w:pPr>
      <w:r>
        <w:rPr>
          <w:b/>
          <w:bCs/>
        </w:rPr>
        <w:t xml:space="preserve">Predykcja (pytanie 3).</w:t>
      </w:r>
      <w:r>
        <w:t xml:space="preserve"> </w:t>
      </w:r>
      <w:r>
        <w:t xml:space="preserve">Wysoki impact daje się przewidzieć z cech strukturalnych z wysoką zdolnością dyskryminacyjną (AUC ok. 0,97); kluczowe są produktywność i kapitał sieciowy, a nie pozycja formalna. Zdolność dyskryminacyjna jest wysoka, lecz użyteczność klasyfikacyjna zależy od doboru progu decyzyjnego, a przy zaledwie 46 przypadkach pozytywnych i pojedynczym podziale na zbiór uczący i testowy (czułość 1,00, zbalansowana trafność 0,87 po kalibracji progu Youdena) wymaga potwierdzenia na niezależnej próbie.</w:t>
      </w:r>
    </w:p>
    <w:p>
      <w:pPr>
        <w:pStyle w:val="Compact"/>
        <w:numPr>
          <w:ilvl w:val="0"/>
          <w:numId w:val="1004"/>
        </w:numPr>
      </w:pPr>
      <w:r>
        <w:rPr>
          <w:b/>
          <w:bCs/>
        </w:rPr>
        <w:t xml:space="preserve">Sieci (pytanie 4).</w:t>
      </w:r>
      <w:r>
        <w:t xml:space="preserve"> </w:t>
      </w:r>
      <w:r>
        <w:t xml:space="preserve">Sieć współautorstwa jest silnie zmodularyzowana (Q = 0,856), a wspólnoty pokrywają się głównie z afiliacją uczelnianą (NMI = 0,58), nie ze stanowiskiem. Współpraca ma charakter przede wszystkim wewnątrzinstytucjonalny; wspólnoty międzyuczelniane są nieliczne.</w:t>
      </w:r>
    </w:p>
    <w:p>
      <w:pPr>
        <w:pStyle w:val="FirstParagraph"/>
      </w:pPr>
      <w:r>
        <w:t xml:space="preserve">Łącznie wyniki rysują spójny obraz:</w:t>
      </w:r>
      <w:r>
        <w:t xml:space="preserve"> </w:t>
      </w:r>
      <w:r>
        <w:rPr>
          <w:b/>
          <w:bCs/>
        </w:rPr>
        <w:t xml:space="preserve">indywidualny dorobek organizuje senioralność, a zbiorową współpracę organizuje afiliacja</w:t>
      </w:r>
      <w:r>
        <w:t xml:space="preserve">. Praca potwierdza również użyteczność metodyczną doboru próby według jednorodności systemu CRIS: spójność technologiczna Omega-PSIR umożliwiła porównywalną ekstrakcję wskaźników, których pozyskanie z niejednorodnych repozytoriów byłoby obciążone niekontrolowaną zmiennością polityki deponowania.</w:t>
      </w:r>
    </w:p>
    <w:bookmarkStart w:id="79" w:name="wnioski-dla-praktyki"/>
    <w:p>
      <w:pPr>
        <w:pStyle w:val="Heading2"/>
      </w:pPr>
      <w:r>
        <w:t xml:space="preserve">Wnioski dla praktyki</w:t>
      </w:r>
    </w:p>
    <w:p>
      <w:pPr>
        <w:pStyle w:val="FirstParagraph"/>
      </w:pPr>
      <w:r>
        <w:t xml:space="preserve">Z analizy płyną pewne wskazania dla podmiotów odpowiedzialnych za systemy informacji o nauce, które ze względu na obserwacyjny i przekrojowy charakter danych (oraz częściowy bias pokrycia OpenAlex) należy traktować jako sugestie, nie jako gotowe rekomendacje polityki. Po pierwsze,</w:t>
      </w:r>
      <w:r>
        <w:t xml:space="preserve"> </w:t>
      </w:r>
      <w:r>
        <w:rPr>
          <w:b/>
          <w:bCs/>
        </w:rPr>
        <w:t xml:space="preserve">kompletność i jednorodność CRIS-u sprzyja wiarygodności porównań międzyuczelnianych</w:t>
      </w:r>
      <w:r>
        <w:t xml:space="preserve">: pokazana w pracy wrażliwość wskaźnika dynamiki na źródło danych (ten sam CAGR daje przeciwny ranking na OpenAlex i na pełnym katalogu CRIS) jest ostrzeżeniem przed opieraniem ocen porównawczych wyłącznie na globalnych indeksach, które systematycznie pomijają polskie czasopisma i monografie. Po drugie,</w:t>
      </w:r>
      <w:r>
        <w:t xml:space="preserve"> </w:t>
      </w:r>
      <w:r>
        <w:rPr>
          <w:b/>
          <w:bCs/>
        </w:rPr>
        <w:t xml:space="preserve">niejednolite eksponowanie metryk w interfejsie i API utrudnia naukoznawcze wykorzystanie danych</w:t>
      </w:r>
      <w:r>
        <w:t xml:space="preserve">: brak zagregowanej punktacji ministerialnej w widoku profilu SGGW oraz brak wskaźnika SNIP w UWM wymusiły zawężenie części analiz do trzech uczelni. Sugeruje to postulat pod adresem operatorów Baz Wiedzy, by komplet zagregowanych metryk (sumaryczny IF, SNIP, punktacja MEiN, h-index) udostępniać w jednolitej, maszynowo dostępnej formie, co podniosłoby porównywalność i wartość analityczną tych systemów. Po trzecie, dla</w:t>
      </w:r>
      <w:r>
        <w:t xml:space="preserve"> </w:t>
      </w:r>
      <w:r>
        <w:rPr>
          <w:b/>
          <w:bCs/>
        </w:rPr>
        <w:t xml:space="preserve">samych badaczy i jednostek</w:t>
      </w:r>
      <w:r>
        <w:t xml:space="preserve"> </w:t>
      </w:r>
      <w:r>
        <w:t xml:space="preserve">rozdzielenie osi senioralności (dorobek) od osi jakości (intensywność cytowań niezależna od stażu) sugeruje, że wczesny etap kariery nie wyklucza wysokiego impactu, a jego korelatem wydaje się osadzenie w szerokiej, wieloautorskiej współpracy; obserwacja ta wymagałaby jednak potwierdzenia projektem wzdłużnym, zanim przełożono by ją na praktykę budowania zespołów.</w:t>
      </w:r>
    </w:p>
    <w:bookmarkEnd w:id="79"/>
    <w:bookmarkEnd w:id="80"/>
    <w:bookmarkStart w:id="102" w:name="bibliografia"/>
    <w:p>
      <w:pPr>
        <w:pStyle w:val="Heading1"/>
      </w:pPr>
      <w:r>
        <w:t xml:space="preserve">Bibliografia</w:t>
      </w:r>
    </w:p>
    <w:bookmarkStart w:id="101" w:name="refs"/>
    <w:bookmarkStart w:id="81"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81"/>
    <w:bookmarkStart w:id="82"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82"/>
    <w:bookmarkStart w:id="83"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 W</w:t>
      </w:r>
      <w:r>
        <w:t xml:space="preserve"> </w:t>
      </w:r>
      <w:r>
        <w:rPr>
          <w:i/>
          <w:iCs/>
        </w:rPr>
        <w:t xml:space="preserve">Proceedings of the 22nd ACM SIGKDD International Conference on Knowledge Discovery and Data Mining</w:t>
      </w:r>
      <w:r>
        <w:t xml:space="preserve">, 785–94.</w:t>
      </w:r>
    </w:p>
    <w:bookmarkEnd w:id="83"/>
    <w:bookmarkStart w:id="84"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84"/>
    <w:bookmarkStart w:id="85"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85"/>
    <w:bookmarkStart w:id="86"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86"/>
    <w:bookmarkStart w:id="88"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 W</w:t>
      </w:r>
      <w:r>
        <w:t xml:space="preserve"> </w:t>
      </w:r>
      <w:r>
        <w:rPr>
          <w:i/>
          <w:iCs/>
        </w:rPr>
        <w:t xml:space="preserve">Proceedings of the 21st EUNIS Congress</w:t>
      </w:r>
      <w:r>
        <w:t xml:space="preserve">. Dundee: European University Information Systems Organisation (EUNIS).</w:t>
      </w:r>
      <w:r>
        <w:t xml:space="preserve"> </w:t>
      </w:r>
      <w:hyperlink r:id="rId87">
        <w:r>
          <w:rPr>
            <w:rStyle w:val="Hyperlink"/>
          </w:rPr>
          <w:t xml:space="preserve">https://dspacecris.eurocris.org/handle/11366/446</w:t>
        </w:r>
      </w:hyperlink>
      <w:r>
        <w:t xml:space="preserve">.</w:t>
      </w:r>
    </w:p>
    <w:bookmarkEnd w:id="88"/>
    <w:bookmarkStart w:id="89" w:name="ref-lundberg2017"/>
    <w:p>
      <w:pPr>
        <w:pStyle w:val="Bibliography"/>
      </w:pPr>
      <w:r>
        <w:t xml:space="preserve">Lundberg, Scott M., i Su-In Lee. 2017.</w:t>
      </w:r>
      <w:r>
        <w:t xml:space="preserve"> </w:t>
      </w:r>
      <w:r>
        <w:t xml:space="preserve">„A unified approach to interpreting model predictions”</w:t>
      </w:r>
      <w:r>
        <w:t xml:space="preserve">. W</w:t>
      </w:r>
      <w:r>
        <w:t xml:space="preserve"> </w:t>
      </w:r>
      <w:r>
        <w:rPr>
          <w:i/>
          <w:iCs/>
        </w:rPr>
        <w:t xml:space="preserve">Advances in Neural Information Processing Systems</w:t>
      </w:r>
      <w:r>
        <w:t xml:space="preserve">, 30:4765–74.</w:t>
      </w:r>
    </w:p>
    <w:bookmarkEnd w:id="89"/>
    <w:bookmarkStart w:id="90" w:name="ref-rozp_ewaluacja2022"/>
    <w:p>
      <w:pPr>
        <w:pStyle w:val="Bibliography"/>
      </w:pPr>
      <w:r>
        <w:t xml:space="preserve">Minister Edukacji i Nauki. 2022.</w:t>
      </w:r>
      <w:r>
        <w:t xml:space="preserve"> </w:t>
      </w:r>
      <w: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90"/>
    <w:bookmarkStart w:id="91" w:name="ref-rozp_dyscypliny2025"/>
    <w:p>
      <w:pPr>
        <w:pStyle w:val="Bibliography"/>
      </w:pPr>
      <w:r>
        <w:t xml:space="preserve">Minister Nauki i Szkolnictwa Wyższego. 2025a.</w:t>
      </w:r>
      <w:r>
        <w:t xml:space="preserve"> </w:t>
      </w:r>
      <w: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91"/>
    <w:bookmarkStart w:id="92" w:name="ref-rozp_ewaluacja_nowela2025"/>
    <w:p>
      <w:pPr>
        <w:pStyle w:val="Bibliography"/>
      </w:pPr>
      <w:r>
        <w:t xml:space="preserve">———. 2025b.</w:t>
      </w:r>
      <w:r>
        <w:t xml:space="preserve"> </w:t>
      </w:r>
      <w:r>
        <w:t xml:space="preserve">„Rozporządzenie Ministra Nauki i Szkolnictwa Wyższego z dnia 30 lipca 2025 r. zmieniające rozporządzenie w sprawie ewaluacji jakości działalności naukowej”</w:t>
      </w:r>
      <w:r>
        <w:t xml:space="preserve">. Dz.U. 2025 poz. 1053.</w:t>
      </w:r>
    </w:p>
    <w:bookmarkEnd w:id="92"/>
    <w:bookmarkStart w:id="93"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93"/>
    <w:bookmarkStart w:id="94"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94"/>
    <w:bookmarkStart w:id="95"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95"/>
    <w:bookmarkStart w:id="96"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96"/>
    <w:bookmarkStart w:id="98" w:name="ref-omegapsir2024"/>
    <w:p>
      <w:pPr>
        <w:pStyle w:val="Bibliography"/>
      </w:pPr>
      <w:r>
        <w:t xml:space="preserve">Warsaw University of Technology. 2024.</w:t>
      </w:r>
      <w:r>
        <w:t xml:space="preserve"> </w:t>
      </w:r>
      <w:r>
        <w:t xml:space="preserve">„Omega-PSIR: University Research Information System”</w:t>
      </w:r>
      <w:r>
        <w:t xml:space="preserve">.</w:t>
      </w:r>
      <w:r>
        <w:t xml:space="preserve"> </w:t>
      </w:r>
      <w:hyperlink r:id="rId97">
        <w:r>
          <w:rPr>
            <w:rStyle w:val="Hyperlink"/>
          </w:rPr>
          <w:t xml:space="preserve">https://www.omegapsir.io/</w:t>
        </w:r>
      </w:hyperlink>
      <w:r>
        <w:t xml:space="preserve">.</w:t>
      </w:r>
    </w:p>
    <w:bookmarkEnd w:id="98"/>
    <w:bookmarkStart w:id="99"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99"/>
    <w:bookmarkStart w:id="100"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6" Target="media/rId26.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hyperlink" Id="rId87" Target="https://dspacecris.eurocris.org/handle/11366/446" TargetMode="External" /><Relationship Type="http://schemas.openxmlformats.org/officeDocument/2006/relationships/hyperlink" Id="rId97"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87" Target="https://dspacecris.eurocris.org/handle/11366/446" TargetMode="External" /><Relationship Type="http://schemas.openxmlformats.org/officeDocument/2006/relationships/hyperlink" Id="rId97"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2026-06-16T21:20:55Z</dcterms:created>
  <dcterms:modified xsi:type="dcterms:W3CDTF">2026-06-16T21:20:55Z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2026-06-16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Praca dyplomowa: studia podyplomowe Data Science</vt:lpwstr>
  </property>
  <property fmtid="{D5CDD505-2E9C-101B-9397-08002B2CF9AE}" pid="12" name="toc-title">
    <vt:lpwstr>Spis treści</vt:lpwstr>
  </property>
</Properties>
</file>