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8.png" ContentType="image/png"/>
  <Override PartName="/word/media/rId58.png" ContentType="image/png"/>
  <Override PartName="/word/media/rId62.png" ContentType="image/png"/>
  <Override PartName="/word/media/rId68.png" ContentType="image/png"/>
  <Override PartName="/word/media/rId73.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2026-06-20</w:t>
      </w:r>
    </w:p>
    <w:p>
      <w:r>
        <w:br w:type="page"/>
      </w:r>
    </w:p>
    <w:bookmarkStart w:id="9" w:name="streszczenie"/>
    <w:p>
      <w:pPr>
        <w:pStyle w:val="Heading1"/>
      </w:pPr>
      <w:r>
        <w:t xml:space="preserve">Streszczenie</w:t>
      </w:r>
    </w:p>
    <w:p>
      <w:pPr>
        <w:pStyle w:val="FirstParagraph"/>
      </w:pPr>
      <w:r>
        <w:t xml:space="preserve">Praca analizuje dorobek publikacyjny 462 pracowników z dyscypliny rolnictwo i ogrodnictwo 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impact można dość dobrze przewidzieć na podstawie cech badacza. Najważniejsze są produktywność i pozycja w sieci współpracy, a nie samo stanowisko formalne. Model rozróżnia osoby o wysokim i niższym impakcie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p>
      <w:r>
        <w:br w:type="page"/>
      </w:r>
    </w:p>
    <w:bookmarkEnd w:id="9"/>
    <w:bookmarkStart w:id="13" w:name="wprowadzenie"/>
    <w:p>
      <w:pPr>
        <w:pStyle w:val="Heading1"/>
      </w:pPr>
      <w:r>
        <w:t xml:space="preserve">Wprowadzenie</w:t>
      </w:r>
    </w:p>
    <w:bookmarkStart w:id="10"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w:t>
      </w:r>
      <w:hyperlink w:anchor="ref-rozp_ewaluacja2022">
        <w:r>
          <w:rPr>
            <w:rStyle w:val="Hyperlink"/>
          </w:rPr>
          <w:t xml:space="preserve">Minister Edukacji i Nauki 2022</w:t>
        </w:r>
      </w:hyperlink>
      <w:r>
        <w:t xml:space="preserve">)</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 rolnictwo i ogrodnictwo należy do dziedziny nauk rolniczych</w:t>
      </w:r>
      <w:r>
        <w:t xml:space="preserve"> </w:t>
      </w:r>
      <w:r>
        <w:t xml:space="preserve">(</w:t>
      </w:r>
      <w:hyperlink w:anchor="ref-rozp_dyscypliny2025">
        <w:r>
          <w:rPr>
            <w:rStyle w:val="Hyperlink"/>
          </w:rPr>
          <w:t xml:space="preserve">Minister Nauki i Szkolnictwa Wyższego 2025a</w:t>
        </w:r>
      </w:hyperlink>
      <w:r>
        <w:t xml:space="preserve">)</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w:t>
      </w:r>
      <w:hyperlink w:anchor="ref-rozp_ewaluacja2022">
        <w:r>
          <w:rPr>
            <w:rStyle w:val="Hyperlink"/>
          </w:rPr>
          <w:t xml:space="preserve">Minister Edukacji i Nauki 2022</w:t>
        </w:r>
      </w:hyperlink>
      <w:r>
        <w:t xml:space="preserve">;</w:t>
      </w:r>
      <w:r>
        <w:t xml:space="preserve"> </w:t>
      </w:r>
      <w:hyperlink w:anchor="ref-rozp_ewaluacja_nowela2025">
        <w:r>
          <w:rPr>
            <w:rStyle w:val="Hyperlink"/>
          </w:rPr>
          <w:t xml:space="preserve">Minister Nauki i Szkolnictwa Wyższego 2025b</w:t>
        </w:r>
      </w:hyperlink>
      <w:r>
        <w:t xml:space="preserve">)</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w:t>
      </w:r>
      <w:hyperlink w:anchor="ref-rozp_dyscypliny2025">
        <w:r>
          <w:rPr>
            <w:rStyle w:val="Hyperlink"/>
          </w:rPr>
          <w:t xml:space="preserve">Minister Nauki i Szkolnictwa Wyższego 2025a</w:t>
        </w:r>
      </w:hyperlink>
      <w:r>
        <w:t xml:space="preserve">)</w:t>
      </w:r>
      <w:r>
        <w:t xml:space="preserve">. Rolnictwo i ogrodnictwo 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 rolnictwo i ogrodnictwo 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Analiza bibliometryczna jest w Polsce wykorzystywana zarówno w polityce naukowej i ewaluacji</w:t>
      </w:r>
      <w:r>
        <w:t xml:space="preserve"> </w:t>
      </w:r>
      <w:r>
        <w:t xml:space="preserve">(</w:t>
      </w:r>
      <w:hyperlink w:anchor="ref-Drabek2012">
        <w:r>
          <w:rPr>
            <w:rStyle w:val="Hyperlink"/>
          </w:rPr>
          <w:t xml:space="preserve">Drabek 2012</w:t>
        </w:r>
      </w:hyperlink>
      <w:r>
        <w:t xml:space="preserve">;</w:t>
      </w:r>
      <w:r>
        <w:t xml:space="preserve"> </w:t>
      </w:r>
      <w:hyperlink w:anchor="ref-Kulczycki2019">
        <w:r>
          <w:rPr>
            <w:rStyle w:val="Hyperlink"/>
          </w:rPr>
          <w:t xml:space="preserve">Kulczycki 2019</w:t>
        </w:r>
      </w:hyperlink>
      <w:r>
        <w:t xml:space="preserve">)</w:t>
      </w:r>
      <w:r>
        <w:t xml:space="preserve">, jak i do oceny dorobku pracowników poszczególnych uczelni</w:t>
      </w:r>
      <w:r>
        <w:t xml:space="preserve"> </w:t>
      </w:r>
      <w:r>
        <w:t xml:space="preserve">(</w:t>
      </w:r>
      <w:hyperlink w:anchor="ref-Grygiel2009">
        <w:r>
          <w:rPr>
            <w:rStyle w:val="Hyperlink"/>
          </w:rPr>
          <w:t xml:space="preserve">Grygiel et al. 2009</w:t>
        </w:r>
      </w:hyperlink>
      <w:r>
        <w:t xml:space="preserve">)</w:t>
      </w:r>
      <w:r>
        <w:t xml:space="preserve">; polskie piśmiennictwo dysponuje też przeglądami metod bibliometrycznych stosowanych do oceny i prognozowania rozwoju dyscyplin naukowych</w:t>
      </w:r>
      <w:r>
        <w:t xml:space="preserve"> </w:t>
      </w:r>
      <w:r>
        <w:t xml:space="preserve">(</w:t>
      </w:r>
      <w:hyperlink w:anchor="ref-Opalinski2017">
        <w:r>
          <w:rPr>
            <w:rStyle w:val="Hyperlink"/>
          </w:rPr>
          <w:t xml:space="preserve">Opaliński 2017</w:t>
        </w:r>
      </w:hyperlink>
      <w:r>
        <w:t xml:space="preserve">)</w:t>
      </w:r>
      <w:r>
        <w:t xml:space="preserve">.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p>
      <w:r>
        <w:br w:type="page"/>
      </w:r>
    </w:p>
    <w:bookmarkEnd w:id="10"/>
    <w:bookmarkStart w:id="11" w:name="cel-pracy"/>
    <w:p>
      <w:pPr>
        <w:pStyle w:val="Heading2"/>
      </w:pPr>
      <w:r>
        <w:t xml:space="preserve">Cel pracy</w:t>
      </w:r>
    </w:p>
    <w:p>
      <w:pPr>
        <w:pStyle w:val="FirstParagraph"/>
      </w:pPr>
      <w:r>
        <w:t xml:space="preserve">Niniejsza praca analizuje dorobek bibliometryczny pracowników naukowych dyscypliny rolnictwo i ogrodnictwo 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 Nazwa Omega-PSIR określa przy tym sam system informatyczny (CRIS), natomiast jego wdrożenie i publiczny portal na poszczególnych uczelniach funkcjonują pod nazwą Baza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wdrożenie produkcyjne uruchomiono na PW w 2012 roku</w:t>
      </w:r>
      <w:r>
        <w:t xml:space="preserve"> </w:t>
      </w:r>
      <w:r>
        <w:t xml:space="preserve">(</w:t>
      </w:r>
      <w:hyperlink w:anchor="ref-koperwas2015omega">
        <w:r>
          <w:rPr>
            <w:rStyle w:val="Hyperlink"/>
          </w:rPr>
          <w:t xml:space="preserve">Koperwas et al. 2015</w:t>
        </w:r>
      </w:hyperlink>
      <w:r>
        <w:t xml:space="preserve">)</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Według stanu na 2018 r. system był wdrożony w kilkunastu polskich instytucjach naukowych (Politechnika Warszawska i jedenaście innych uczelni)</w:t>
      </w:r>
      <w:r>
        <w:t xml:space="preserve"> </w:t>
      </w:r>
      <w:r>
        <w:t xml:space="preserve">(</w:t>
      </w:r>
      <w:hyperlink w:anchor="Xfa806a68882317565cd91e2502e10e0c6dc8daa">
        <w:r>
          <w:rPr>
            <w:rStyle w:val="Hyperlink"/>
          </w:rPr>
          <w:t xml:space="preserve">Rybiński et al. 2018</w:t>
        </w:r>
      </w:hyperlink>
      <w:r>
        <w:t xml:space="preserve">)</w:t>
      </w:r>
      <w:r>
        <w:t xml:space="preserve"> </w:t>
      </w:r>
      <w:r>
        <w:t xml:space="preserve">i jest dostosowany do krajowego systemu ewaluacji nauki. Jego znaczenie dla niniejszej pracy polega na tym, że udostępnia porównywalne, uczelniane agregaty dorobku naukowego w jednolitej strukturze danych</w:t>
      </w:r>
      <w:r>
        <w:t xml:space="preserve"> </w:t>
      </w:r>
      <w:r>
        <w:t xml:space="preserve">(</w:t>
      </w:r>
      <w:hyperlink w:anchor="ref-omegapsir2024">
        <w:r>
          <w:rPr>
            <w:rStyle w:val="Hyperlink"/>
          </w:rPr>
          <w:t xml:space="preserve">Warsaw University of Technology 2024</w:t>
        </w:r>
      </w:hyperlink>
      <w:r>
        <w:t xml:space="preserve">)</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p>
      <w:r>
        <w:br w:type="page"/>
      </w:r>
    </w:p>
    <w:bookmarkEnd w:id="11"/>
    <w:bookmarkStart w:id="12"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wysoki impact można przewidywać na podstawie cech strukturalnych, takich jak stanowisko, uczelnia, liczba publikacji i współpraca naukowa?</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12"/>
    <w:bookmarkEnd w:id="13"/>
    <w:bookmarkStart w:id="22" w:name="materiał-i-metodyka"/>
    <w:p>
      <w:pPr>
        <w:pStyle w:val="Heading1"/>
      </w:pPr>
      <w:r>
        <w:t xml:space="preserve">Materiał i metodyka</w:t>
      </w:r>
    </w:p>
    <w:bookmarkStart w:id="14"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t>
      </w:r>
      <w:hyperlink w:anchor="ref-omegapsir2024">
        <w:r>
          <w:rPr>
            <w:rStyle w:val="Hyperlink"/>
          </w:rPr>
          <w:t xml:space="preserve">Warsaw University of Technology 2024</w:t>
        </w:r>
      </w:hyperlink>
      <w:r>
        <w:t xml:space="preserve">)</w:t>
      </w:r>
      <w:r>
        <w:t xml:space="preserve">, źródło podstawowe: agregaty bibliometryczne per autor (h-index WoS/Scopus</w:t>
      </w:r>
      <w:r>
        <w:t xml:space="preserve"> </w:t>
      </w:r>
      <w:r>
        <w:t xml:space="preserve">(</w:t>
      </w:r>
      <w:hyperlink w:anchor="ref-hirsch2005">
        <w:r>
          <w:rPr>
            <w:rStyle w:val="Hyperlink"/>
          </w:rPr>
          <w:t xml:space="preserve">Hirsch 2005</w:t>
        </w:r>
      </w:hyperlink>
      <w:r>
        <w:t xml:space="preserve">)</w:t>
      </w:r>
      <w:r>
        <w:t xml:space="preserve">, sumaryczny IF</w:t>
      </w:r>
      <w:r>
        <w:t xml:space="preserve"> </w:t>
      </w:r>
      <w:r>
        <w:t xml:space="preserve">(</w:t>
      </w:r>
      <w:hyperlink w:anchor="ref-garfield2006">
        <w:r>
          <w:rPr>
            <w:rStyle w:val="Hyperlink"/>
          </w:rPr>
          <w:t xml:space="preserve">Garfield 2006</w:t>
        </w:r>
      </w:hyperlink>
      <w:r>
        <w:t xml:space="preserve">)</w:t>
      </w:r>
      <w:r>
        <w:t xml:space="preserve">, SNIP</w:t>
      </w:r>
      <w:r>
        <w:t xml:space="preserve"> </w:t>
      </w:r>
      <w:r>
        <w:t xml:space="preserve">(</w:t>
      </w:r>
      <w:hyperlink w:anchor="ref-moed2010snip">
        <w:r>
          <w:rPr>
            <w:rStyle w:val="Hyperlink"/>
          </w:rPr>
          <w:t xml:space="preserve">Moed 2010</w:t>
        </w:r>
      </w:hyperlink>
      <w:r>
        <w:t xml:space="preserve">)</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w:t>
      </w:r>
      <w:hyperlink w:anchor="ref-openalex2022">
        <w:r>
          <w:rPr>
            <w:rStyle w:val="Hyperlink"/>
          </w:rPr>
          <w:t xml:space="preserve">Priem et al. 2022</w:t>
        </w:r>
      </w:hyperlink>
      <w:r>
        <w:t xml:space="preserve">)</w:t>
      </w:r>
      <w:r>
        <w:t xml:space="preserve">, źródło uzupełniające, dostarcza danych, których nie ma w Omega-PSIR: FWCI (Field-Weighted Citation Impact), czyli liczbę cytowań pracy porównaną ze światową średnią w jej dziedzinie (wartość 1,0 oznacza poziom średniej światowej, a wartości powyżej 1,0 wynik ją przewyższający), której nie da się policzyć z danych jednej uczelni</w:t>
      </w:r>
      <w:r>
        <w:t xml:space="preserve"> </w:t>
      </w:r>
      <w:r>
        <w:t xml:space="preserve">(</w:t>
      </w:r>
      <w:hyperlink w:anchor="ref-waltman2016review">
        <w:r>
          <w:rPr>
            <w:rStyle w:val="Hyperlink"/>
          </w:rPr>
          <w:t xml:space="preserve">Waltman 2016</w:t>
        </w:r>
      </w:hyperlink>
      <w:r>
        <w:t xml:space="preserve">)</w:t>
      </w:r>
      <w:r>
        <w:t xml:space="preserve">; liczbę cytowań publikacji; listę współautorów potrzebną do analizy sieci współpracy; oraz niezależne porównanie (kontrolę jakości) metryk pobranych z Omega-PSIR.</w:t>
      </w:r>
    </w:p>
    <w:p>
      <w:pPr>
        <w:pStyle w:val="FirstParagraph"/>
      </w:pPr>
      <w:r>
        <w:t xml:space="preserve">W pracy analizowano zagregowane wskaźniki bibliometryczne przypisane do poszczególnych autorów, takie jak sumaryczny IF, sumaryczna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ostrożność w traktowaniu pojedynczych wskaźników jako miar jakości naukowej jest zgodna z zasadami odpowiedzialnej naukometrii</w:t>
      </w:r>
      <w:r>
        <w:t xml:space="preserve"> </w:t>
      </w:r>
      <w:r>
        <w:t xml:space="preserve">(</w:t>
      </w:r>
      <w:hyperlink w:anchor="X0b33f87ae5ad4597f5248ccd3781f8ded4d6a31">
        <w:r>
          <w:rPr>
            <w:rStyle w:val="Hyperlink"/>
          </w:rPr>
          <w:t xml:space="preserve">Hicks et al.</w:t>
        </w:r>
        <w:r>
          <w:rPr>
            <w:rStyle w:val="Hyperlink"/>
          </w:rPr>
          <w:t xml:space="preserve"> </w:t>
        </w:r>
        <w:r>
          <w:rPr>
            <w:rStyle w:val="Hyperlink"/>
          </w:rPr>
          <w:t xml:space="preserve">2015</w:t>
        </w:r>
      </w:hyperlink>
      <w:r>
        <w:t xml:space="preserve">)</w:t>
      </w:r>
      <w:r>
        <w:t xml:space="preserve">.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w:t>
      </w:r>
      <w:hyperlink w:anchor="ref-rozp_ewaluacja2022">
        <w:r>
          <w:rPr>
            <w:rStyle w:val="Hyperlink"/>
          </w:rPr>
          <w:t xml:space="preserve">Minister Edukacji i Nauki 2022</w:t>
        </w:r>
      </w:hyperlink>
      <w:r>
        <w:t xml:space="preserve">)</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14"/>
    <w:bookmarkStart w:id="19"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 rolnictwo i ogrodnictwo 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Oparcie powiązania na kanonicznych identyfikatorach (ROR dla instytucji, ORCID dla autorów) jest zgodne z podejściem stosowanym w dedykowanych narzędziach integracji danych OpenAlex w środowisku R</w:t>
      </w:r>
      <w:r>
        <w:t xml:space="preserve"> </w:t>
      </w:r>
      <w:r>
        <w:t xml:space="preserve">(</w:t>
      </w:r>
      <w:hyperlink w:anchor="ref-ariaOpenalexR2024">
        <w:r>
          <w:rPr>
            <w:rStyle w:val="Hyperlink"/>
          </w:rPr>
          <w:t xml:space="preserve">Aria et al. 2024</w:t>
        </w:r>
      </w:hyperlink>
      <w:r>
        <w:t xml:space="preserve">)</w:t>
      </w:r>
      <w:r>
        <w:t xml:space="preserve">.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dxa" w:w="9638"/>
        <w:tblLayout w:type="autofit"/>
        <w:tblLook w:firstRow="0" w:lastRow="0" w:firstColumn="0" w:lastColumn="0" w:noHBand="0" w:noVBand="0" w:val="0000"/>
      </w:tblPr>
      <w:tblGrid>
        <w:gridCol w:w="9638"/>
      </w:tblGrid>
      <w:tr>
        <w:tc>
          <w:tcPr/>
          <w:bookmarkStart w:id="18" w:name="fig-pipeline"/>
          <w:p>
            <w:pPr>
              <w:pStyle w:val="Compact"/>
              <w:jc w:val="center"/>
            </w:pPr>
            <w:r>
              <w:drawing>
                <wp:inline>
                  <wp:extent cx="4480560" cy="7101092"/>
                  <wp:effectExtent b="0" l="0" r="0" t="0"/>
                  <wp:docPr descr="" title="" id="16" name="Picture"/>
                  <a:graphic>
                    <a:graphicData uri="http://schemas.openxmlformats.org/drawingml/2006/picture">
                      <pic:pic>
                        <pic:nvPicPr>
                          <pic:cNvPr descr="../Wykresy/praca/fig_00_pipeline.png" id="17" name="Picture"/>
                          <pic:cNvPicPr>
                            <a:picLocks noChangeArrowheads="1" noChangeAspect="1"/>
                          </pic:cNvPicPr>
                        </pic:nvPicPr>
                        <pic:blipFill>
                          <a:blip r:embed="rId15"/>
                          <a:stretch>
                            <a:fillRect/>
                          </a:stretch>
                        </pic:blipFill>
                        <pic:spPr bwMode="auto">
                          <a:xfrm>
                            <a:off x="0" y="0"/>
                            <a:ext cx="4480560" cy="7101092"/>
                          </a:xfrm>
                          <a:prstGeom prst="rect">
                            <a:avLst/>
                          </a:prstGeom>
                          <a:noFill/>
                          <a:ln w="9525">
                            <a:noFill/>
                            <a:headEnd/>
                            <a:tailEnd/>
                          </a:ln>
                        </pic:spPr>
                      </pic:pic>
                    </a:graphicData>
                  </a:graphic>
                </wp:inline>
              </w:drawing>
            </w:r>
          </w:p>
          <w:p>
            <w:pPr>
              <w:jc w:val="center"/>
            </w:pPr>
            <w:pPr>
              <w:jc w:val="left"/>
              <w:spacing w:before="200"/>
              <w:pStyle w:val="ImageCaption"/>
            </w:pPr>
            <w:r>
              <w:t xml:space="preserve">Rysunek 1: Schemat przepływu danych: od czterech instancji Omega-PSIR przez scraping (Python) i przetwarzanie (R) z uzupełnieniem OpenAlex do zbioru analitycznego i warstw modelowania.</w:t>
            </w:r>
          </w:p>
          <w:bookmarkEnd w:id="18"/>
        </w:tc>
      </w:tr>
    </w:tbl>
    <w:bookmarkEnd w:id="19"/>
    <w:bookmarkStart w:id="20" w:name="metody-analityczne"/>
    <w:p>
      <w:pPr>
        <w:pStyle w:val="Heading2"/>
      </w:pPr>
      <w:r>
        <w:t xml:space="preserve">Metody analityczne</w:t>
      </w:r>
    </w:p>
    <w:p>
      <w:pPr>
        <w:pStyle w:val="FirstParagraph"/>
      </w:pPr>
      <w:r>
        <w:t xml:space="preserve">Całość analizy zorganizowano zgodnie z typowym dla badań bibliometrycznych przepływem pracy: projektowanie badania, gromadzenie i łączenie danych, analiza, wizualizacja oraz interpretacja</w:t>
      </w:r>
      <w:r>
        <w:t xml:space="preserve"> </w:t>
      </w:r>
      <w:r>
        <w:t xml:space="preserve">(</w:t>
      </w:r>
      <w:hyperlink w:anchor="ref-ariaBibliometrix2017">
        <w:r>
          <w:rPr>
            <w:rStyle w:val="Hyperlink"/>
          </w:rPr>
          <w:t xml:space="preserve">Aria i Cuccurullo 2017</w:t>
        </w:r>
      </w:hyperlink>
      <w:r>
        <w:t xml:space="preserve">)</w:t>
      </w:r>
      <w:r>
        <w:t xml:space="preserve">. Obliczenia zaimplementowano samodzielnie w językach Python i R (bez gotowych pakietów do mapowania nauki), korzystając z bibliotek ogólnego przeznaczenia opisanych niżej.</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impactu zastosowano modele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Ich jakość oceniono w 5-krotnej walidacji krzyżowej (dane uczące dzielono na pięć części i każdą wykorzystano raz jako zbiór sprawdzający, uśredniając wyniki), co pozwoliło dobrać hiperparametry modeli bez dopasowywania ich do pojedynczego podziału danych. Znaczenie cech opisano za pomocą wartości SHAP</w:t>
      </w:r>
      <w:r>
        <w:t xml:space="preserve"> </w:t>
      </w:r>
      <w:r>
        <w:t xml:space="preserve">(</w:t>
      </w:r>
      <w:hyperlink w:anchor="ref-lundberg2017">
        <w:r>
          <w:rPr>
            <w:rStyle w:val="Hyperlink"/>
          </w:rPr>
          <w:t xml:space="preserve">Lundberg i Lee 2017</w:t>
        </w:r>
      </w:hyperlink>
      <w:r>
        <w:t xml:space="preserve">)</w:t>
      </w:r>
      <w:r>
        <w:t xml:space="preserve">. Zbudowano dwa modele o rozłącznych celach:</w:t>
      </w:r>
      <w:r>
        <w:t xml:space="preserve"> </w:t>
      </w:r>
      <w:r>
        <w:rPr>
          <w:b/>
          <w:bCs/>
        </w:rPr>
        <w:t xml:space="preserve">ilościowy</w:t>
      </w:r>
      <w:r>
        <w:t xml:space="preserve"> </w:t>
      </w:r>
      <w:r>
        <w:t xml:space="preserve">(wysoki sumaryczny impact,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w:t>
      </w:r>
      <w:r>
        <w:t xml:space="preserve"> </w:t>
      </w:r>
      <w:r>
        <w:t xml:space="preserve">(</w:t>
      </w:r>
      <w:hyperlink w:anchor="Xf57435758c1415795137dce9045dde0a68674c8">
        <w:r>
          <w:rPr>
            <w:rStyle w:val="Hyperlink"/>
          </w:rPr>
          <w:t xml:space="preserve">Newman 2004</w:t>
        </w:r>
      </w:hyperlink>
      <w:r>
        <w:t xml:space="preserve">)</w:t>
      </w:r>
      <w:r>
        <w:t xml:space="preserve">. Do wykrycia takich grup zastosowano algorytm Louvain</w:t>
      </w:r>
      <w:r>
        <w:t xml:space="preserve"> </w:t>
      </w:r>
      <w:r>
        <w:t xml:space="preserve">(</w:t>
      </w:r>
      <w:hyperlink w:anchor="ref-blondel2008">
        <w:r>
          <w:rPr>
            <w:rStyle w:val="Hyperlink"/>
          </w:rPr>
          <w:t xml:space="preserve">Blondel et al. 2008</w:t>
        </w:r>
      </w:hyperlink>
      <w:r>
        <w:t xml:space="preserve">)</w:t>
      </w:r>
      <w:r>
        <w:t xml:space="preserve">, a modularność</w:t>
      </w:r>
      <w:r>
        <w:t xml:space="preserve"> </w:t>
      </w:r>
      <w:r>
        <w:t xml:space="preserve">(</w:t>
      </w:r>
      <w:hyperlink w:anchor="ref-newman2006">
        <w:r>
          <w:rPr>
            <w:rStyle w:val="Hyperlink"/>
          </w:rPr>
          <w:t xml:space="preserve">Newman 2006</w:t>
        </w:r>
      </w:hyperlink>
      <w:r>
        <w:t xml:space="preserve">)</w:t>
      </w:r>
      <w:r>
        <w:t xml:space="preserve"> </w:t>
      </w:r>
      <w:r>
        <w:t xml:space="preserve">wykorzystano do oceny, jak wyraźnie sieć dzieli się na wspólnoty. Dzięki temu można było sprawdzić, czy współpraca przebiega głównie w obrębie jednej uczelni, czy także między uczelniami.</w:t>
      </w:r>
    </w:p>
    <w:bookmarkEnd w:id="20"/>
    <w:bookmarkStart w:id="21"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 3.5 Flash (Gemini CLI, Google).</w:t>
      </w:r>
    </w:p>
    <w:bookmarkEnd w:id="21"/>
    <w:bookmarkEnd w:id="22"/>
    <w:bookmarkStart w:id="78" w:name="wyniki"/>
    <w:p>
      <w:pPr>
        <w:pStyle w:val="Heading1"/>
      </w:pPr>
      <w:r>
        <w:t xml:space="preserve">Wyniki</w:t>
      </w:r>
    </w:p>
    <w:bookmarkStart w:id="24"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 Dopasowanie do bazy OpenAlex (po identyfikatorze ROR uczelni i nazwisku, dopasowanie rozmyte miarą Jaro-Winklera ≥ 0,85</w:t>
      </w:r>
      <w:r>
        <w:t xml:space="preserve"> </w:t>
      </w:r>
      <w:r>
        <w:t xml:space="preserve">(</w:t>
      </w:r>
      <w:hyperlink w:anchor="ref-winkler1990">
        <w:r>
          <w:rPr>
            <w:rStyle w:val="Hyperlink"/>
          </w:rPr>
          <w:t xml:space="preserve">Winkler 1990</w:t>
        </w:r>
      </w:hyperlink>
      <w:r>
        <w:t xml:space="preserve">)</w:t>
      </w:r>
      <w:r>
        <w:t xml:space="preserve">) powiodło się dla</w:t>
      </w:r>
      <w:r>
        <w:t xml:space="preserve"> </w:t>
      </w:r>
      <w:r>
        <w:rPr>
          <w:b/>
          <w:bCs/>
        </w:rPr>
        <w:t xml:space="preserve">367 osób (79,4 %)</w:t>
      </w:r>
      <w:r>
        <w:t xml:space="preserve">: UPWr 79,7 %, SGGW 89,3 %, URK 77,8 %, UWM 67,1 %. Dopasowanie wymagało normalizacji nazw uwzględniającej charakterystyczny dla URK sufiks afiliacyjny po przecinku (np. „Jan Kowalski, prof. URK”), którego nieusunięcie zaniżało początkowo dopasowanie tej uczelni do 47,5 %; po korekcie poziom URK zrównał się z pozostałymi. Najsłabiej dopasowany pozostaje UWM (67,1 %), co przekłada się na lekkie niedoreprezentowanie tej uczelni w analizach opartych na metrykach OpenAlex (FWCI, sieci współautorstwa). Liczbę fałszywych dopasowań ograniczał filtr instytucjonalny: kandydatów z OpenAlex zawężano do autorów powiązanych z identyfikatorem ROR danej uczelni, więc dopasowanie nazwiska odbywało się wyłącznie w obrębie właściwej afiliacji.</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dxa" w:w="9638"/>
        <w:tblLayout w:type="autofit"/>
        <w:tblLook w:firstRow="0" w:lastRow="0" w:firstColumn="0" w:lastColumn="0" w:noHBand="0" w:noVBand="0" w:val="0000"/>
      </w:tblPr>
      <w:tblGrid>
        <w:gridCol w:w="9638"/>
      </w:tblGrid>
      <w:tr>
        <w:tc>
          <w:tcPr/>
          <w:bookmarkStart w:id="23" w:name="tbl-proba"/>
          <w:p>
            <w:pPr>
              <w:jc w:val="center"/>
            </w:pPr>
            <w:pPr>
              <w:jc w:val="lef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966"/>
              <w:gridCol w:w="654"/>
              <w:gridCol w:w="514"/>
              <w:gridCol w:w="903"/>
              <w:gridCol w:w="903"/>
              <w:gridCol w:w="903"/>
              <w:gridCol w:w="903"/>
              <w:gridCol w:w="1183"/>
              <w:gridCol w:w="997"/>
              <w:gridCol w:w="810"/>
              <w:gridCol w:w="9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23"/>
        </w:tc>
      </w:tr>
    </w:tbl>
    <w:p>
      <w:pPr>
        <w:pStyle w:val="BodyText"/>
      </w:pPr>
      <w:r>
        <w:t xml:space="preserve">W analizie 2-czynnikowej uwzględniono 420 osób posiadających określone stanowisko z trzech kategorii (adiunkt, profesor uczelni, profesor); rozkład w układzie uczelnia × stanowisko przedstawia</w:t>
      </w:r>
      <w:r>
        <w:t xml:space="preserve"> </w:t>
      </w:r>
      <w:hyperlink w:anchor="tbl-proba">
        <w:r>
          <w:rPr>
            <w:rStyle w:val="Hyperlink"/>
          </w:rPr>
          <w:t xml:space="preserve">Tabela 1</w:t>
        </w:r>
      </w:hyperlink>
      <w:r>
        <w:t xml:space="preserve">, a najmniejsza komórka liczy 13 osób, co umożliwia estymację członu interakcji.</w:t>
      </w:r>
    </w:p>
    <w:bookmarkEnd w:id="24"/>
    <w:bookmarkStart w:id="29"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impactu: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impactu jedynie umiarkowanie (r = 0,36–0,44), odzwierciedla bowiem objętość dorobku, a nie jego skumulowane oddziaływanie. Drugą, w przybliżeniu ortogonalną osią jest</w:t>
      </w:r>
      <w:r>
        <w:t xml:space="preserve"> </w:t>
      </w:r>
      <w:r>
        <w:rPr>
          <w:b/>
          <w:bCs/>
        </w:rPr>
        <w:t xml:space="preserve">intensywność jakościowa</w:t>
      </w:r>
      <w:r>
        <w:t xml:space="preserve"> </w:t>
      </w:r>
      <w:r>
        <w:t xml:space="preserve">(IF na publikację), słabo skorelowana z metrykami wielkości; jej ujemny związek z liczbą publikacji (r = -0,37) wskazuje na klasyczny kompromis ilość–jakość: naukowcy o największej produktywności mają przeciętnie niższy IF przypadający na pojedynczą pracę.</w:t>
      </w:r>
    </w:p>
    <w:tbl>
      <w:tblPr>
        <w:tblStyle w:val="Table"/>
        <w:tblW w:type="dxa" w:w="9638"/>
        <w:tblLayout w:type="autofit"/>
        <w:tblLook w:firstRow="0" w:lastRow="0" w:firstColumn="0" w:lastColumn="0" w:noHBand="0" w:noVBand="0" w:val="0000"/>
      </w:tblPr>
      <w:tblGrid>
        <w:gridCol w:w="9638"/>
      </w:tblGrid>
      <w:tr>
        <w:tc>
          <w:tcPr/>
          <w:bookmarkStart w:id="28" w:name="fig-korelacje"/>
          <w:p>
            <w:pPr>
              <w:pStyle w:val="Compact"/>
              <w:jc w:val="center"/>
            </w:pPr>
            <w:r>
              <w:drawing>
                <wp:inline>
                  <wp:extent cx="5334000" cy="4533900"/>
                  <wp:effectExtent b="0" l="0" r="0" t="0"/>
                  <wp:docPr descr="" title="" id="26" name="Picture"/>
                  <a:graphic>
                    <a:graphicData uri="http://schemas.openxmlformats.org/drawingml/2006/picture">
                      <pic:pic>
                        <pic:nvPicPr>
                          <pic:cNvPr descr="../Wykresy/praca/fig_01b_korelacje.png" id="27" name="Picture"/>
                          <pic:cNvPicPr>
                            <a:picLocks noChangeArrowheads="1" noChangeAspect="1"/>
                          </pic:cNvPicPr>
                        </pic:nvPicPr>
                        <pic:blipFill>
                          <a:blip r:embed="rId2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2: Macierz korelacji Pearsona sześciu wskaźników bibliometrycznych. Wyraźny blok metryk skumulowanego impactu (h-index, sumaryczny IF, punktacja MEiN; r 0,82–0,95) kontrastuje z liczbą publikacji, powiązaną z nim tylko umiarkowanie (r 0,36–0,44), oraz z IF na publikację, tworzącym odrębną oś jakości, ujemnie skorelowaną z liczbą publikacji.</w:t>
            </w:r>
          </w:p>
          <w:bookmarkEnd w:id="28"/>
        </w:tc>
      </w:tr>
    </w:tbl>
    <w:bookmarkEnd w:id="29"/>
    <w:bookmarkStart w:id="47"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który przedstawia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Wyjątkiem jest wskaźnik IF / MEiN, którego rozkład jest bardziej symetryczny, ale także dla niego testy wykazały naruszenie założeń testów parametrycznych.</w:t>
      </w:r>
    </w:p>
    <w:tbl>
      <w:tblPr>
        <w:tblStyle w:val="Table"/>
        <w:tblW w:type="dxa" w:w="9638"/>
        <w:tblLayout w:type="autofit"/>
        <w:tblLook w:firstRow="0" w:lastRow="0" w:firstColumn="0" w:lastColumn="0" w:noHBand="0" w:noVBand="0" w:val="0000"/>
      </w:tblPr>
      <w:tblGrid>
        <w:gridCol w:w="9638"/>
      </w:tblGrid>
      <w:tr>
        <w:tc>
          <w:tcPr/>
          <w:bookmarkStart w:id="33" w:name="fig-rozklady"/>
          <w:p>
            <w:pPr>
              <w:pStyle w:val="Compact"/>
              <w:jc w:val="center"/>
            </w:pPr>
            <w:r>
              <w:drawing>
                <wp:inline>
                  <wp:extent cx="5334000" cy="3081866"/>
                  <wp:effectExtent b="0" l="0" r="0" t="0"/>
                  <wp:docPr descr="" title="" id="31" name="Picture"/>
                  <a:graphic>
                    <a:graphicData uri="http://schemas.openxmlformats.org/drawingml/2006/picture">
                      <pic:pic>
                        <pic:nvPicPr>
                          <pic:cNvPr descr="../Wykresy/praca/fig_01c_rozklady.png" id="32" name="Picture"/>
                          <pic:cNvPicPr>
                            <a:picLocks noChangeArrowheads="1" noChangeAspect="1"/>
                          </pic:cNvPicPr>
                        </pic:nvPicPr>
                        <pic:blipFill>
                          <a:blip r:embed="rId30"/>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33"/>
        </w:tc>
      </w:tr>
    </w:tbl>
    <w:p>
      <w:pPr>
        <w:pStyle w:val="BodyText"/>
      </w:pPr>
      <w:r>
        <w:t xml:space="preserve">Wyniki tego porównania dla trzech metryk o pełnym pokryciu pokazano jako wykresy pudełkowe z oznaczeniami grup jednorodnych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w:t>
      </w:r>
      <w:r>
        <w:t xml:space="preserve"> </w:t>
      </w:r>
      <w:hyperlink w:anchor="fig-npub">
        <w:r>
          <w:rPr>
            <w:rStyle w:val="Hyperlink"/>
          </w:rPr>
          <w:t xml:space="preserve">Rysunek 6</w:t>
        </w:r>
      </w:hyperlink>
      <w:r>
        <w:t xml:space="preserve">).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dxa" w:w="9638"/>
        <w:tblLayout w:type="autofit"/>
        <w:tblLook w:firstRow="0" w:lastRow="0" w:firstColumn="0" w:lastColumn="0" w:noHBand="0" w:noVBand="0" w:val="0000"/>
      </w:tblPr>
      <w:tblGrid>
        <w:gridCol w:w="9638"/>
      </w:tblGrid>
      <w:tr>
        <w:tc>
          <w:tcPr/>
          <w:bookmarkStart w:id="37" w:name="fig-hindex"/>
          <w:p>
            <w:pPr>
              <w:pStyle w:val="Compact"/>
              <w:jc w:val="center"/>
            </w:pPr>
            <w:r>
              <w:drawing>
                <wp:inline>
                  <wp:extent cx="5334000" cy="3388658"/>
                  <wp:effectExtent b="0" l="0" r="0" t="0"/>
                  <wp:docPr descr="" title="" id="35" name="Picture"/>
                  <a:graphic>
                    <a:graphicData uri="http://schemas.openxmlformats.org/drawingml/2006/picture">
                      <pic:pic>
                        <pic:nvPicPr>
                          <pic:cNvPr descr="../Wykresy/praca/fig_02a_hindex.png" id="36" name="Picture"/>
                          <pic:cNvPicPr>
                            <a:picLocks noChangeArrowheads="1" noChangeAspect="1"/>
                          </pic:cNvPicPr>
                        </pic:nvPicPr>
                        <pic:blipFill>
                          <a:blip r:embed="rId34"/>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4: Wykres pudełkowy h-index (WoS) w dwuczynnikowym układzie uczelnia × stanowisko; oznaczenia grup jednorodnych (CLD) opisano w tekście powyżej.</w:t>
            </w:r>
          </w:p>
          <w:bookmarkEnd w:id="37"/>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1" w:name="fig-sumif"/>
          <w:p>
            <w:pPr>
              <w:pStyle w:val="Compact"/>
              <w:jc w:val="center"/>
            </w:pPr>
            <w:r>
              <w:drawing>
                <wp:inline>
                  <wp:extent cx="5334000" cy="3388658"/>
                  <wp:effectExtent b="0" l="0" r="0" t="0"/>
                  <wp:docPr descr="" title="" id="39" name="Picture"/>
                  <a:graphic>
                    <a:graphicData uri="http://schemas.openxmlformats.org/drawingml/2006/picture">
                      <pic:pic>
                        <pic:nvPicPr>
                          <pic:cNvPr descr="../Wykresy/praca/fig_02b_sumif.png" id="40" name="Picture"/>
                          <pic:cNvPicPr>
                            <a:picLocks noChangeArrowheads="1" noChangeAspect="1"/>
                          </pic:cNvPicPr>
                        </pic:nvPicPr>
                        <pic:blipFill>
                          <a:blip r:embed="rId38"/>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5: Wykres pudełkowy sumarycznego Impact Factor w dwuczynnikowym układzie uczelnia × stanowisko; oznaczenia grup jednorodnych (CLD) opisano w tekście powyżej.</w:t>
            </w:r>
          </w:p>
          <w:bookmarkEnd w:id="41"/>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5" w:name="fig-npub"/>
          <w:p>
            <w:pPr>
              <w:pStyle w:val="Compact"/>
              <w:jc w:val="center"/>
            </w:pPr>
            <w:r>
              <w:drawing>
                <wp:inline>
                  <wp:extent cx="5334000" cy="3388658"/>
                  <wp:effectExtent b="0" l="0" r="0" t="0"/>
                  <wp:docPr descr="" title="" id="43" name="Picture"/>
                  <a:graphic>
                    <a:graphicData uri="http://schemas.openxmlformats.org/drawingml/2006/picture">
                      <pic:pic>
                        <pic:nvPicPr>
                          <pic:cNvPr descr="../Wykresy/praca/fig_02c_npub.png" id="44" name="Picture"/>
                          <pic:cNvPicPr>
                            <a:picLocks noChangeArrowheads="1" noChangeAspect="1"/>
                          </pic:cNvPicPr>
                        </pic:nvPicPr>
                        <pic:blipFill>
                          <a:blip r:embed="rId42"/>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6: Wykres pudełkowy liczby publikacji w dwuczynnikowym układzie uczelnia × stanowisko; oznaczenia grup jednorodnych (CLD) opisano w tekście powyżej.</w:t>
            </w:r>
          </w:p>
          <w:bookmarkEnd w:id="45"/>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46" w:name="tbl-roznicowanie"/>
          <w:p>
            <w:pPr>
              <w:jc w:val="center"/>
            </w:pPr>
            <w:pPr>
              <w:jc w:val="lef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3074"/>
              <w:gridCol w:w="1579"/>
              <w:gridCol w:w="1412"/>
              <w:gridCol w:w="1828"/>
              <w:gridCol w:w="174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grup CLD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Istotność testu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brak różnic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H to statystyka Kruskala-Wallisa (rozkład chi-kwadrat o df stopniach swobody).</w:t>
                  </w:r>
                </w:p>
              </w:tc>
            </w:tr>
          </w:tbl>
          <w:bookmarkEnd w:id="46"/>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47"/>
    <w:bookmarkStart w:id="55" w:name="X88ab428eb81e048ab5c69c902d08d12ccb60c6c"/>
    <w:p>
      <w:pPr>
        <w:pStyle w:val="Heading2"/>
      </w:pPr>
      <w:r>
        <w:t xml:space="preserve">Typy profili bibliometrycznych badaczy (pytanie 1)</w:t>
      </w:r>
    </w:p>
    <w:p>
      <w:pPr>
        <w:pStyle w:val="FirstParagraph"/>
      </w:pPr>
      <w:r>
        <w:t xml:space="preserve">Analizę przeprowadzono na</w:t>
      </w:r>
      <w:r>
        <w:t xml:space="preserve"> </w:t>
      </w:r>
      <w:r>
        <w:rPr>
          <w:b/>
          <w:bCs/>
        </w:rPr>
        <w:t xml:space="preserve">połączonej próbie wszystkich czterech uczelni</w:t>
      </w:r>
      <w:r>
        <w:t xml:space="preserve">, na czterech porównywalnych, standaryzowanych cechach pełnego pokrycia: h-index WoS, sumarycznym IF, IF na publikację i liczbie publikacji. Objęła ona 449 osób (te spośród 462, dla których dostępny był komplet czterech cech). Dwie pierwsze składowe PCA opisywały łącznie</w:t>
      </w:r>
      <w:r>
        <w:t xml:space="preserve"> </w:t>
      </w:r>
      <w:r>
        <w:rPr>
          <w:b/>
          <w:bCs/>
        </w:rPr>
        <w:t xml:space="preserve">87,9 % wariancji</w:t>
      </w:r>
      <w:r>
        <w:t xml:space="preserve"> </w:t>
      </w:r>
      <w:r>
        <w:t xml:space="preserve">(PC1: 54,1 %, PC2: 33,8 %), więc dobrze streszczały główne różnice między profilami badaczy.</w:t>
      </w:r>
    </w:p>
    <w:p>
      <w:pPr>
        <w:pStyle w:val="BodyText"/>
      </w:pPr>
      <w:r>
        <w:t xml:space="preserve">Liczbę klastrów dobrano metodą sylwetki. Metoda ta sprawdza, czy osoby w danym klastrze są do siebie podobne i jednocześnie wyraźnie różnią się od osób z innych klastrów. Najlepszy wynik uzyskał podział na</w:t>
      </w:r>
      <w:r>
        <w:t xml:space="preserve"> </w:t>
      </w:r>
      <w:r>
        <w:rPr>
          <w:b/>
          <w:bCs/>
        </w:rPr>
        <w:t xml:space="preserve">dwa klastry</w:t>
      </w:r>
      <w:r>
        <w:t xml:space="preserve">.</w:t>
      </w:r>
    </w:p>
    <w:tbl>
      <w:tblPr>
        <w:tblStyle w:val="Table"/>
        <w:tblW w:type="dxa" w:w="9638"/>
        <w:tblLayout w:type="autofit"/>
        <w:tblLook w:firstRow="0" w:lastRow="0" w:firstColumn="0" w:lastColumn="0" w:noHBand="0" w:noVBand="0" w:val="0000"/>
      </w:tblPr>
      <w:tblGrid>
        <w:gridCol w:w="9638"/>
      </w:tblGrid>
      <w:tr>
        <w:tc>
          <w:tcPr/>
          <w:bookmarkStart w:id="51" w:name="fig-klastry"/>
          <w:p>
            <w:pPr>
              <w:pStyle w:val="Compact"/>
              <w:jc w:val="center"/>
            </w:pPr>
            <w:r>
              <w:drawing>
                <wp:inline>
                  <wp:extent cx="5334000" cy="4000499"/>
                  <wp:effectExtent b="0" l="0" r="0" t="0"/>
                  <wp:docPr descr="" title="" id="49" name="Picture"/>
                  <a:graphic>
                    <a:graphicData uri="http://schemas.openxmlformats.org/drawingml/2006/picture">
                      <pic:pic>
                        <pic:nvPicPr>
                          <pic:cNvPr descr="../Wykresy/praca/fig_03a_klastry.png" id="50" name="Picture"/>
                          <pic:cNvPicPr>
                            <a:picLocks noChangeArrowheads="1" noChangeAspect="1"/>
                          </pic:cNvPicPr>
                        </pic:nvPicPr>
                        <pic:blipFill>
                          <a:blip r:embed="rId4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Rysunek 7: Klastrowanie k-means w przestrzeni dwóch pierwszych składowych głównych (PCA).</w:t>
            </w:r>
          </w:p>
          <w:bookmarkEnd w:id="51"/>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2" w:name="tbl-klastry2"/>
          <w:p>
            <w:pPr>
              <w:jc w:val="center"/>
            </w:pPr>
            <w:pPr>
              <w:jc w:val="lef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429"/>
              <w:gridCol w:w="784"/>
              <w:gridCol w:w="1489"/>
              <w:gridCol w:w="1646"/>
              <w:gridCol w:w="1646"/>
              <w:gridCol w:w="164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52"/>
        </w:tc>
      </w:tr>
    </w:tbl>
    <w:p>
      <w:pPr>
        <w:pStyle w:val="BodyText"/>
      </w:pPr>
      <w:r>
        <w:t xml:space="preserve">Sprawdzono też, z czym wiąże się przynależność do klastrów, co rozstrzyga, czy typologia jest cechą uczelni, czy etapu kariery: klastry</w:t>
      </w:r>
      <w:r>
        <w:t xml:space="preserve"> </w:t>
      </w:r>
      <w:r>
        <w:rPr>
          <w:b/>
          <w:bCs/>
        </w:rPr>
        <w:t xml:space="preserve">nie zależą istotnie od uczelni</w:t>
      </w:r>
      <w:r>
        <w:t xml:space="preserve"> </w:t>
      </w:r>
      <w:r>
        <w:t xml:space="preserve">(χ² niezależności p = 0,19; Craméra V = 0,10), ale są</w:t>
      </w:r>
      <w:r>
        <w:t xml:space="preserve"> </w:t>
      </w:r>
      <w:r>
        <w:rPr>
          <w:b/>
          <w:bCs/>
        </w:rPr>
        <w:t xml:space="preserve">wyraźnie powiązane ze stanowiskiem</w:t>
      </w:r>
      <w:r>
        <w:t xml:space="preserve"> </w:t>
      </w:r>
      <w:r>
        <w:t xml:space="preserve">naukowym (p &lt; 0,001; Craméra V = 0,45).</w:t>
      </w:r>
    </w:p>
    <w:p>
      <w:pPr>
        <w:pStyle w:val="BodyText"/>
      </w:pPr>
      <w:r>
        <w:t xml:space="preserve">Oznacza to, że podział badaczy nie wynika głównie z tego, na której uczelni pracują; bardziej odzwierciedla etap kariery i poziom dorobku naukowego. Zbliżony układ profili bibliometrycznych powtarza się więc w czterech uczelniach (z zastrzeżeniami omówionymi niżej przy replikacji w obrębie pojedynczych uczelni).</w:t>
      </w:r>
    </w:p>
    <w:p>
      <w:pPr>
        <w:pStyle w:val="BodyText"/>
      </w:pPr>
      <w:r>
        <w:t xml:space="preserve">Dodatkowo porównano wynik k-means z klastrowaniem hierarchicznym metodą Warda. Zgodność obu metod była umiarkowana (Craméra V = 0,67), ale główny podział na dwie duże grupy był podobny w obu podejściach.</w:t>
      </w:r>
    </w:p>
    <w:p>
      <w:pPr>
        <w:pStyle w:val="BodyText"/>
      </w:pPr>
      <w:r>
        <w:t xml:space="preserve">W celu oceny, czy uzyskana typologia nie wynika wyłącznie z połączenia wszystkich uczelni w jedną próbę, klastrowanie powtórzono osobno dla każdej uczelni. W każdym przypadku przyjęto dwa klastry oraz tę samą skalę standaryzacji cech. Następnie porównano podziały uzyskane w poszczególnych uczelniach z podziałem wyznaczonym dla całej próby, wykorzystując skorygowany indeks Randa (ARI;</w:t>
      </w:r>
      <w:r>
        <w:t xml:space="preserve"> </w:t>
      </w:r>
      <w:hyperlink w:anchor="tbl-replikacja">
        <w:r>
          <w:rPr>
            <w:rStyle w:val="Hyperlink"/>
          </w:rPr>
          <w:t xml:space="preserve">Tabela 4</w:t>
        </w:r>
      </w:hyperlink>
      <w:r>
        <w:t xml:space="preserve">).</w:t>
      </w:r>
    </w:p>
    <w:p>
      <w:pPr>
        <w:pStyle w:val="BodyText"/>
      </w:pPr>
      <w:r>
        <w:t xml:space="preserve">Wyniki wskazują, że podział na grupę badaczy o wysokim dorobku publikacyjnym i pozostałych badaczy odtwarza się względnie dobrze w trzech większych uczelniach: SGGW (ARI = 1,00), URK (ARI = 0,69) i UPWr (ARI = 0,58). Słabszą zgodność uzyskano dla UWM (ARI = 0,30). Wynik ten należy jednak interpretować ostrożnie, ponieważ UWM ma najmniejszą liczebność próby (n = 70). W tej uczelni wymuszenie dwóch klastrów doprowadziło przede wszystkim do wydzielenia niewielkiej, ośmioosobowej grupy badaczy o skrajnie wysokich wartościach wskaźników. Sugeruje to raczej ograniczoną stabilność klastrowania w małej próbie niż rzeczywiście odmienną strukturę profili bibliometrycznych w UWM.</w:t>
      </w:r>
    </w:p>
    <w:tbl>
      <w:tblPr>
        <w:tblStyle w:val="Table"/>
        <w:tblW w:type="dxa" w:w="9638"/>
        <w:tblLayout w:type="autofit"/>
        <w:tblLook w:firstRow="0" w:lastRow="0" w:firstColumn="0" w:lastColumn="0" w:noHBand="0" w:noVBand="0" w:val="0000"/>
      </w:tblPr>
      <w:tblGrid>
        <w:gridCol w:w="9638"/>
      </w:tblGrid>
      <w:tr>
        <w:tc>
          <w:tcPr/>
          <w:bookmarkStart w:id="53" w:name="tbl-replikacja"/>
          <w:p>
            <w:pPr>
              <w:jc w:val="center"/>
            </w:pPr>
            <w:pPr>
              <w:jc w:val="left"/>
              <w:spacing w:before="200"/>
              <w:pStyle w:val="ImageCaption"/>
            </w:pPr>
            <w:r>
              <w:t xml:space="preserve">Tabela 4: Replikacja typologii w obrębie uczelni: centroidy klastra „wysoki dorobek” (k = 2 wymuszone, z-score na skali puli) i zgodność z rozwiązaniem na puli (ARI).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1501"/>
              <w:gridCol w:w="1659"/>
              <w:gridCol w:w="1501"/>
              <w:gridCol w:w="1580"/>
              <w:gridCol w:w="1738"/>
              <w:gridCol w:w="165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 vs pula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ref.</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Centroidy = standaryzowane (z-score, skala puli) średnie cech w klastrze „wysoki dorobek”; k = 2 wymuszone dla porównywalności.</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 skorygowany indeks Randa zgodności lokalnego podziału k = 2 z przypisaniem z puli (1 = identyczny). Pula (n = 449) to wiersz odniesienia (ref.).</w:t>
                  </w:r>
                </w:p>
              </w:tc>
            </w:tr>
          </w:tbl>
          <w:bookmarkEnd w:id="53"/>
        </w:tc>
      </w:tr>
    </w:tbl>
    <w:p>
      <w:pPr>
        <w:pStyle w:val="BodyText"/>
      </w:pPr>
      <w:r>
        <w:t xml:space="preserve">Profil grupy o wysokim dorobku nie jest jednak taki sam we wszystkich uczelniach. W SGGW, URK i UWM grupę tę wyróżniają przede wszystkim wysokie wartości wskaźników skumulowanego wpływu, takich jak h-index i sumaryczny IF. W UPWr ma ona natomiast bardziej ilościowy charakter: badaczy z tej grupy wyróżnia głównie duża liczba publikacji, przy niższym IF przypadającym na jedną publikację. Oznacza to, że ogólna typologia jest podobna w całej badanej dyscyplinie, ale jej szczegółowy profil różni się między uczelniami.</w:t>
      </w:r>
    </w:p>
    <w:p>
      <w:pPr>
        <w:pStyle w:val="BodyText"/>
      </w:pPr>
      <w:r>
        <w:t xml:space="preserve">Podjęto także próbę podziału badaczy na trzy klastry (k = 3). Wariant ten pokazał, że grupa „pozostałych badaczy” nie jest jednorodna: można w niej wyróżnić dwie odmienne podgrupy. Pozwala to uzupełnić główną typologię o trzeci, mniej oczywisty typ profilu bibliometrycznego (</w:t>
      </w:r>
      <w:hyperlink w:anchor="tbl-klastry3">
        <w:r>
          <w:rPr>
            <w:rStyle w:val="Hyperlink"/>
          </w:rPr>
          <w:t xml:space="preserve">Tabela 5</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4" w:name="tbl-klastry3"/>
          <w:p>
            <w:pPr>
              <w:jc w:val="center"/>
            </w:pPr>
            <w:pPr>
              <w:jc w:val="left"/>
              <w:spacing w:before="200"/>
              <w:pStyle w:val="ImageCaption"/>
            </w:pPr>
            <w:r>
              <w:t xml:space="preserve">Tabela 5: Profile trzech klastrów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07"/>
              <w:gridCol w:w="612"/>
              <w:gridCol w:w="1377"/>
              <w:gridCol w:w="1377"/>
              <w:gridCol w:w="1224"/>
              <w:gridCol w:w="214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impact)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FWCI (Field-Weighted Citation Impact) = liczba cytowań prac autora odniesiona do światowej średniej w jego dziedzinie (1,0 = poziom średniej światowej, powyżej 1,0 = wynik ją przewyższający).</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podano wyłącznie opisowo: nie było cechą wejściową klastrowania, lecz służy do niezależnej charakterystyki gotowych klastrów.</w:t>
                  </w:r>
                </w:p>
              </w:tc>
            </w:tr>
          </w:tbl>
          <w:bookmarkEnd w:id="54"/>
        </w:tc>
      </w:tr>
    </w:tbl>
    <w:p>
      <w:pPr>
        <w:pStyle w:val="BodyText"/>
      </w:pPr>
      <w:r>
        <w:t xml:space="preserve">Trzeci klaster można określić jako profil jakościowy. Obejmuje on badaczy o najmniejszym dorobku ilościowym (mediana 19,5 publikacji), ale jednocześnie o najwyższych wskaźnikach jakościowych: IF na publikację wynosi 2,68, a FWCI 2,32. Są to najwyższe wartości spośród wszystkich klastrów. W tej grupie przeważają osoby na wcześniejszym etapie kariery: 63 z 88 osób to asystenci i adiunkci.</w:t>
      </w:r>
    </w:p>
    <w:p>
      <w:pPr>
        <w:pStyle w:val="BodyText"/>
      </w:pPr>
      <w:r>
        <w:t xml:space="preserve">Wynik ten pokazuje, że wysoki wpływ naukowy nie musi wynikać wyłącznie z długiego stażu i dużej liczby publikacji. Poza wielkością dorobku znaczenie ma także jego jakość: wysokie wartości wskaźników osiągają również młodsi badacze z mniejszą liczbą publikacji. Także w wariancie z trzema klastrami typologia pozostaje niezależna od uczelni (Craméra V = 0,10). Jej związek ze stanowiskiem jest natomiast słabszy niż w podziale na dwa klastry (V = 0,38), ponieważ profil jakościowy obejmuje osoby z różnych poziomów hierarchii akademickiej.</w:t>
      </w:r>
    </w:p>
    <w:bookmarkEnd w:id="55"/>
    <w:bookmarkStart w:id="67" w:name="Xbd5b45b451445d4809baed400770e4b8ffa7ad0"/>
    <w:p>
      <w:pPr>
        <w:pStyle w:val="Heading2"/>
      </w:pPr>
      <w:r>
        <w:t xml:space="preserve">Przewidywanie wysokiego wpływu naukowego (pytanie 3)</w:t>
      </w:r>
    </w:p>
    <w:p>
      <w:pPr>
        <w:pStyle w:val="FirstParagraph"/>
      </w:pPr>
      <w:r>
        <w:t xml:space="preserve">Zmienną celu było zaliczenie badacza do grupy 10 % osób o najwyższym sumarycznym IF w całej próbie. Do tej grupy należało 46 z 452 osób, czyli 10,2 % badanych. Model miał więc przewidywać, którzy badacze należą do grupy o najwyższym skumulowanym wpływie publikacyjnym.</w:t>
      </w:r>
    </w:p>
    <w:p>
      <w:pPr>
        <w:pStyle w:val="BodyText"/>
      </w:pPr>
      <w:r>
        <w:t xml:space="preserve">Jako predyktory wykorzystano stanowisko, uczelnię, liczbę publikacji oraz cechy pochodzące z OpenAlex: liczbę unikalnych współautorów, średnią liczbę autorów jednej publikacji i średni FWCI. Z modelu wykluczono h-index oraz sumaryczny IF, ponieważ są one bezpośrednio powiązane ze zmienną celu i mogłyby sztucznie zawyżać jakość predykcji.</w:t>
      </w:r>
    </w:p>
    <w:p>
      <w:pPr>
        <w:pStyle w:val="BodyText"/>
      </w:pPr>
      <w:r>
        <w:t xml:space="preserve">Porównano dwa modele uczenia maszynowego oparte na drzewach decyzyjnych: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Random Forest buduje wiele drzew decyzyjnych na losowych podpróbach danych i cech, a następnie łączy ich predykcje przez głosowanie, co ogranicza ryzyko przeuczenia pojedynczego drzewa. XGBoost tworzy drzewa sekwencyjnie, tak aby każde kolejne korygowało błędy poprzednich (technika gradient boosting), dzięki czemu często osiąga bardzo wysoką skuteczność predykcyjną. Oba modele dobrze radzą sobie z danymi tabelarycznymi, nieliniowymi zależnościami i interakcjami między cechami, bez potrzeby wcześniejszego skalowania zmiennych. Ich parametry dobrano z wykorzystaniem 5-krotnej walidacji krzyżowej, a wyniki na zbiorze testowym przedstawia</w:t>
      </w:r>
      <w:r>
        <w:t xml:space="preserve"> </w:t>
      </w:r>
      <w:hyperlink w:anchor="tbl-modele">
        <w:r>
          <w:rPr>
            <w:rStyle w:val="Hyperlink"/>
          </w:rPr>
          <w:t xml:space="preserve">Tabela 6</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6" w:name="tbl-modele"/>
          <w:p>
            <w:pPr>
              <w:jc w:val="center"/>
            </w:pPr>
            <w:pPr>
              <w:jc w:val="left"/>
              <w:spacing w:before="200"/>
              <w:pStyle w:val="ImageCaption"/>
            </w:pPr>
            <w:r>
              <w:t xml:space="preserve">Tabela 6: Jakość modeli na zbiorze testowym przy domyślnym progu klasyfikacji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570"/>
              <w:gridCol w:w="1767"/>
              <w:gridCol w:w="1767"/>
              <w:gridCol w:w="1767"/>
              <w:gridCol w:w="176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ROC AUC = pole pod krzywą ROC; miara zdolności modelu do odróżniania klas niezależna od progu klasyfikacji (0,5 = poziom losowy, 1,0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 = odsetek wszystkich poprawnych klasyfikacji; czułość = odsetek poprawnie wykrytych osób o wysokim impakcie; swoistość = odsetek poprawnie rozpoznanych osób o niższym impakcie (wszystkie przy progu 0,5).</w:t>
                  </w:r>
                </w:p>
              </w:tc>
            </w:tr>
          </w:tbl>
          <w:bookmarkEnd w:id="56"/>
        </w:tc>
      </w:tr>
    </w:tbl>
    <w:p>
      <w:pPr>
        <w:pStyle w:val="BodyText"/>
      </w:pPr>
      <w:r>
        <w:t xml:space="preserve">Oba modele dobrze rozróżniają osoby o wysokim i niższym wpływie naukowym, o czym świadczy wysoka wartość AUC (ok. 0,93–0,97). Problem pojawia się jednak przy domyślnym progu klasyfikacji 0,5. Ponieważ grupa high-impact jest mała i obejmuje tylko 10 % badanych, modele rzadko przypisują osoby do tej klasy. W efekcie czułość jest niska (0,20–0,30), czyli modele wykrywają tylko część osób o wysokim wpływie.</w:t>
      </w:r>
    </w:p>
    <w:p>
      <w:pPr>
        <w:pStyle w:val="BodyText"/>
      </w:pPr>
      <w:r>
        <w:t xml:space="preserve">Oznacza to, że modele dobrze porządkują badaczy według prawdopodobieństwa wysokiego impactu, ale przy progu 0,5 są zbyt ostrożne w przypisywaniu ich do klasy high-impact. Dlatego sama trafność na poziomie ok. 0,90 może być myląca: podobny wynik można uzyskać, klasyfikując prawie wszystkich badaczy jako osoby spoza grupy wysokiego impactu.</w:t>
      </w:r>
    </w:p>
    <w:p>
      <w:pPr>
        <w:pStyle w:val="BodyText"/>
      </w:pPr>
      <w:r>
        <w:t xml:space="preserve">Ten problem dotyczy przede wszystkim wyboru progu klasyfikacji, a nie samej zdolności modelu do odróżniania osób o wysokim i niższym wpływie naukowym. Dlatego zamiast domyślnego progu 0,5 wyznaczono próg lepiej dopasowany do danych. Zastosowano indeks J Youdena</w:t>
      </w:r>
      <w:r>
        <w:t xml:space="preserve"> </w:t>
      </w:r>
      <w:r>
        <w:t xml:space="preserve">(</w:t>
      </w:r>
      <w:hyperlink w:anchor="ref-youden1950">
        <w:r>
          <w:rPr>
            <w:rStyle w:val="Hyperlink"/>
          </w:rPr>
          <w:t xml:space="preserve">Youden 1950</w:t>
        </w:r>
      </w:hyperlink>
      <w:r>
        <w:t xml:space="preserve">)</w:t>
      </w:r>
      <w:r>
        <w:t xml:space="preserve">, który pozwala znaleźć taki próg, przy którym model możliwie dobrze łączy czułość i swoistość.</w:t>
      </w:r>
    </w:p>
    <w:p>
      <w:pPr>
        <w:pStyle w:val="BodyText"/>
      </w:pPr>
      <w:r>
        <w:t xml:space="preserve">Próg wyznaczono na podstawie predykcji z walidacji krzyżowej, a nie na zbiorze testowym. Dzięki temu zbiór testowy pozostał niezależny. Otrzymany próg wyniósł 0,054, czyli był znacznie niższy niż 0,5. Jest to uzasadnione, ponieważ klasa high-impact obejmuje tylko około 10 % badanych.</w:t>
      </w:r>
    </w:p>
    <w:p>
      <w:pPr>
        <w:pStyle w:val="BodyText"/>
      </w:pPr>
      <w:r>
        <w:t xml:space="preserve">Po zastosowaniu tego progu na zbiorze testowym model Random Forest poprawnie wykrył wszystkie osoby z grupy wysokiego impactu (czułość = 1,00), przy swoistości 0,74. Oznacza to, że model nie pominął żadnej osoby rzeczywiście należącej do tej grupy, ale jednocześnie zaklasyfikował jako high-impact 21 osób, które faktycznie do niej nie należały (</w:t>
      </w:r>
      <w:hyperlink w:anchor="tbl-prog">
        <w:r>
          <w:rPr>
            <w:rStyle w:val="Hyperlink"/>
          </w:rPr>
          <w:t xml:space="preserve">Tabela 7</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7" w:name="tbl-prog"/>
          <w:p>
            <w:pPr>
              <w:jc w:val="center"/>
            </w:pPr>
            <w:pPr>
              <w:jc w:val="left"/>
              <w:spacing w:before="200"/>
              <w:pStyle w:val="ImageCaption"/>
            </w:pPr>
            <w:r>
              <w:t xml:space="preserve">Tabela 7: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23"/>
              <w:gridCol w:w="1422"/>
              <w:gridCol w:w="1580"/>
              <w:gridCol w:w="1343"/>
              <w:gridCol w:w="23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Indeks J Youdena = czułość + swoistość − 1; im wyższy, tym lepsze łączne wykrywanie obu klas (0 = poziom losowy, 1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 = średnia z czułości i swoistości; w przeciwieństwie do zwykłej trafności nie jest zawyżana przez liczebną przewagę klasy negatywnej.</w:t>
                  </w:r>
                </w:p>
              </w:tc>
            </w:tr>
          </w:tbl>
          <w:bookmarkEnd w:id="57"/>
        </w:tc>
      </w:tr>
    </w:tbl>
    <w:p>
      <w:pPr>
        <w:pStyle w:val="BodyText"/>
      </w:pPr>
      <w:r>
        <w:t xml:space="preserve">Tak wysoka czułość wiąże się jednak z kosztem precyzji: spośród osób wskazanych przez model jako wysokiego wpływu znaczna część (21 z około 30 wskazań w zbiorze testowym) to wskazania fałszywie dodatnie. W zastosowaniach wymagających wąskiej, trafnej listy (np. typowanie kandydatów do wyróżnień) próg Youdena może być więc zbyt agresywny, a wybór progu powinien zależeć od tego, czy droższy jest błąd pominięcia, czy fałszywego wskazania.</w:t>
      </w:r>
    </w:p>
    <w:p>
      <w:pPr>
        <w:pStyle w:val="BodyText"/>
      </w:pPr>
      <w:r>
        <w:t xml:space="preserve">Wyniki modelu predykcyjnego oraz analiza ważności cech (ważność permutacyjna Random Forest i wartości SHAP dla XGBoost;</w:t>
      </w:r>
      <w:r>
        <w:t xml:space="preserve"> </w:t>
      </w:r>
      <w:hyperlink w:anchor="fig-waznosc">
        <w:r>
          <w:rPr>
            <w:rStyle w:val="Hyperlink"/>
          </w:rPr>
          <w:t xml:space="preserve">Rysunek 8</w:t>
        </w:r>
      </w:hyperlink>
      <w:r>
        <w:t xml:space="preserve">) pokazały, że największe znaczenie dla przewidywania wysokiego wpływu naukowego miała liczba publikacji. Oznacza to, że osoby z większym dorobkiem publikacyjnym częściej należały do grupy wysokiego impactu. W dalszej kolejności znaczenie miały cechy związane ze współpracą naukową, zwłaszcza liczba unikalnych współautorów, średnia liczba autorów jednej publikacji oraz średni FWCI.</w:t>
      </w:r>
    </w:p>
    <w:p>
      <w:pPr>
        <w:pStyle w:val="BodyText"/>
      </w:pPr>
      <w:r>
        <w:t xml:space="preserve">Stanowisko i uczelnia miały znacznie mniejsze znaczenie dla predykcji. Wynik ten wskazuje, że model przewidywał wysoki impact głównie na podstawie produktywności badacza i jego powiązań współautorskich, a nie na podstawie formalnej pozycji akademickiej czy afiliacji uczelnianej.</w:t>
      </w:r>
    </w:p>
    <w:tbl>
      <w:tblPr>
        <w:tblStyle w:val="Table"/>
        <w:tblW w:type="dxa" w:w="9638"/>
        <w:tblLayout w:type="autofit"/>
        <w:tblLook w:firstRow="0" w:lastRow="0" w:firstColumn="0" w:lastColumn="0" w:noHBand="0" w:noVBand="0" w:val="0000"/>
      </w:tblPr>
      <w:tblGrid>
        <w:gridCol w:w="9638"/>
      </w:tblGrid>
      <w:tr>
        <w:tc>
          <w:tcPr/>
          <w:bookmarkStart w:id="61" w:name="fig-waznosc"/>
          <w:p>
            <w:pPr>
              <w:pStyle w:val="Compact"/>
              <w:jc w:val="center"/>
            </w:pPr>
            <w:r>
              <w:drawing>
                <wp:inline>
                  <wp:extent cx="5334000" cy="3006436"/>
                  <wp:effectExtent b="0" l="0" r="0" t="0"/>
                  <wp:docPr descr="" title="" id="59" name="Picture"/>
                  <a:graphic>
                    <a:graphicData uri="http://schemas.openxmlformats.org/drawingml/2006/picture">
                      <pic:pic>
                        <pic:nvPicPr>
                          <pic:cNvPr descr="../Wykresy/praca/fig_04b_waznosc.png" id="60" name="Picture"/>
                          <pic:cNvPicPr>
                            <a:picLocks noChangeArrowheads="1" noChangeAspect="1"/>
                          </pic:cNvPicPr>
                        </pic:nvPicPr>
                        <pic:blipFill>
                          <a:blip r:embed="rId58"/>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8: Najważniejsze predyktory wysokiego wpływu publikacyjnego w modelu Random Forest (ważność permutacyjna). Kolor oznacza kategorię cechy: produktywność, współpraca i cytowania oraz cechy formalne (uczelnia, stanowisko).</w:t>
            </w:r>
          </w:p>
          <w:bookmarkEnd w:id="61"/>
        </w:tc>
      </w:tr>
    </w:tbl>
    <w:p>
      <w:pPr>
        <w:pStyle w:val="BodyText"/>
      </w:pPr>
      <w:r>
        <w:t xml:space="preserve">W odpowiedzi na pytanie 3 wyniki pokazują, że wysoki wpływ naukowy można przewidywać na podstawie cech strukturalnych badaczy. Model osiągnął bardzo dobrą zdolność rozróżniania osób o wysokim i niższym wpływie naukowym (AUC ok. 0,97).</w:t>
      </w:r>
    </w:p>
    <w:bookmarkStart w:id="66" w:name="X799efba27fc6d09a0b5025f13f38b8866705e0f"/>
    <w:p>
      <w:pPr>
        <w:pStyle w:val="Heading3"/>
      </w:pPr>
      <w:r>
        <w:t xml:space="preserve">Model jakościowy: czy wysoki wpływ publikacyjny zależy tylko od stażu?</w:t>
      </w:r>
    </w:p>
    <w:p>
      <w:pPr>
        <w:pStyle w:val="FirstParagraph"/>
      </w:pPr>
      <w:r>
        <w:t xml:space="preserve">Poprzedni model przewidywał sumaryczny IF, czyli wskaźnik kumulatywny. Taki wskaźnik rośnie wraz z liczbą publikacji, dlatego duże znaczenie liczby publikacji w modelu było oczekiwane. Z tego powodu zbudowano drugi model, który miał sprawdzić nie wielkość dorobku, lecz jego jakość.</w:t>
      </w:r>
    </w:p>
    <w:p>
      <w:pPr>
        <w:pStyle w:val="BodyText"/>
      </w:pPr>
      <w:r>
        <w:t xml:space="preserve">W tym modelu zmienną celu była wysoka jakość publikacji, określona jako średni FWCI większy niż 1. Oznacza to, że publikacje danej osoby były cytowane powyżej średniej światowej w swojej dziedzinie. Do tej grupy należały 234 z 366 osób z dostępnymi danymi OpenAlex, czyli 63,9 %. Z modelu usunięto zmienne bezpośrednio związane z IF, a dodano wiek akademicki, czyli liczbę lat od pierwszej publikacji.</w:t>
      </w:r>
    </w:p>
    <w:p>
      <w:pPr>
        <w:pStyle w:val="BodyText"/>
      </w:pPr>
      <w:r>
        <w:t xml:space="preserve">Wyniki są istotne z dwóch powodów. Po pierwsze, jakość dorobku jest trudniejsza do przewidywania niż jego skumulowana wielkość. AUC modelu jakościowego wyniosło około 0,81 (RF 0,807; XGBoost 0,810), podczas gdy w modelu ilościowym było bliskie 0,97.</w:t>
      </w:r>
    </w:p>
    <w:p>
      <w:pPr>
        <w:pStyle w:val="BodyText"/>
      </w:pPr>
      <w:r>
        <w:t xml:space="preserve">Po drugie, w modelu jakościowym największego znaczenia nie miały ani wiek akademicki, ani liczba publikacji. Najważniejsze okazały się cechy związane ze współpracą naukową, przede wszystkim średnia liczba autorów jednej publikacji oraz liczba unikalnych współautorów. Stanowisko i uczelnia miały niewielkie znaczenie (</w:t>
      </w:r>
      <w:hyperlink w:anchor="fig-waznosc-jakosc">
        <w:r>
          <w:rPr>
            <w:rStyle w:val="Hyperlink"/>
          </w:rPr>
          <w:t xml:space="preserve">Rysunek 9</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65" w:name="fig-waznosc-jakosc"/>
          <w:p>
            <w:pPr>
              <w:pStyle w:val="Compact"/>
              <w:jc w:val="center"/>
            </w:pPr>
            <w:r>
              <w:drawing>
                <wp:inline>
                  <wp:extent cx="5334000" cy="3006436"/>
                  <wp:effectExtent b="0" l="0" r="0" t="0"/>
                  <wp:docPr descr="" title="" id="63" name="Picture"/>
                  <a:graphic>
                    <a:graphicData uri="http://schemas.openxmlformats.org/drawingml/2006/picture">
                      <pic:pic>
                        <pic:nvPicPr>
                          <pic:cNvPr descr="../Wykresy/praca/fig_04c_waznosc_jakosc.png" id="64" name="Picture"/>
                          <pic:cNvPicPr>
                            <a:picLocks noChangeArrowheads="1" noChangeAspect="1"/>
                          </pic:cNvPicPr>
                        </pic:nvPicPr>
                        <pic:blipFill>
                          <a:blip r:embed="rId62"/>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9: Najważniejsze predyktory jakości dorobku w modelu Random Forest. Model przewidywał, czy średni FWCI badacza przekracza 1. Największe znaczenie miały cechy współpracy naukowej, zwłaszcza średnia liczba autorów jednej publikacji i liczba unikalnych współautorów. Wiek akademicki, liczba publikacji, stanowisko i uczelnia miały mniejsze znaczenie. Kolor oznacza kategorię zmiennej.</w:t>
            </w:r>
          </w:p>
          <w:bookmarkEnd w:id="65"/>
        </w:tc>
      </w:tr>
    </w:tbl>
    <w:p>
      <w:pPr>
        <w:pStyle w:val="BodyText"/>
      </w:pPr>
      <w:r>
        <w:t xml:space="preserve">Oznacza to, że wysoki wpływ pojedynczych publikacji częściej wiąże się z pracą w szerszych, wieloautorskich zespołach niż ze stażem, liczbą publikacji czy formalnym stanowiskiem. Podobny wniosek wynikał już z analizy klastrów, w której wyróżniono profil jakościowy obejmujący wielu młodszych badaczy. Pokazuje to, że wysoka jakość dorobku nie musi być związana z długim stażem ani dużą liczbą publikacji.</w:t>
      </w:r>
    </w:p>
    <w:bookmarkEnd w:id="66"/>
    <w:bookmarkEnd w:id="67"/>
    <w:bookmarkStart w:id="77" w:name="sieć-współautorstwa-pytanie-4"/>
    <w:p>
      <w:pPr>
        <w:pStyle w:val="Heading2"/>
      </w:pPr>
      <w:r>
        <w:t xml:space="preserve">Sieć współautorstwa (pytanie 4)</w:t>
      </w:r>
    </w:p>
    <w:p>
      <w:pPr>
        <w:pStyle w:val="FirstParagraph"/>
      </w:pPr>
      <w:r>
        <w:t xml:space="preserve">Sieć współautorstwa utworzono na podstawie danych OpenAlex. Uwzględniono tylko współprace między osobami z badanej próby oraz tylko takie pary autorów, które miały co najmniej dwie wspólne publikacje. Ostateczna sieć obejmowała 367 badaczy i 630 połączeń między nimi.</w:t>
      </w:r>
    </w:p>
    <w:p>
      <w:pPr>
        <w:pStyle w:val="BodyText"/>
      </w:pPr>
      <w:r>
        <w:t xml:space="preserve">Największa spójna część sieci, czyli grupa badaczy połączonych ze sobą bezpośrednio lub pośrednio przez współautorów, liczyła 265 osób. Stanowiło to 72 % wszystkich węzłów sieci. W tej części znajdowało się 595 połączeń. Gęstość sieci wyniosła 0,017, a współczynnik gronowania 0,37.</w:t>
      </w:r>
    </w:p>
    <w:tbl>
      <w:tblPr>
        <w:tblStyle w:val="Table"/>
        <w:tblW w:type="dxa" w:w="9638"/>
        <w:tblLayout w:type="autofit"/>
        <w:tblLook w:firstRow="0" w:lastRow="0" w:firstColumn="0" w:lastColumn="0" w:noHBand="0" w:noVBand="0" w:val="0000"/>
      </w:tblPr>
      <w:tblGrid>
        <w:gridCol w:w="9638"/>
      </w:tblGrid>
      <w:tr>
        <w:tc>
          <w:tcPr/>
          <w:bookmarkStart w:id="71" w:name="fig-siec"/>
          <w:p>
            <w:pPr>
              <w:pStyle w:val="Compact"/>
              <w:jc w:val="center"/>
            </w:pPr>
            <w:r>
              <w:drawing>
                <wp:inline>
                  <wp:extent cx="5067300" cy="4504266"/>
                  <wp:effectExtent b="0" l="0" r="0" t="0"/>
                  <wp:docPr descr="" title="" id="69" name="Picture"/>
                  <a:graphic>
                    <a:graphicData uri="http://schemas.openxmlformats.org/drawingml/2006/picture">
                      <pic:pic>
                        <pic:nvPicPr>
                          <pic:cNvPr descr="../Wykresy/praca/fig_05a_siec.png" id="70" name="Picture"/>
                          <pic:cNvPicPr>
                            <a:picLocks noChangeArrowheads="1" noChangeAspect="1"/>
                          </pic:cNvPicPr>
                        </pic:nvPicPr>
                        <pic:blipFill>
                          <a:blip r:embed="rId68"/>
                          <a:stretch>
                            <a:fillRect/>
                          </a:stretch>
                        </pic:blipFill>
                        <pic:spPr bwMode="auto">
                          <a:xfrm>
                            <a:off x="0" y="0"/>
                            <a:ext cx="5067300" cy="45042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10: Sieć współautorstwa naukowców badanej dyscypliny. Węzły to badacze (kolor oznacza uczelnię, wielkość liczbę połączeń), a krawędzie wspólne publikacje. Skupiska tej samej barwy pokazują, że współpraca koncentruje się wewnątrz uczelni.</w:t>
            </w:r>
          </w:p>
          <w:bookmarkEnd w:id="71"/>
        </w:tc>
      </w:tr>
    </w:tbl>
    <w:p>
      <w:pPr>
        <w:pStyle w:val="BodyText"/>
      </w:pPr>
      <w:r>
        <w:t xml:space="preserve">Wykrywanie wspólnot metodą Louvain pozwoliło wyodrębnić 21 społeczności współautorskich. Metoda ta wyszukuje w sieci grupy silniej połączone wewnętrznie niż z resztą sieci, czyli zespoły badaczy, którzy częściej publikują między sobą niż z osobami spoza grupy. Wysoka modularność (Q = 0,856) wskazuje na wyraźny podział sieci na odrębne środowiska współpracy (</w:t>
      </w:r>
      <w:hyperlink w:anchor="fig-siec">
        <w:r>
          <w:rPr>
            <w:rStyle w:val="Hyperlink"/>
          </w:rPr>
          <w:t xml:space="preserve">Rysunek 10</w:t>
        </w:r>
      </w:hyperlink>
      <w:r>
        <w:t xml:space="preserve">). Modularność przyjmuje wartości od 0 do około 1: im wyższa, tym silniej sieć dzieli się na grupy gęsto połączone wewnątrz i słabo między sobą. Wartości powyżej 0,3–0,4 uznaje się już za wyraźną strukturę społecznościową, więc poziom 0,856 jest bardzo wysoki.</w:t>
      </w:r>
    </w:p>
    <w:p>
      <w:pPr>
        <w:pStyle w:val="BodyText"/>
      </w:pPr>
      <w:r>
        <w:t xml:space="preserve">Następnie sprawdzono, czy te społeczności pokrywają się raczej z podziałem na uczelnie, czy na stanowiska. Porównano w tym celu podział sieci na społeczności z podziałem według uczelni oraz według stanowiska, używając skorygowanego indeksu Randa (ARI)</w:t>
      </w:r>
      <w:r>
        <w:t xml:space="preserve"> </w:t>
      </w:r>
      <w:r>
        <w:t xml:space="preserve">(</w:t>
      </w:r>
      <w:hyperlink w:anchor="ref-hubert1985">
        <w:r>
          <w:rPr>
            <w:rStyle w:val="Hyperlink"/>
          </w:rPr>
          <w:t xml:space="preserve">Hubert i Arabie 1985</w:t>
        </w:r>
      </w:hyperlink>
      <w:r>
        <w:t xml:space="preserve">)</w:t>
      </w:r>
      <w:r>
        <w:t xml:space="preserve"> </w:t>
      </w:r>
      <w:r>
        <w:t xml:space="preserve">i znormalizowanej informacji wzajemnej (NMI). Obie miary mówią, jak bardzo dwa podziały są do siebie podobne. Przyjmują wartość 1, gdy podziały są identyczne, i wartości bliskie 0, gdy są zasadniczo niezależne (dla ARI poziom 0 odpowiada zgodności na poziomie losowym, a nie brakowi wspólnych elementów); im wyższa wartość, tym większa zgodność (</w:t>
      </w:r>
      <w:hyperlink w:anchor="tbl-spolecznosci">
        <w:r>
          <w:rPr>
            <w:rStyle w:val="Hyperlink"/>
          </w:rPr>
          <w:t xml:space="preserve">Tabela 8</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72" w:name="tbl-spolecznosci"/>
          <w:p>
            <w:pPr>
              <w:jc w:val="center"/>
            </w:pPr>
            <w:pPr>
              <w:jc w:val="left"/>
              <w:spacing w:before="200"/>
              <w:pStyle w:val="ImageCaption"/>
            </w:pPr>
            <w:r>
              <w:t xml:space="preserve">Tabela 8: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5484"/>
              <w:gridCol w:w="2077"/>
              <w:gridCol w:w="20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(skorygowany indeks Randa) i NMI (znormalizowana informacja wzajemna) mierzą zgodność dwóch podziałów.</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Wartość 1 oznacza podziały identyczne, a wartości bliskie 0 podziały niezależne (dla ARI poziom 0 odpowiada zgodności losowej, a nie brakowi wspólnych elementów).</w:t>
                  </w:r>
                </w:p>
              </w:tc>
            </w:tr>
          </w:tbl>
          <w:bookmarkEnd w:id="72"/>
        </w:tc>
      </w:tr>
    </w:tbl>
    <w:tbl>
      <w:tblPr>
        <w:tblStyle w:val="Table"/>
        <w:tblW w:type="dxa" w:w="9638"/>
        <w:tblLayout w:type="autofit"/>
        <w:tblLook w:firstRow="0" w:lastRow="0" w:firstColumn="0" w:lastColumn="0" w:noHBand="0" w:noVBand="0" w:val="0000"/>
      </w:tblPr>
      <w:tblGrid>
        <w:gridCol w:w="9638"/>
      </w:tblGrid>
      <w:tr>
        <w:tc>
          <w:tcPr/>
          <w:bookmarkStart w:id="76" w:name="fig-spolecznosci"/>
          <w:p>
            <w:pPr>
              <w:pStyle w:val="Compact"/>
              <w:jc w:val="center"/>
            </w:pPr>
            <w:r>
              <w:drawing>
                <wp:inline>
                  <wp:extent cx="5334000" cy="6096000"/>
                  <wp:effectExtent b="0" l="0" r="0" t="0"/>
                  <wp:docPr descr="" title="" id="74" name="Picture"/>
                  <a:graphic>
                    <a:graphicData uri="http://schemas.openxmlformats.org/drawingml/2006/picture">
                      <pic:pic>
                        <pic:nvPicPr>
                          <pic:cNvPr descr="../Wykresy/praca/fig_05b_spolecznosci.png" id="75" name="Picture"/>
                          <pic:cNvPicPr>
                            <a:picLocks noChangeArrowheads="1" noChangeAspect="1"/>
                          </pic:cNvPicPr>
                        </pic:nvPicPr>
                        <pic:blipFill>
                          <a:blip r:embed="rId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11: Zgodność społeczności Louvain z uczelnią. Każdy wiersz to jedna społeczność (uporządkowane według wielkości); wartość i intensywność oznaczają udział danej uczelni, a kolor typ społeczności: czerwień to społeczność jednouczelniana, turkus to społeczność mieszana (współpraca międzyuczelniana). Niemal wszystkie społeczności są jednorodne uczelniano.</w:t>
            </w:r>
          </w:p>
          <w:bookmarkEnd w:id="76"/>
        </w:tc>
      </w:tr>
    </w:tbl>
    <w:p>
      <w:pPr>
        <w:pStyle w:val="BodyText"/>
      </w:pPr>
      <w:r>
        <w:t xml:space="preserve">Społeczności współautorskie są znacznie silniej związane z uczelnią niż ze stanowiskiem. Zgodność społeczności z uczelnią jest wyraźna (NMI = 0,58), natomiast zgodność ze stanowiskiem jest bardzo słaba (NMI = 0,09). Oznacza to, że autorzy łączą się w grupy współpracy głównie według afiliacji uczelnianej, a nie według pozycji akademickiej.</w:t>
      </w:r>
    </w:p>
    <w:p>
      <w:pPr>
        <w:pStyle w:val="BodyText"/>
      </w:pPr>
      <w:r>
        <w:t xml:space="preserve">Potwierdza to heatmapa zgodności (</w:t>
      </w:r>
      <w:hyperlink w:anchor="fig-spolecznosci">
        <w:r>
          <w:rPr>
            <w:rStyle w:val="Hyperlink"/>
          </w:rPr>
          <w:t xml:space="preserve">Rysunek 11</w:t>
        </w:r>
      </w:hyperlink>
      <w:r>
        <w:t xml:space="preserve">). Większość społeczności składa się w całości lub prawie w całości z osób z jednej uczelni. Społeczności międzyuczelniane występują, ale są nieliczne. Współpraca naukowa w badanej dyscyplinie ma więc przede wszystkim charakter wewnątrzinstytucjonalny.</w:t>
      </w:r>
    </w:p>
    <w:p>
      <w:pPr>
        <w:pStyle w:val="BodyText"/>
      </w:pPr>
      <w:r>
        <w:t xml:space="preserve">Najwyższą centralność stopnia, czyli największą liczbę bezpośrednich powiązań współautorskich, osiąga profesor z URK (S. Smoleń). Wśród najbardziej centralnych osób znajduje się także grupa badaczy gleboznawczych z UPWr.</w:t>
      </w:r>
    </w:p>
    <w:bookmarkEnd w:id="77"/>
    <w:bookmarkEnd w:id="78"/>
    <w:bookmarkStart w:id="88" w:name="dyskusja"/>
    <w:p>
      <w:pPr>
        <w:pStyle w:val="Heading1"/>
      </w:pPr>
      <w:r>
        <w:t xml:space="preserve">Dyskusja</w:t>
      </w:r>
    </w:p>
    <w:bookmarkStart w:id="79" w:name="X8e8cd80b7d1e8d8e23d38bfd67a798253a95b88"/>
    <w:p>
      <w:pPr>
        <w:pStyle w:val="Heading2"/>
      </w:pPr>
      <w:r>
        <w:t xml:space="preserve">Dwoistość: profil indywidualny a struktura współpracy</w:t>
      </w:r>
    </w:p>
    <w:p>
      <w:pPr>
        <w:pStyle w:val="FirstParagraph"/>
      </w:pPr>
      <w:r>
        <w:t xml:space="preserve">Analiza danych wykazuje, że indywidualny dorobek naukowców i ich współpraca naukowa układają się według różnych zasad. Dorobek pojedynczych badaczy jest związany przede wszystkim ze stanowiskiem, czyli pośrednio ze stażem i etapem kariery. Pokazały to zarówno porównania wskaźników bibliometrycznych, jak i analiza klastrów. Wskaźniki dorobku rosną zwykle od adiunktów, przez profesorów uczelni, do profesorów. Również przynależność do klastra o wysokim dorobku jest silnie związana ze stanowiskiem (Craméra V = 0,45), a tylko słabo z uczelnią (V = 0,10).</w:t>
      </w:r>
    </w:p>
    <w:p>
      <w:pPr>
        <w:pStyle w:val="BodyText"/>
      </w:pPr>
      <w:r>
        <w:t xml:space="preserve">Warto odnotować bardzo wysoką korelację sumarycznego IF z punktacją MEiN (r = 0,95, w trzech uczelniach udostępniających tę metrykę). Na poziomie zagregowanym polski system punktacji czasopism, mimo powszechnej krytyki jego stabilności, w analizowanej dyscyplinie silnie odzwierciedla międzynarodowy Impact Factor. Spójnie z tym wskaźnik IF / MEiN nie różnicował istotnie badanych grup (p = 0,075), co sugeruje, że relacja punktów do IF jest zbliżona niezależnie od uczelni i stanowiska, choć przy granicznej istotności wniosek ten wymaga ostrożności.</w:t>
      </w:r>
    </w:p>
    <w:p>
      <w:pPr>
        <w:pStyle w:val="BodyText"/>
      </w:pPr>
      <w:r>
        <w:t xml:space="preserve">Inaczej wygląda sieć współautorstwa. Wspólnoty wykryte w sieci pokrywają się przede wszystkim z uczelnią, a nie ze stanowiskiem. Zgodność społeczności z uczelnią jest wyraźna (NMI = 0,58), natomiast zgodność ze stanowiskiem jest bardzo słaba (NMI = 0,09). Oznacza to, że badacze o podobnym poziomie dorobku mogą pracować w różnych uczelniach, ale faktyczna współpraca naukowa najczęściej przebiega wewnątrz instytucji.</w:t>
      </w:r>
    </w:p>
    <w:p>
      <w:pPr>
        <w:pStyle w:val="BodyText"/>
      </w:pPr>
      <w:r>
        <w:t xml:space="preserve">Innymi słowy, profil bibliometryczny naukowca zależy głównie od etapu kariery, a nie od macierzystej uczelni. Natomiast struktura współpracy naukowej jest związana przede wszystkim z afiliacją. Badacze najczęściej współpracują z osobami z tej samej instytucji, a współprace międzyuczelniane są stosunkowo nieliczne. Potwierdza to wysoka modularność sieci (Q = 0,856), wskazująca na wyraźnie oddzielone grupy współautorskie.</w:t>
      </w:r>
    </w:p>
    <w:p>
      <w:pPr>
        <w:pStyle w:val="BodyText"/>
      </w:pPr>
      <w:r>
        <w:t xml:space="preserve">Taki układ może wynikać ze specyfiki nauk rolniczych. W tej dziedzinie część badań jest silnie związana z lokalną infrastrukturą i warunkami prowadzenia eksperymentów, takimi jak pola doświadczalne, stacje badawcze czy lokalne uwarunkowania glebowo-klimatyczne. Może to sprzyjać współpracy w obrębie tej samej uczelni lub ośrodka badawczego.</w:t>
      </w:r>
    </w:p>
    <w:bookmarkEnd w:id="79"/>
    <w:bookmarkStart w:id="80" w:name="X55d3951ebce5c318a1ba2b13bef613b3921736b"/>
    <w:p>
      <w:pPr>
        <w:pStyle w:val="Heading2"/>
      </w:pPr>
      <w:r>
        <w:t xml:space="preserve">Predyktory wysokiego wpływu publikacyjnego</w:t>
      </w:r>
    </w:p>
    <w:p>
      <w:pPr>
        <w:pStyle w:val="FirstParagraph"/>
      </w:pPr>
      <w:r>
        <w:t xml:space="preserve">Modelowanie predykcyjne pokazuje, że wysoki wpływ publikacyjny, zdefiniowany jako przynależność do górnego decyla sumarycznego IF, można dobrze przewidywać na podstawie cech strukturalnych badaczy. Model osiągnął bardzo dobrą zdolność rozróżniania osób o wysokim i niższym wpływie publikacyjnym (AUC ok. 0,97). Najważniejsze znaczenie miały liczba publikacji oraz cechy współpracy naukowej, zwłaszcza liczba unikalnych współautorów i średni FWCI. Znacznie mniejsze znaczenie miały natomiast stanowisko i uczelnia.</w:t>
      </w:r>
    </w:p>
    <w:p>
      <w:pPr>
        <w:pStyle w:val="BodyText"/>
      </w:pPr>
      <w:r>
        <w:t xml:space="preserve">Wynik ten sugeruje, że wysoki skumulowany wpływ publikacyjny wiąże się przede wszystkim z produktywnością oraz udziałem w sieci współpracy, a nie bezpośrednio z formalną pozycją akademicką czy afiliacją. Niska czułość modelu przy domyślnym progu klasyfikacji 0,5 wynikała głównie z niedopasowania progu do rzadkiej klasy high-impact, a nie ze słabej jakości modelu. Po obniżeniu progu na podstawie danych walidacyjnych model poprawnie identyfikował wszystkie osoby z grupy wysokiego wpływu publikacyjnego (czułość = 1,00), przy zbalansowanej trafności 0,87.</w:t>
      </w:r>
    </w:p>
    <w:p>
      <w:pPr>
        <w:pStyle w:val="BodyText"/>
      </w:pPr>
      <w:r>
        <w:t xml:space="preserve">Model jakościowy uzupełnia tę interpretację. Gdy zmienną celu była jakość dorobku, zdefiniowana jako średni FWCI większy niż 1, wyniki były słabsze niż w modelu ilościowym (AUC ok. 0,81). Zmieniła się także hierarchia predyktorów. Liczba publikacji i wiek akademicki miały mniejsze znaczenie, natomiast na pierwszy plan wysunęły się cechy współpracy naukowej, zwłaszcza średnia liczba autorów jednej publikacji oraz liczba unikalnych współautorów.</w:t>
      </w:r>
    </w:p>
    <w:p>
      <w:pPr>
        <w:pStyle w:val="BodyText"/>
      </w:pPr>
      <w:r>
        <w:t xml:space="preserve">Oznacza to, że skumulowany wpływ publikacyjny jest silnie związany z wielkością dorobku, ale jakość pojedynczych publikacji zależy bardziej od sposobu współpracy naukowej niż od stażu czy formalnego stanowiska. Wynik ten pokazuje, że wysoki wpływ publikacyjny nie jest wyłącznie efektem długiego stażu akademickiego. Podobny wniosek wynikał już z analizy klastrów, w której wyróżniono profil jakościowy obejmujący wielu młodszych badaczy.</w:t>
      </w:r>
    </w:p>
    <w:p>
      <w:pPr>
        <w:pStyle w:val="BodyText"/>
      </w:pPr>
      <w:r>
        <w:t xml:space="preserve">Spójny obraz daje też wariant klastrowania k = 3, w którym wyodrębniono profil jakościowy zdominowany przez asystentów i adiunktów o wysokim FWCI i IF na publikację. Może to odzwierciedlać zmianę pokoleniową, w której młodsi badacze częściej publikują w prestiżowych czasopismach o szerokim zasięgu, w ramach większych zespołów współautorskich, zamiast budować dużą liczbę prac o niższym oddziaływaniu. Ponieważ dane mają charakter przekrojowy, interpretację tę należy traktować jako hipotezę: nie można odróżnić rzeczywistego efektu pokoleniowego od efektu etapu kariery ani od selekcji osób pozostających w nauce.</w:t>
      </w:r>
    </w:p>
    <w:bookmarkEnd w:id="80"/>
    <w:bookmarkStart w:id="81" w:name="kategoria-ewaluacyjna-mein"/>
    <w:p>
      <w:pPr>
        <w:pStyle w:val="Heading2"/>
      </w:pPr>
      <w:r>
        <w:t xml:space="preserve">Kategoria ewaluacyjna MEiN</w:t>
      </w:r>
    </w:p>
    <w:p>
      <w:pPr>
        <w:pStyle w:val="FirstParagraph"/>
      </w:pPr>
      <w:r>
        <w:t xml:space="preserve">Kategorii ewaluacyjnej MEiN nie można było analizować jako niezależnego czynnika, ponieważ w badanej próbie była ona ściśle powiązana z uczelnią. Tylko UWM miała kategorię B+, natomiast pozostałe trzy uczelnie miały kategorię A. Nie da się więc rozstrzygnąć, czy ewentualne różnice wynikają z kategorii ewaluacyjnej, czy ze specyfiki konkretnej uczelni.</w:t>
      </w:r>
    </w:p>
    <w:p>
      <w:pPr>
        <w:pStyle w:val="BodyText"/>
      </w:pPr>
      <w:r>
        <w:t xml:space="preserve">Na poziomie opisowym UWM nie wypada jednak wyraźnie słabiej niż uczelnie kategorii A. Mediany jej wskaźników bibliometrycznych mieszczą się w zakresie wartości obserwowanych w pozostałych uczelniach. Sugeruje to, że formalna kategoria ewaluacyjna nie musi bezpośrednio przekładać się na indywidualne wskaźniki bibliometryczne badanych pracowników.</w:t>
      </w:r>
    </w:p>
    <w:p>
      <w:pPr>
        <w:pStyle w:val="BodyText"/>
      </w:pPr>
      <w:r>
        <w:t xml:space="preserve">Wniosek ten należy jednak traktować ostrożnie. W badaniu uwzględniono tylko jedną uczelnię z kategorią B+, dlatego zależność między kategorią ewaluacyjną a indywidualnym dorobkiem naukowców wymagałaby sprawdzenia na większej próbie uczelni.</w:t>
      </w:r>
    </w:p>
    <w:bookmarkEnd w:id="81"/>
    <w:bookmarkStart w:id="86" w:name="Xc8114be83f87911a3e825982079ac6b9186de2d"/>
    <w:p>
      <w:pPr>
        <w:pStyle w:val="Heading2"/>
      </w:pPr>
      <w:r>
        <w:t xml:space="preserve">Dynamika rozwoju a wrażliwość na źródło danych</w:t>
      </w:r>
    </w:p>
    <w:p>
      <w:pPr>
        <w:pStyle w:val="FirstParagraph"/>
      </w:pPr>
      <w:r>
        <w:t xml:space="preserve">Statyczną analizę dorobku uzupełniono analizą tempa rozwoju produktywności publikacyjnej poszczególnych uczelni. Tempo to mierzono jako roczny wzrost liczby publikacji na badacza w latach 2008–2024. Analizę wykonano dwukrotnie: najpierw na podstawie danych OpenAlex, a następnie na podstawie pełnych list publikacji z systemu Omega-PSIR.</w:t>
      </w:r>
    </w:p>
    <w:p>
      <w:pPr>
        <w:pStyle w:val="BodyText"/>
      </w:pPr>
      <w:r>
        <w:t xml:space="preserve">Wyniki okazały się silnie zależne od źródła danych. W danych OpenAlex wszystkie uczelnie miały bardzo podobne tempo wzrostu, mieszczące się w wąskim zakresie od 4,0 % do 4,6 % rocznie. Najwyższą wartość uzyskała SGGW (4,6 %), następnie URK (4,2 %), UPWr (4,1 %) i UWM (4,0 %). Na podstawie OpenAlex trudno więc wskazać wyraźne różnice między uczelniami.</w:t>
      </w:r>
    </w:p>
    <w:p>
      <w:pPr>
        <w:pStyle w:val="BodyText"/>
      </w:pPr>
      <w:r>
        <w:t xml:space="preserve">Inny obraz uzyskano po powtórzeniu analizy na pełnych listach publikacji Omega-PSIR, obejmujących 491 osób i także te publikacje, które nie są indeksowane w OpenAlex, np. część polskich czasopism i monografii. W tym ujęciu najwyższe tempo wzrostu miały URK (5,4 %) i UWM (4,9 %), natomiast niższe UPWr (2,7 %) i SGGW (1,2 %) (</w:t>
      </w:r>
      <w:hyperlink w:anchor="fig-dynamika">
        <w:r>
          <w:rPr>
            <w:rStyle w:val="Hyperlink"/>
          </w:rPr>
          <w:t xml:space="preserve">Rysunek 12</w:t>
        </w:r>
      </w:hyperlink>
      <w:r>
        <w:t xml:space="preserve">). Najbardziej widoczna różnica dotyczy SGGW: w danych OpenAlex uczelnia ta miała najwyższe tempo wzrostu, natomiast w danych Omega-PSIR znalazła się na ostatnim miejscu.</w:t>
      </w:r>
    </w:p>
    <w:p>
      <w:pPr>
        <w:pStyle w:val="BodyText"/>
      </w:pPr>
      <w:r>
        <w:t xml:space="preserve">Wynik ten utrzymał się także po ograniczeniu analizy do osób o dłuższym stażu publikacyjnym, czyli takich, których pierwsza publikacja ukazała się nie później niż w 2010 r. Oznacza to, że obserwowane różnice nie wynikają wyłącznie z napływu młodszych badaczy do próby.</w:t>
      </w:r>
    </w:p>
    <w:tbl>
      <w:tblPr>
        <w:tblStyle w:val="Table"/>
        <w:tblW w:type="dxa" w:w="9638"/>
        <w:tblLayout w:type="autofit"/>
        <w:tblLook w:firstRow="0" w:lastRow="0" w:firstColumn="0" w:lastColumn="0" w:noHBand="0" w:noVBand="0" w:val="0000"/>
      </w:tblPr>
      <w:tblGrid>
        <w:gridCol w:w="9638"/>
      </w:tblGrid>
      <w:tr>
        <w:tc>
          <w:tcPr/>
          <w:bookmarkStart w:id="85" w:name="fig-dynamika"/>
          <w:p>
            <w:pPr>
              <w:pStyle w:val="Compact"/>
              <w:jc w:val="center"/>
            </w:pPr>
            <w:r>
              <w:drawing>
                <wp:inline>
                  <wp:extent cx="4267200" cy="2607733"/>
                  <wp:effectExtent b="0" l="0" r="0" t="0"/>
                  <wp:docPr descr="" title="" id="83" name="Picture"/>
                  <a:graphic>
                    <a:graphicData uri="http://schemas.openxmlformats.org/drawingml/2006/picture">
                      <pic:pic>
                        <pic:nvPicPr>
                          <pic:cNvPr descr="../Wykresy/praca/fig_06_dynamika_porownanie.png" id="84" name="Picture"/>
                          <pic:cNvPicPr>
                            <a:picLocks noChangeArrowheads="1" noChangeAspect="1"/>
                          </pic:cNvPicPr>
                        </pic:nvPicPr>
                        <pic:blipFill>
                          <a:blip r:embed="rId82"/>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12: Roczne tempo wzrostu liczby publikacji na badacza według danych OpenAlex i Omega-PSIR. Linie pokazują 95% przedziały ufności. Wyniki wskazują, że ocena dynamiki rozwoju uczelni zależy od źródła danych.</w:t>
            </w:r>
          </w:p>
          <w:bookmarkEnd w:id="85"/>
        </w:tc>
      </w:tr>
    </w:tbl>
    <w:p>
      <w:pPr>
        <w:pStyle w:val="BodyText"/>
      </w:pPr>
      <w:r>
        <w:t xml:space="preserve">Różnice między wynikami z OpenAlex i Omega-PSIR nie wynikają przede wszystkim z problemów z dopasowaniem autorów do OpenAlex. Po poprawieniu dopasowania URK z 47,5 % do 77,8 % wyniki OpenAlex nadal pokazują bardzo podobne tempo wzrostu we wszystkich uczelniach, na poziomie około 4 %. Natomiast pełne dane z Omega-PSIR ujawniają większe różnice między uczelniami, od 1,2 % do 5,4 %. Oznacza to, że głównym źródłem rozbieżności jest raczej niepełne pokrycie publikacji w OpenAlex niż sam błąd dopasowania autorów.</w:t>
      </w:r>
    </w:p>
    <w:p>
      <w:pPr>
        <w:pStyle w:val="BodyText"/>
      </w:pPr>
      <w:r>
        <w:t xml:space="preserve">OpenAlex nie obejmuje wszystkich publikacji widocznych w systemach Omega-PSIR, zwłaszcza części publikacji w polskich czasopismach i monografii. Dlatego może zaniżać lub zniekształcać obraz dorobku, szczególnie w analizach porównujących uczelnie.</w:t>
      </w:r>
    </w:p>
    <w:p>
      <w:pPr>
        <w:pStyle w:val="BodyText"/>
      </w:pPr>
      <w:r>
        <w:t xml:space="preserve">Wynik ten potwierdza główne założenie metodyczne pracy: w porównaniach międzyuczelnianych ważna jest nie tylko dostępność danych, ale także ich kompletność i porównywalność. Ten sam wskaźnik tempa rozwoju prowadzi do innych wniosków w zależności od źródła danych.</w:t>
      </w:r>
    </w:p>
    <w:p>
      <w:pPr>
        <w:pStyle w:val="BodyText"/>
      </w:pPr>
      <w:r>
        <w:t xml:space="preserve">Różnice między uczelniami należy jednak interpretować ostrożnie, ponieważ przedziały ufności są szerokie i częściowo się nakładają. Bardziej wiarygodny jest ogólny podział na uczelnie o wyższym tempie wzrostu (URK, UWM) oraz uczelnie o bardziej ustabilizowanej produktywności (UPWr, SGGW), niż dokładny ranking uczelni.</w:t>
      </w:r>
    </w:p>
    <w:bookmarkEnd w:id="86"/>
    <w:bookmarkStart w:id="87" w:name="ograniczenia-badania"/>
    <w:p>
      <w:pPr>
        <w:pStyle w:val="Heading2"/>
      </w:pPr>
      <w:r>
        <w:t xml:space="preserve">Ograniczenia badania</w:t>
      </w:r>
    </w:p>
    <w:p>
      <w:pPr>
        <w:pStyle w:val="Compact"/>
        <w:numPr>
          <w:ilvl w:val="0"/>
          <w:numId w:val="1003"/>
        </w:numPr>
      </w:pPr>
      <w:r>
        <w:t xml:space="preserve">Wskaźniki bibliometryczne nie odtwarzają oficjalnej ewaluacji. Analiza opiera się na zagregowanych wskaźnikach przypisanych do autorów, takich jak liczba publikacji, h-index, sumaryczny IF czy punktacja MEiN. Wskaźniki te przybliżają indywidualny dorobek naukowy, ale nie odtwarzają oficjalnego algorytmu ewaluacji jakości działalności naukowej. Oficjalna ewaluacja działa na poziomie uczelni i dyscypliny, uwzględnia udziały jednostkowe autorów, sloty publikacyjne oraz punktację ministerialną, a nie Impact Factor</w:t>
      </w:r>
      <w:r>
        <w:t xml:space="preserve"> </w:t>
      </w:r>
      <w:r>
        <w:t xml:space="preserve">(</w:t>
      </w:r>
      <w:hyperlink w:anchor="ref-rozp_ewaluacja2022">
        <w:r>
          <w:rPr>
            <w:rStyle w:val="Hyperlink"/>
          </w:rPr>
          <w:t xml:space="preserve">Minister Edukacji i Nauki 2022</w:t>
        </w:r>
      </w:hyperlink>
      <w:r>
        <w:t xml:space="preserve">)</w:t>
      </w:r>
      <w:r>
        <w:t xml:space="preserve">. Wyników nie należy więc bezpośrednio przekładać na kategorie ewaluacyjne uczelni.</w:t>
      </w:r>
    </w:p>
    <w:p>
      <w:pPr>
        <w:pStyle w:val="Compact"/>
        <w:numPr>
          <w:ilvl w:val="0"/>
          <w:numId w:val="1003"/>
        </w:numPr>
      </w:pPr>
      <w:r>
        <w:t xml:space="preserve">Kategoria ewaluacyjna jest powiązana z uczelnią. W badanej próbie tylko UWM ma kategorię B+, a pozostałe trzy uczelnie mają kategorię A. Nie można więc oddzielić wpływu kategorii ewaluacyjnej od specyfiki konkretnej uczelni. Z tego powodu kategorię MEiN potraktowano wyłącznie opisowo.</w:t>
      </w:r>
    </w:p>
    <w:p>
      <w:pPr>
        <w:pStyle w:val="Compact"/>
        <w:numPr>
          <w:ilvl w:val="0"/>
          <w:numId w:val="1003"/>
        </w:numPr>
      </w:pPr>
      <w:r>
        <w:t xml:space="preserve">Nie wszystkie uczelnie udostępniają te same metryki. SGGW nie udostępnia sumarycznej punktacji MEiN, a UWM nie udostępnia wskaźnika SNIP. Dlatego część analiz musiała zostać ograniczona do uczelni, dla których dane były dostępne. Ogranicza to porównywalność niektórych wskaźników między uczelniami.</w:t>
      </w:r>
    </w:p>
    <w:p>
      <w:pPr>
        <w:pStyle w:val="Compact"/>
        <w:numPr>
          <w:ilvl w:val="0"/>
          <w:numId w:val="1003"/>
        </w:numPr>
      </w:pPr>
      <w:r>
        <w:t xml:space="preserve">Punktacja MEiN zmieniała się w czasie. Sumaryczna punktacja MEiN obejmuje publikacje oceniane według różnych zasad i wykazów czasopism. Dane z systemu Omega-PSIR podają ją jako jedną wartość zbiorczą, bez rozbicia na okresy. Nie można więc sprawdzić, jak zmiany zasad punktacji wpływały na wynik poszczególnych osób.</w:t>
      </w:r>
    </w:p>
    <w:p>
      <w:pPr>
        <w:pStyle w:val="Compact"/>
        <w:numPr>
          <w:ilvl w:val="0"/>
          <w:numId w:val="1003"/>
        </w:numPr>
      </w:pPr>
      <w:r>
        <w:t xml:space="preserve">Dopasowanie do OpenAlex nie było pełne. Średnio do OpenAlex dopasowano 79,4 % badaczy. Najniższy poziom dopasowania wystąpił w UWM (67,1 %). Oznacza to, że metryki pochodzące z OpenAlex, takie jak FWCI i dane o współautorstwie, dotyczą tylko części próby i mogą być obciążone brakami danych. Dopasowanie miało przy tym charakter automatyczny (filtr ROR + próg Jaro-Winklera), bez ręcznej weryfikacji każdego rekordu, co przy nazwiskach popularnych może być źródłem pojedynczych błędnych przypisań.</w:t>
      </w:r>
    </w:p>
    <w:p>
      <w:pPr>
        <w:pStyle w:val="Compact"/>
        <w:numPr>
          <w:ilvl w:val="0"/>
          <w:numId w:val="1003"/>
        </w:numPr>
      </w:pPr>
      <w:r>
        <w:t xml:space="preserve">Dane mają charakter przekrojowy. Analiza pokazuje stan dorobku osób zatrudnionych w momencie pozyskania danych. Wskaźniki takie jak h-index, liczba publikacji i sumaryczny IF rosną wraz ze stażem, dlatego część różnic między stanowiskami może wynikać po prostu z długości kariery naukowej.</w:t>
      </w:r>
    </w:p>
    <w:p>
      <w:pPr>
        <w:pStyle w:val="Compact"/>
        <w:numPr>
          <w:ilvl w:val="0"/>
          <w:numId w:val="1003"/>
        </w:numPr>
      </w:pPr>
      <w:r>
        <w:t xml:space="preserve">Model ilościowy miał małą klasę pozytywną. W modelu przewidującym wysoki wpływ publikacyjny grupa pozytywna liczyła 46 osób. Mimo zastosowania walidacji krzyżowej i kalibracji progu wyniki tego modelu należy traktować jako orientacyjne.</w:t>
      </w:r>
    </w:p>
    <w:p>
      <w:pPr>
        <w:pStyle w:val="Compact"/>
        <w:numPr>
          <w:ilvl w:val="0"/>
          <w:numId w:val="1003"/>
        </w:numPr>
      </w:pPr>
      <w:r>
        <w:t xml:space="preserve">Model jakościowy opierał się tylko na osobach dopasowanych do OpenAlex. Model FWCI &gt; 1 obejmował 366 osób, czyli tylko część próby. Także wiek akademicki, liczony na podstawie pierwszej publikacji w OpenAlex, jest przybliżeniem rzeczywistego stażu badacza.</w:t>
      </w:r>
    </w:p>
    <w:p>
      <w:pPr>
        <w:pStyle w:val="Compact"/>
        <w:numPr>
          <w:ilvl w:val="0"/>
          <w:numId w:val="1003"/>
        </w:numPr>
      </w:pPr>
      <w:r>
        <w:t xml:space="preserve">Analiza dynamiki ma charakter eksploracyjny. Tempo rozwoju liczono dla osób obecnych w badanej próbie. Nie uwzględnia ono osób, które wcześniej pracowały w uczelni, ale odeszły lub przeszły na emeryturę przed scrapingiem. Analiza opisuje więc historię dorobku obecnej kadry, a nie pełną historię instytucji. Z tego powodu wyniki dynamiki należy traktować jako sygnał kierunkowy, a nie ścisły ranking uczelni.</w:t>
      </w:r>
    </w:p>
    <w:p>
      <w:pPr>
        <w:pStyle w:val="Compact"/>
        <w:numPr>
          <w:ilvl w:val="0"/>
          <w:numId w:val="1003"/>
        </w:numPr>
      </w:pPr>
      <w:r>
        <w:t xml:space="preserve">OpenAlex nie obejmuje pełnego polskiego dorobku. Część polskich czasopism, monografii i innych publikacji widocznych w Omega-PSIR może nie być indeksowana w OpenAlex; pokrycie OpenAlex względem baz komercyjnych było przedmiotem osobnych analiz porównawczych</w:t>
      </w:r>
      <w:r>
        <w:t xml:space="preserve"> </w:t>
      </w:r>
      <w:r>
        <w:t xml:space="preserve">(</w:t>
      </w:r>
      <w:hyperlink w:anchor="ref-culbertReferenceCoverageAnalysis2025">
        <w:r>
          <w:rPr>
            <w:rStyle w:val="Hyperlink"/>
          </w:rPr>
          <w:t xml:space="preserve">Culbert et al. 2025</w:t>
        </w:r>
      </w:hyperlink>
      <w:r>
        <w:t xml:space="preserve">)</w:t>
      </w:r>
      <w:r>
        <w:t xml:space="preserve">. Dlatego Omega-PSIR przyjęto jako źródło podstawowe, a OpenAlex jako źródło uzupełniające.</w:t>
      </w:r>
    </w:p>
    <w:bookmarkEnd w:id="87"/>
    <w:bookmarkEnd w:id="88"/>
    <w:bookmarkStart w:id="90" w:name="wnioski"/>
    <w:p>
      <w:pPr>
        <w:pStyle w:val="Heading1"/>
      </w:pPr>
      <w:r>
        <w:t xml:space="preserve">Wnioski</w:t>
      </w:r>
    </w:p>
    <w:p>
      <w:pPr>
        <w:pStyle w:val="Compact"/>
        <w:numPr>
          <w:ilvl w:val="0"/>
          <w:numId w:val="1004"/>
        </w:numPr>
      </w:pPr>
      <w:r>
        <w:t xml:space="preserve">Typologia profili bibliometrycznych (pytanie 1). Wśród badanych naukowców można wyróżnić dwa główne typy profili bibliometrycznych: grupę badaczy o wysokim dorobku publikacyjnym, obejmującą około 23 % próby, oraz pozostałych badaczy. Podział ten powtarza się w podobnej formie w poszczególnych uczelniach, choć nie wszędzie z taką samą stabilnością. W UPWr grupa o wysokim dorobku ma bardziej ilościowy charakter, ponieważ wyróżnia ją przede wszystkim liczba publikacji. W UWM lokalny podział jest mniej stabilny, co wynika prawdopodobnie z mniejszej liczebności próby.</w:t>
      </w:r>
    </w:p>
    <w:p>
      <w:pPr>
        <w:pStyle w:val="Compact"/>
        <w:numPr>
          <w:ilvl w:val="0"/>
          <w:numId w:val="1004"/>
        </w:numPr>
      </w:pPr>
      <w:r>
        <w:t xml:space="preserve">Różnice między stanowiskami i uczelniami (pytanie 2). Wskaźniki bibliometryczne są silniej związane ze stanowiskiem niż z uczelnią. W większości przypadków rosną one wraz z poziomem stanowiska: od adiunktów, przez profesorów uczelni, do profesorów. Uczelnia ma słabsze znaczenie. Oznacza to, że etap kariery naukowej lepiej wyjaśnia różnice w indywidualnym dorobku niż sama afiliacja uczelniana.</w:t>
      </w:r>
    </w:p>
    <w:p>
      <w:pPr>
        <w:pStyle w:val="Compact"/>
        <w:numPr>
          <w:ilvl w:val="0"/>
          <w:numId w:val="1004"/>
        </w:numPr>
      </w:pPr>
      <w:r>
        <w:t xml:space="preserve">Przewidywanie wysokiego wpływu publikacyjnego (pytanie 3). Wysoki wpływ publikacyjny można dobrze przewidywać na podstawie cech strukturalnych badaczy. Model osiągnął wysoką zdolność rozróżniania osób o wysokim i niższym wpływie publikacyjnym (AUC ok. 0,97). Najważniejsze były liczba publikacji oraz cechy współpracy naukowej, a nie formalne stanowisko czy uczelnia. Wyniki predykcyjne należy jednak traktować ostrożnie, ponieważ grupa osób o wysokim wpływie była mała (46 przypadków), a model wymagał kalibracji progu klasyfikacji.</w:t>
      </w:r>
    </w:p>
    <w:p>
      <w:pPr>
        <w:pStyle w:val="Compact"/>
        <w:numPr>
          <w:ilvl w:val="0"/>
          <w:numId w:val="1004"/>
        </w:numPr>
      </w:pPr>
      <w:r>
        <w:t xml:space="preserve">Sieć współautorstwa (pytanie 4). Sieć współautorstwa dzieli się na wyraźne grupy współpracy (Q = 0,856). Grupy te pokrywają się głównie z uczelnią (NMI = 0,58), a nie ze stanowiskiem. Oznacza to, że współpraca naukowa w badanej dyscyplinie ma przede wszystkim charakter wewnątrzuczelniany, a współprace międzyuczelniane są rzadsze.</w:t>
      </w:r>
    </w:p>
    <w:p>
      <w:pPr>
        <w:pStyle w:val="FirstParagraph"/>
      </w:pPr>
      <w:r>
        <w:t xml:space="preserve">Łącznie wyniki pokazują, że indywidualny dorobek naukowców jest związany głównie z etapem kariery, natomiast współpraca naukowa przebiega przede wszystkim w obrębie uczelni. Praca potwierdza także znaczenie jednorodnego źródła danych. Wykorzystanie systemów Omega-PSIR umożliwiło porównywalne pozyskanie wskaźników bibliometrycznych z czterech uczelni, co byłoby znacznie trudniejsze przy użyciu różnych, niejednolitych repozytoriów.</w:t>
      </w:r>
    </w:p>
    <w:bookmarkStart w:id="89" w:name="wnioski-dla-praktyki"/>
    <w:p>
      <w:pPr>
        <w:pStyle w:val="Heading2"/>
      </w:pPr>
      <w:r>
        <w:t xml:space="preserve">Wnioski dla praktyki</w:t>
      </w:r>
    </w:p>
    <w:p>
      <w:pPr>
        <w:pStyle w:val="FirstParagraph"/>
      </w:pPr>
      <w:r>
        <w:t xml:space="preserve">Wyniki badania mogą być użyteczne dla osób i instytucji odpowiedzialnych za systemy informacji o nauce, a także dla rad dyscypliny rolnictwo i ogrodnictwo. Mogą one wspierać lepsze rozpoznanie struktury dorobku, zakresu współpracy oraz tempa rozwoju naukowego w obrębie tej dyscypliny. Należy je jednak traktować jako sugestie, a nie gotowe rekomendacje, ponieważ analiza ma charakter obserwacyjny i przekrojowy, a dane OpenAlex nie obejmują pełnego dorobku badanych osób.</w:t>
      </w:r>
    </w:p>
    <w:p>
      <w:pPr>
        <w:pStyle w:val="BodyText"/>
      </w:pPr>
      <w:r>
        <w:t xml:space="preserve">Po pierwsze, wyniki pokazują, że kompletność i jednorodność systemu CRIS są ważne dla wiarygodnych porównań między uczelniami. Analiza dynamiki publikacyjnej wykazała, że ten sam wskaźnik może prowadzić do innych wniosków w zależności od źródła danych. OpenAlex i pełne dane Omega-PSIR dały odmienne wyniki, co pokazuje, że opieranie porównań wyłącznie na globalnych bazach może być ryzykowne, zwłaszcza gdy nie obejmują one części polskich czasopism i monografii.</w:t>
      </w:r>
    </w:p>
    <w:p>
      <w:pPr>
        <w:pStyle w:val="BodyText"/>
      </w:pPr>
      <w:r>
        <w:t xml:space="preserve">Po drugie, porównywalność danych utrudnia to, że poszczególne uczelnie nie udostępniają tych samych metryk w taki sam sposób. Brak zagregowanej punktacji MEiN w SGGW oraz brak wskaźnika SNIP w UWM ograniczyły część analiz. Dlatego przydatne byłoby udostępnianie podstawowych metryk, takich jak sumaryczny IF, SNIP, punktacja MEiN i h-index, w jednolitej oraz maszynowo dostępnej formie. Wskazuje to na potrzebę odgórnej standaryzacji struktur danych i interfejsów udostępniania wskaźników we wdrożeniach systemów klasy CRIS na polskich uczelniach, tak aby krajowa agregacja kluczowych metryk (w tym punktacji MEiN) nie wymagała tworzenia osobnych reguł mapowania dla poszczególnych jednostek.</w:t>
      </w:r>
    </w:p>
    <w:p>
      <w:pPr>
        <w:pStyle w:val="BodyText"/>
      </w:pPr>
      <w:r>
        <w:t xml:space="preserve">Po trzecie, wyniki sugerują, że wysoka jakość dorobku nie musi być związana wyłącznie z długim stażem czy dużą liczbą publikacji. W analizie widoczna była grupa młodszych badaczy o wysokich wskaźnikach jakościowych. Ich wyniki wiązały się przede wszystkim z udziałem w szerszej, wieloautorskiej współpracy. Wniosek ten wymaga jednak potwierdzenia w badaniach podłużnych, zanim mógłby zostać wykorzystany jako podstawa praktycznych zaleceń dotyczących budowania zespołów badawczych.</w:t>
      </w:r>
    </w:p>
    <w:bookmarkEnd w:id="89"/>
    <w:bookmarkEnd w:id="90"/>
    <w:bookmarkStart w:id="128" w:name="bibliografia"/>
    <w:p>
      <w:pPr>
        <w:pStyle w:val="Heading1"/>
      </w:pPr>
      <w:r>
        <w:t xml:space="preserve">Bibliografia</w:t>
      </w:r>
    </w:p>
    <w:bookmarkStart w:id="127" w:name="refs"/>
    <w:bookmarkStart w:id="92" w:name="ref-ariaBibliometrix2017"/>
    <w:p>
      <w:pPr>
        <w:pStyle w:val="Bibliography"/>
      </w:pPr>
      <w:r>
        <w:t xml:space="preserve">Aria, Massimo, i Corrado Cuccurullo. 2017.</w:t>
      </w:r>
      <w:r>
        <w:t xml:space="preserve"> </w:t>
      </w:r>
      <w:r>
        <w:t xml:space="preserve">„bibliometrix: An</w:t>
      </w:r>
      <w:r>
        <w:t xml:space="preserve"> </w:t>
      </w:r>
      <w:r>
        <w:t xml:space="preserve">R</w:t>
      </w:r>
      <w:r>
        <w:t xml:space="preserve">-tool for comprehensive science mapping analysis”</w:t>
      </w:r>
      <w:r>
        <w:t xml:space="preserve">.</w:t>
      </w:r>
      <w:r>
        <w:t xml:space="preserve"> </w:t>
      </w:r>
      <w:r>
        <w:rPr>
          <w:i/>
          <w:iCs/>
        </w:rPr>
        <w:t xml:space="preserve">Journal of Informetrics</w:t>
      </w:r>
      <w:r>
        <w:t xml:space="preserve"> </w:t>
      </w:r>
      <w:r>
        <w:t xml:space="preserve">11 (4): 959–75.</w:t>
      </w:r>
      <w:r>
        <w:t xml:space="preserve"> </w:t>
      </w:r>
      <w:hyperlink r:id="rId91">
        <w:r>
          <w:rPr>
            <w:rStyle w:val="Hyperlink"/>
          </w:rPr>
          <w:t xml:space="preserve">https://doi.org/10.1016/j.joi.2017.08.007</w:t>
        </w:r>
      </w:hyperlink>
      <w:r>
        <w:t xml:space="preserve">.</w:t>
      </w:r>
    </w:p>
    <w:bookmarkEnd w:id="92"/>
    <w:bookmarkStart w:id="94" w:name="ref-ariaOpenalexR2024"/>
    <w:p>
      <w:pPr>
        <w:pStyle w:val="Bibliography"/>
      </w:pPr>
      <w:r>
        <w:t xml:space="preserve">Aria, Massimo, Trang Le, Corrado Cuccurullo, Alessandra Belfiore, i June Choe. 2024.</w:t>
      </w:r>
      <w:r>
        <w:t xml:space="preserve"> </w:t>
      </w:r>
      <w:r>
        <w:t xml:space="preserve">„</w:t>
      </w:r>
      <w:r>
        <w:t xml:space="preserve">openalexR</w:t>
      </w:r>
      <w:r>
        <w:t xml:space="preserve">: An</w:t>
      </w:r>
      <w:r>
        <w:t xml:space="preserve"> </w:t>
      </w:r>
      <w:r>
        <w:t xml:space="preserve">R</w:t>
      </w:r>
      <w:r>
        <w:t xml:space="preserve">-Tool for Collecting Bibliometric Data from</w:t>
      </w:r>
      <w:r>
        <w:t xml:space="preserve"> </w:t>
      </w:r>
      <w:r>
        <w:t xml:space="preserve">OpenAlex</w:t>
      </w:r>
      <w:r>
        <w:t xml:space="preserve">”</w:t>
      </w:r>
      <w:r>
        <w:t xml:space="preserve">.</w:t>
      </w:r>
      <w:r>
        <w:t xml:space="preserve"> </w:t>
      </w:r>
      <w:r>
        <w:rPr>
          <w:i/>
          <w:iCs/>
        </w:rPr>
        <w:t xml:space="preserve">The R Journal</w:t>
      </w:r>
      <w:r>
        <w:t xml:space="preserve"> </w:t>
      </w:r>
      <w:r>
        <w:t xml:space="preserve">15 (4): 167–80.</w:t>
      </w:r>
      <w:r>
        <w:t xml:space="preserve"> </w:t>
      </w:r>
      <w:hyperlink r:id="rId93">
        <w:r>
          <w:rPr>
            <w:rStyle w:val="Hyperlink"/>
          </w:rPr>
          <w:t xml:space="preserve">https://doi.org/10.32614/RJ-2023-089</w:t>
        </w:r>
      </w:hyperlink>
      <w:r>
        <w:t xml:space="preserve">.</w:t>
      </w:r>
    </w:p>
    <w:bookmarkEnd w:id="94"/>
    <w:bookmarkStart w:id="95"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95"/>
    <w:bookmarkStart w:id="96"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96"/>
    <w:bookmarkStart w:id="97"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w:t>
      </w:r>
      <w:r>
        <w:t xml:space="preserve"> </w:t>
      </w:r>
      <w:r>
        <w:rPr>
          <w:i/>
          <w:iCs/>
        </w:rPr>
        <w:t xml:space="preserve">Proceedings of the 22nd ACM SIGKDD International Conference on Knowledge Discovery and Data Mining</w:t>
      </w:r>
      <w:r>
        <w:t xml:space="preserve">, 785–94.</w:t>
      </w:r>
    </w:p>
    <w:bookmarkEnd w:id="97"/>
    <w:bookmarkStart w:id="99" w:name="ref-culbertReferenceCoverageAnalysis2025"/>
    <w:p>
      <w:pPr>
        <w:pStyle w:val="Bibliography"/>
      </w:pPr>
      <w:r>
        <w:t xml:space="preserve">Culbert, Jack H., Anne Hobert, Najko Jahn, et al.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 of Science</w:t>
      </w:r>
      <w:r>
        <w:t xml:space="preserve"> </w:t>
      </w:r>
      <w:r>
        <w:t xml:space="preserve">and</w:t>
      </w:r>
      <w:r>
        <w:t xml:space="preserve"> </w:t>
      </w:r>
      <w:r>
        <w:t xml:space="preserve">Scopus</w:t>
      </w:r>
      <w:r>
        <w:t xml:space="preserve">”</w:t>
      </w:r>
      <w:r>
        <w:t xml:space="preserve">.</w:t>
      </w:r>
      <w:r>
        <w:t xml:space="preserve"> </w:t>
      </w:r>
      <w:r>
        <w:rPr>
          <w:i/>
          <w:iCs/>
        </w:rPr>
        <w:t xml:space="preserve">Scientometrics</w:t>
      </w:r>
      <w:r>
        <w:t xml:space="preserve"> </w:t>
      </w:r>
      <w:r>
        <w:t xml:space="preserve">130 (4): 2475–92.</w:t>
      </w:r>
      <w:r>
        <w:t xml:space="preserve"> </w:t>
      </w:r>
      <w:hyperlink r:id="rId98">
        <w:r>
          <w:rPr>
            <w:rStyle w:val="Hyperlink"/>
          </w:rPr>
          <w:t xml:space="preserve">https://doi.org/10.1007/s11192-025-05293-3</w:t>
        </w:r>
      </w:hyperlink>
      <w:r>
        <w:t xml:space="preserve">.</w:t>
      </w:r>
    </w:p>
    <w:bookmarkEnd w:id="99"/>
    <w:bookmarkStart w:id="100" w:name="ref-Drabek2012"/>
    <w:p>
      <w:pPr>
        <w:pStyle w:val="Bibliography"/>
      </w:pPr>
      <w:r>
        <w:t xml:space="preserve">Drabek, Aneta. 2012.</w:t>
      </w:r>
      <w:r>
        <w:t xml:space="preserve"> </w:t>
      </w:r>
      <w:r>
        <w:t xml:space="preserve">„Wykorzystanie bibliometrii w polityce naukowej”</w:t>
      </w:r>
      <w:r>
        <w:t xml:space="preserve">.</w:t>
      </w:r>
      <w:r>
        <w:t xml:space="preserve"> </w:t>
      </w:r>
      <w:r>
        <w:rPr>
          <w:i/>
          <w:iCs/>
        </w:rPr>
        <w:t xml:space="preserve">Biuletyn EBIB</w:t>
      </w:r>
      <w:r>
        <w:t xml:space="preserve"> </w:t>
      </w:r>
      <w:r>
        <w:t xml:space="preserve">130 (3).</w:t>
      </w:r>
    </w:p>
    <w:bookmarkEnd w:id="100"/>
    <w:bookmarkStart w:id="101"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101"/>
    <w:bookmarkStart w:id="102" w:name="ref-Grygiel2009"/>
    <w:p>
      <w:pPr>
        <w:pStyle w:val="Bibliography"/>
      </w:pPr>
      <w:r>
        <w:t xml:space="preserve">Grygiel, Paweł, Sławomir Rębisz, i Grzegorz Humenny. 2009.</w:t>
      </w:r>
      <w:r>
        <w:t xml:space="preserve"> </w:t>
      </w:r>
      <w:r>
        <w:t xml:space="preserve">„Analiza bibliometryczna jako narzędzie badania efektywności nauczycieli akademickich na przykładzie</w:t>
      </w:r>
      <w:r>
        <w:t xml:space="preserve"> </w:t>
      </w:r>
      <w:r>
        <w:t xml:space="preserve">Uniwersytetu Rzeszowskiego</w:t>
      </w:r>
      <w:r>
        <w:t xml:space="preserve">”</w:t>
      </w:r>
      <w:r>
        <w:t xml:space="preserve">.</w:t>
      </w:r>
      <w:r>
        <w:t xml:space="preserve"> </w:t>
      </w:r>
      <w:r>
        <w:rPr>
          <w:i/>
          <w:iCs/>
        </w:rPr>
        <w:t xml:space="preserve">Zarządzanie Publiczne</w:t>
      </w:r>
      <w:r>
        <w:t xml:space="preserve"> </w:t>
      </w:r>
      <w:r>
        <w:t xml:space="preserve">7 (3): 65–84.</w:t>
      </w:r>
    </w:p>
    <w:bookmarkEnd w:id="102"/>
    <w:bookmarkStart w:id="104" w:name="X0b33f87ae5ad4597f5248ccd3781f8ded4d6a31"/>
    <w:p>
      <w:pPr>
        <w:pStyle w:val="Bibliography"/>
      </w:pPr>
      <w:r>
        <w:t xml:space="preserve">Hicks, Diana, Paul Wouters, Ludo Waltman, Sarah de Rijcke, i Ismael Rafols</w:t>
      </w:r>
      <w:r>
        <w:t xml:space="preserve">. 2015.</w:t>
      </w:r>
      <w:r>
        <w:t xml:space="preserve"> </w:t>
      </w:r>
      <w:r>
        <w:t xml:space="preserve">„Bibliometrics: The</w:t>
      </w:r>
      <w:r>
        <w:t xml:space="preserve"> </w:t>
      </w:r>
      <w:r>
        <w:t xml:space="preserve">Leiden Manifesto</w:t>
      </w:r>
      <w:r>
        <w:t xml:space="preserve"> </w:t>
      </w:r>
      <w:r>
        <w:t xml:space="preserve">for research metrics”</w:t>
      </w:r>
      <w:r>
        <w:t xml:space="preserve">.</w:t>
      </w:r>
      <w:r>
        <w:t xml:space="preserve"> </w:t>
      </w:r>
      <w:r>
        <w:rPr>
          <w:i/>
          <w:iCs/>
        </w:rPr>
        <w:t xml:space="preserve">Nature</w:t>
      </w:r>
      <w:r>
        <w:t xml:space="preserve"> </w:t>
      </w:r>
      <w:r>
        <w:t xml:space="preserve">520 (7548): 429–31.</w:t>
      </w:r>
      <w:r>
        <w:t xml:space="preserve"> </w:t>
      </w:r>
      <w:hyperlink r:id="rId103">
        <w:r>
          <w:rPr>
            <w:rStyle w:val="Hyperlink"/>
          </w:rPr>
          <w:t xml:space="preserve">https://doi.org/10.1038/520429a</w:t>
        </w:r>
      </w:hyperlink>
      <w:r>
        <w:t xml:space="preserve">.</w:t>
      </w:r>
    </w:p>
    <w:bookmarkEnd w:id="104"/>
    <w:bookmarkStart w:id="105"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105"/>
    <w:bookmarkStart w:id="106"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106"/>
    <w:bookmarkStart w:id="108"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w:t>
      </w:r>
      <w:r>
        <w:t xml:space="preserve"> </w:t>
      </w:r>
      <w:r>
        <w:rPr>
          <w:i/>
          <w:iCs/>
        </w:rPr>
        <w:t xml:space="preserve">Proceedings of the 21st EUNIS Congress</w:t>
      </w:r>
      <w:r>
        <w:t xml:space="preserve"> </w:t>
      </w:r>
      <w:r>
        <w:t xml:space="preserve">(Dundee).</w:t>
      </w:r>
      <w:r>
        <w:t xml:space="preserve"> </w:t>
      </w:r>
      <w:hyperlink r:id="rId107">
        <w:r>
          <w:rPr>
            <w:rStyle w:val="Hyperlink"/>
          </w:rPr>
          <w:t xml:space="preserve">https://dspacecris.eurocris.org/handle/11366/446</w:t>
        </w:r>
      </w:hyperlink>
      <w:r>
        <w:t xml:space="preserve">.</w:t>
      </w:r>
    </w:p>
    <w:bookmarkEnd w:id="108"/>
    <w:bookmarkStart w:id="109" w:name="ref-Kulczycki2019"/>
    <w:p>
      <w:pPr>
        <w:pStyle w:val="Bibliography"/>
      </w:pPr>
      <w:r>
        <w:t xml:space="preserve">Kulczycki, Emanuel. 2019.</w:t>
      </w:r>
      <w:r>
        <w:t xml:space="preserve"> </w:t>
      </w:r>
      <w:r>
        <w:t xml:space="preserve">„Tajemnice bibliometrii”</w:t>
      </w:r>
      <w:r>
        <w:t xml:space="preserve">.</w:t>
      </w:r>
      <w:r>
        <w:t xml:space="preserve"> </w:t>
      </w:r>
      <w:r>
        <w:rPr>
          <w:i/>
          <w:iCs/>
        </w:rPr>
        <w:t xml:space="preserve">Forum Akademickie</w:t>
      </w:r>
      <w:r>
        <w:t xml:space="preserve">, nr 6.</w:t>
      </w:r>
    </w:p>
    <w:bookmarkEnd w:id="109"/>
    <w:bookmarkStart w:id="110" w:name="ref-lundberg2017"/>
    <w:p>
      <w:pPr>
        <w:pStyle w:val="Bibliography"/>
      </w:pPr>
      <w:r>
        <w:t xml:space="preserve">Lundberg, Scott M., i Su-In Lee. 2017.</w:t>
      </w:r>
      <w:r>
        <w:t xml:space="preserve"> </w:t>
      </w:r>
      <w:r>
        <w:t xml:space="preserve">„A unified approach to interpreting model predictions”</w:t>
      </w:r>
      <w:r>
        <w:t xml:space="preserve">.</w:t>
      </w:r>
      <w:r>
        <w:t xml:space="preserve"> </w:t>
      </w:r>
      <w:r>
        <w:rPr>
          <w:i/>
          <w:iCs/>
        </w:rPr>
        <w:t xml:space="preserve">Advances in Neural Information Processing Systems</w:t>
      </w:r>
      <w:r>
        <w:t xml:space="preserve"> </w:t>
      </w:r>
      <w:r>
        <w:t xml:space="preserve">30: 4765–74.</w:t>
      </w:r>
    </w:p>
    <w:bookmarkEnd w:id="110"/>
    <w:bookmarkStart w:id="111" w:name="ref-rozp_ewaluacja2022"/>
    <w:p>
      <w:pPr>
        <w:pStyle w:val="Bibliography"/>
      </w:pPr>
      <w:r>
        <w:t xml:space="preserve">Minister Edukacji i Nauki. 2022.</w:t>
      </w:r>
      <w:r>
        <w:t xml:space="preserve"> </w:t>
      </w:r>
      <w:r>
        <w:rPr>
          <w:i/>
          <w:iCs/>
        </w:rP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111"/>
    <w:bookmarkStart w:id="112" w:name="ref-rozp_dyscypliny2025"/>
    <w:p>
      <w:pPr>
        <w:pStyle w:val="Bibliography"/>
      </w:pPr>
      <w:r>
        <w:t xml:space="preserve">Minister Nauki i Szkolnictwa Wyższego. 2025a.</w:t>
      </w:r>
      <w:r>
        <w:t xml:space="preserve"> </w:t>
      </w:r>
      <w:r>
        <w:rPr>
          <w:i/>
          <w:iCs/>
        </w:rP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112"/>
    <w:bookmarkStart w:id="113" w:name="ref-rozp_ewaluacja_nowela2025"/>
    <w:p>
      <w:pPr>
        <w:pStyle w:val="Bibliography"/>
      </w:pPr>
      <w:r>
        <w:t xml:space="preserve">Minister Nauki i Szkolnictwa Wyższego. 2025b.</w:t>
      </w:r>
      <w:r>
        <w:t xml:space="preserve"> </w:t>
      </w:r>
      <w:r>
        <w:rPr>
          <w:i/>
          <w:iCs/>
        </w:rPr>
        <w:t xml:space="preserve">Rozporządzenie Ministra Nauki i Szkolnictwa Wyższego z dnia 30 lipca 2025 r. zmieniające rozporządzenie w sprawie ewaluacji jakości działalności naukowej</w:t>
      </w:r>
      <w:r>
        <w:t xml:space="preserve">. Dz.U. 2025 poz. 1053.</w:t>
      </w:r>
    </w:p>
    <w:bookmarkEnd w:id="113"/>
    <w:bookmarkStart w:id="114"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114"/>
    <w:bookmarkStart w:id="116" w:name="Xf57435758c1415795137dce9045dde0a68674c8"/>
    <w:p>
      <w:pPr>
        <w:pStyle w:val="Bibliography"/>
      </w:pPr>
      <w:r>
        <w:t xml:space="preserve">Newman, Mark E. J. 2004.</w:t>
      </w:r>
      <w:r>
        <w:t xml:space="preserve"> </w:t>
      </w:r>
      <w:r>
        <w:t xml:space="preserve">„Coauthorship networks and patterns of scientific collaboration”</w:t>
      </w:r>
      <w:r>
        <w:t xml:space="preserve">.</w:t>
      </w:r>
      <w:r>
        <w:t xml:space="preserve"> </w:t>
      </w:r>
      <w:r>
        <w:rPr>
          <w:i/>
          <w:iCs/>
        </w:rPr>
        <w:t xml:space="preserve">Proceedings of the National Academy of Sciences</w:t>
      </w:r>
      <w:r>
        <w:t xml:space="preserve"> </w:t>
      </w:r>
      <w:r>
        <w:t xml:space="preserve">101 (suppl 1): 5200–5205.</w:t>
      </w:r>
      <w:r>
        <w:t xml:space="preserve"> </w:t>
      </w:r>
      <w:hyperlink r:id="rId115">
        <w:r>
          <w:rPr>
            <w:rStyle w:val="Hyperlink"/>
          </w:rPr>
          <w:t xml:space="preserve">https://doi.org/10.1073/pnas.0307545100</w:t>
        </w:r>
      </w:hyperlink>
      <w:r>
        <w:t xml:space="preserve">.</w:t>
      </w:r>
    </w:p>
    <w:bookmarkEnd w:id="116"/>
    <w:bookmarkStart w:id="117"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117"/>
    <w:bookmarkStart w:id="118" w:name="ref-Opalinski2017"/>
    <w:p>
      <w:pPr>
        <w:pStyle w:val="Bibliography"/>
      </w:pPr>
      <w:r>
        <w:t xml:space="preserve">Opaliński, Łukasz. 2017.</w:t>
      </w:r>
      <w:r>
        <w:t xml:space="preserve"> </w:t>
      </w:r>
      <w:r>
        <w:t xml:space="preserve">„Bibliometryczna metodologia prognozowania i oceny rozwoju dyscyplin naukowych. Analiza piśmiennictwa. Część 1”</w:t>
      </w:r>
      <w:r>
        <w:t xml:space="preserve">.</w:t>
      </w:r>
      <w:r>
        <w:t xml:space="preserve"> </w:t>
      </w:r>
      <w:r>
        <w:rPr>
          <w:i/>
          <w:iCs/>
        </w:rPr>
        <w:t xml:space="preserve">Zagadnienia Informacji Naukowej</w:t>
      </w:r>
      <w:r>
        <w:t xml:space="preserve"> </w:t>
      </w:r>
      <w:r>
        <w:t xml:space="preserve">55 (1): 34–65.</w:t>
      </w:r>
    </w:p>
    <w:bookmarkEnd w:id="118"/>
    <w:bookmarkStart w:id="119"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19"/>
    <w:bookmarkStart w:id="121" w:name="Xfa806a68882317565cd91e2502e10e0c6dc8daa"/>
    <w:p>
      <w:pPr>
        <w:pStyle w:val="Bibliography"/>
      </w:pPr>
      <w:r>
        <w:t xml:space="preserve">Rybiński, Henryk, Weronika Kubrak, Łukasz Skonieczny, Jakub Koperwas, i Wacław Struk. 2018.</w:t>
      </w:r>
      <w:r>
        <w:t xml:space="preserve"> </w:t>
      </w:r>
      <w:r>
        <w:t xml:space="preserve">„Omega-</w:t>
      </w:r>
      <w:r>
        <w:t xml:space="preserve">PSIR</w:t>
      </w:r>
      <w:r>
        <w:t xml:space="preserve">:</w:t>
      </w:r>
      <w:r>
        <w:t xml:space="preserve"> </w:t>
      </w:r>
      <w:r>
        <w:t xml:space="preserve">Institutional CRIS</w:t>
      </w:r>
      <w:r>
        <w:t xml:space="preserve"> </w:t>
      </w:r>
      <w:r>
        <w:t xml:space="preserve">at</w:t>
      </w:r>
      <w:r>
        <w:t xml:space="preserve"> </w:t>
      </w:r>
      <w:r>
        <w:t xml:space="preserve">Polish Universities</w:t>
      </w:r>
      <w:r>
        <w:t xml:space="preserve">”</w:t>
      </w:r>
      <w:r>
        <w:t xml:space="preserve">.</w:t>
      </w:r>
      <w:r>
        <w:t xml:space="preserve"> </w:t>
      </w:r>
      <w:r>
        <w:rPr>
          <w:i/>
          <w:iCs/>
        </w:rPr>
        <w:t xml:space="preserve">ITlib. Informačné technológie a knižnice</w:t>
      </w:r>
      <w:r>
        <w:t xml:space="preserve">, advance online publication.</w:t>
      </w:r>
      <w:r>
        <w:t xml:space="preserve"> </w:t>
      </w:r>
      <w:hyperlink r:id="rId120">
        <w:r>
          <w:rPr>
            <w:rStyle w:val="Hyperlink"/>
          </w:rPr>
          <w:t xml:space="preserve">https://doi.org/10.25610/itlib-2018-0005</w:t>
        </w:r>
      </w:hyperlink>
      <w:r>
        <w:t xml:space="preserve">.</w:t>
      </w:r>
    </w:p>
    <w:bookmarkEnd w:id="121"/>
    <w:bookmarkStart w:id="122"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22"/>
    <w:bookmarkStart w:id="124" w:name="ref-omegapsir2024"/>
    <w:p>
      <w:pPr>
        <w:pStyle w:val="Bibliography"/>
      </w:pPr>
      <w:r>
        <w:t xml:space="preserve">Warsaw University of Technology. 2024.</w:t>
      </w:r>
      <w:r>
        <w:t xml:space="preserve"> </w:t>
      </w:r>
      <w:r>
        <w:rPr>
          <w:i/>
          <w:iCs/>
        </w:rPr>
        <w:t xml:space="preserve">Omega-PSIR: University Research Information System</w:t>
      </w:r>
      <w:r>
        <w:t xml:space="preserve">.</w:t>
      </w:r>
      <w:r>
        <w:t xml:space="preserve"> </w:t>
      </w:r>
      <w:hyperlink r:id="rId123">
        <w:r>
          <w:rPr>
            <w:rStyle w:val="Hyperlink"/>
          </w:rPr>
          <w:t xml:space="preserve">https://www.omegapsir.io/</w:t>
        </w:r>
      </w:hyperlink>
      <w:r>
        <w:t xml:space="preserve">.</w:t>
      </w:r>
    </w:p>
    <w:bookmarkEnd w:id="124"/>
    <w:bookmarkStart w:id="125"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25"/>
    <w:bookmarkStart w:id="126"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hyperlink" Id="rId98" Target="https://doi.org/10.1007/s11192-025-05293-3" TargetMode="External" /><Relationship Type="http://schemas.openxmlformats.org/officeDocument/2006/relationships/hyperlink" Id="rId91" Target="https://doi.org/10.1016/j.joi.2017.08.007" TargetMode="External" /><Relationship Type="http://schemas.openxmlformats.org/officeDocument/2006/relationships/hyperlink" Id="rId103" Target="https://doi.org/10.1038/520429a" TargetMode="External" /><Relationship Type="http://schemas.openxmlformats.org/officeDocument/2006/relationships/hyperlink" Id="rId115" Target="https://doi.org/10.1073/pnas.0307545100" TargetMode="External" /><Relationship Type="http://schemas.openxmlformats.org/officeDocument/2006/relationships/hyperlink" Id="rId120" Target="https://doi.org/10.25610/itlib-2018-0005" TargetMode="External" /><Relationship Type="http://schemas.openxmlformats.org/officeDocument/2006/relationships/hyperlink" Id="rId93" Target="https://doi.org/10.32614/RJ-2023-089" TargetMode="External" /><Relationship Type="http://schemas.openxmlformats.org/officeDocument/2006/relationships/hyperlink" Id="rId107" Target="https://dspacecris.eurocris.org/handle/11366/446" TargetMode="External" /><Relationship Type="http://schemas.openxmlformats.org/officeDocument/2006/relationships/hyperlink" Id="rId123"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1192-025-05293-3" TargetMode="External" /><Relationship Type="http://schemas.openxmlformats.org/officeDocument/2006/relationships/hyperlink" Id="rId91" Target="https://doi.org/10.1016/j.joi.2017.08.007" TargetMode="External" /><Relationship Type="http://schemas.openxmlformats.org/officeDocument/2006/relationships/hyperlink" Id="rId103" Target="https://doi.org/10.1038/520429a" TargetMode="External" /><Relationship Type="http://schemas.openxmlformats.org/officeDocument/2006/relationships/hyperlink" Id="rId115" Target="https://doi.org/10.1073/pnas.0307545100" TargetMode="External" /><Relationship Type="http://schemas.openxmlformats.org/officeDocument/2006/relationships/hyperlink" Id="rId120" Target="https://doi.org/10.25610/itlib-2018-0005" TargetMode="External" /><Relationship Type="http://schemas.openxmlformats.org/officeDocument/2006/relationships/hyperlink" Id="rId93" Target="https://doi.org/10.32614/RJ-2023-089" TargetMode="External" /><Relationship Type="http://schemas.openxmlformats.org/officeDocument/2006/relationships/hyperlink" Id="rId107" Target="https://dspacecris.eurocris.org/handle/11366/446" TargetMode="External" /><Relationship Type="http://schemas.openxmlformats.org/officeDocument/2006/relationships/hyperlink" Id="rId123"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2026-06-20T15:29:11Z</dcterms:created>
  <dcterms:modified xsi:type="dcterms:W3CDTF">2026-06-20T15:29:11Z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2026-06-20</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Praca dyplomowa: studia podyplomowe Data Science</vt:lpwstr>
  </property>
  <property fmtid="{D5CDD505-2E9C-101B-9397-08002B2CF9AE}" pid="14" name="toc-title">
    <vt:lpwstr>Spis treści</vt:lpwstr>
  </property>
</Properties>
</file>