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7.png" ContentType="image/png"/>
  <Override PartName="/word/media/rId32.png" ContentType="image/png"/>
  <Override PartName="/word/media/rId36.png" ContentType="image/png"/>
  <Override PartName="/word/media/rId40.png" ContentType="image/png"/>
  <Override PartName="/word/media/rId44.png" ContentType="image/png"/>
  <Override PartName="/word/media/rId50.png" ContentType="image/png"/>
  <Override PartName="/word/media/rId60.png" ContentType="image/png"/>
  <Override PartName="/word/media/rId64.png" ContentType="image/png"/>
  <Override PartName="/word/media/rId70.png" ContentType="image/png"/>
  <Override PartName="/word/media/rId75.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2026-06-20</w:t>
      </w:r>
    </w:p>
    <w:p>
      <w:r>
        <w:br w:type="page"/>
      </w:r>
    </w:p>
    <w:bookmarkStart w:id="9" w:name="streszczenie"/>
    <w:p>
      <w:pPr>
        <w:pStyle w:val="Heading1"/>
      </w:pPr>
      <w:r>
        <w:t xml:space="preserve">Streszczenie</w:t>
      </w:r>
    </w:p>
    <w:p>
      <w:pPr>
        <w:pStyle w:val="FirstParagraph"/>
      </w:pPr>
      <w:r>
        <w:t xml:space="preserve">Praca analizuje dorobek publikacyjny 462 pracowników z dyscypliny rolnictwo i ogrodnictwo 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wpływ można dość dobrze przewidzieć na podstawie cech badacza. Najważniejsze są produktywność i pozycja w sieci współpracy, a nie samo stanowisko formalne. Model rozróżnia osoby o wysokim i niższym wpływie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p>
      <w:r>
        <w:br w:type="page"/>
      </w:r>
    </w:p>
    <w:bookmarkEnd w:id="9"/>
    <w:bookmarkStart w:id="13" w:name="wprowadzenie"/>
    <w:p>
      <w:pPr>
        <w:pStyle w:val="Heading1"/>
      </w:pPr>
      <w:r>
        <w:t xml:space="preserve">Wprowadzenie</w:t>
      </w:r>
    </w:p>
    <w:bookmarkStart w:id="10"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w:t>
      </w:r>
      <w:hyperlink w:anchor="ref-rozp_ewaluacja2022">
        <w:r>
          <w:rPr>
            <w:rStyle w:val="Hyperlink"/>
          </w:rPr>
          <w:t xml:space="preserve">Minister Edukacji i Nauki 2022</w:t>
        </w:r>
      </w:hyperlink>
      <w:r>
        <w:t xml:space="preserve">)</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 rolnictwo i ogrodnictwo należy do dziedziny nauk rolniczych</w:t>
      </w:r>
      <w:r>
        <w:t xml:space="preserve"> </w:t>
      </w:r>
      <w:r>
        <w:t xml:space="preserve">(</w:t>
      </w:r>
      <w:hyperlink w:anchor="ref-rozp_dyscypliny2025">
        <w:r>
          <w:rPr>
            <w:rStyle w:val="Hyperlink"/>
          </w:rPr>
          <w:t xml:space="preserve">Minister Nauki i Szkolnictwa Wyższego 2025a</w:t>
        </w:r>
      </w:hyperlink>
      <w:r>
        <w:t xml:space="preserve">)</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w:t>
      </w:r>
      <w:hyperlink w:anchor="ref-rozp_ewaluacja2022">
        <w:r>
          <w:rPr>
            <w:rStyle w:val="Hyperlink"/>
          </w:rPr>
          <w:t xml:space="preserve">Minister Edukacji i Nauki 2022</w:t>
        </w:r>
      </w:hyperlink>
      <w:r>
        <w:t xml:space="preserve">;</w:t>
      </w:r>
      <w:r>
        <w:t xml:space="preserve"> </w:t>
      </w:r>
      <w:hyperlink w:anchor="ref-rozp_ewaluacja_nowela2025">
        <w:r>
          <w:rPr>
            <w:rStyle w:val="Hyperlink"/>
          </w:rPr>
          <w:t xml:space="preserve">Minister Nauki i Szkolnictwa Wyższego 2025b</w:t>
        </w:r>
      </w:hyperlink>
      <w:r>
        <w:t xml:space="preserve">)</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Rozporządzenie klasyfikacyjne wymienia dyscypliny wyłącznie z nazwy, nie wyznaczając formalnie ich zakresu przedmiotowego</w:t>
      </w:r>
      <w:r>
        <w:t xml:space="preserve"> </w:t>
      </w:r>
      <w:r>
        <w:t xml:space="preserve">(</w:t>
      </w:r>
      <w:hyperlink w:anchor="ref-rozp_dyscypliny2025">
        <w:r>
          <w:rPr>
            <w:rStyle w:val="Hyperlink"/>
          </w:rPr>
          <w:t xml:space="preserve">Minister Nauki i Szkolnictwa Wyższego 2025a</w:t>
        </w:r>
      </w:hyperlink>
      <w:r>
        <w:t xml:space="preserve">)</w:t>
      </w:r>
      <w:r>
        <w:t xml:space="preserve">. Rolnictwo i ogrodnictwo jest jedną z czterech dyscyplin dziedziny nauk rolniczych (obok nauk leśnych, technologii żywności i żywienia oraz zootechniki i rybactwa) i powstało przy reformie klasyfikacji z 2018 r. ze scalenia węższych, wcześniej odrębnych dyscyplin, przede wszystkim agronomii i ogrodnictwa. Jej merytoryczny trzon stanowią nauki o roślinie uprawnej i o środowisku jej wzrostu: produkcja roślinna i agrotechnika, ogrodnictwo (warzywnictwo, sadownictwo, rośliny ozdobne), gleboznawstwo i żywienie roślin, ochrona roślin, hodowla i genetyka roślin, łąkarstwo oraz kształtowanie i ochrona agrocenoz. Poza zakresem dyscypliny pozostają produkcja zwierzęca (przypisana do zootechniki i rybactwa) oraz przetwórstwo płodów rolnych (technologia żywności i żywienia), co czyni rolnictwo i ogrodnictwo przede wszystkim roślinno-środowiskowym segmentem nauk rolniczych.</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Analiza bibliometryczna jest w Polsce wykorzystywana zarówno w polityce naukowej i ewaluacji</w:t>
      </w:r>
      <w:r>
        <w:t xml:space="preserve"> </w:t>
      </w:r>
      <w:r>
        <w:t xml:space="preserve">(</w:t>
      </w:r>
      <w:hyperlink w:anchor="ref-Drabek2012">
        <w:r>
          <w:rPr>
            <w:rStyle w:val="Hyperlink"/>
          </w:rPr>
          <w:t xml:space="preserve">Drabek 2012</w:t>
        </w:r>
      </w:hyperlink>
      <w:r>
        <w:t xml:space="preserve">;</w:t>
      </w:r>
      <w:r>
        <w:t xml:space="preserve"> </w:t>
      </w:r>
      <w:hyperlink w:anchor="ref-Kulczycki2019">
        <w:r>
          <w:rPr>
            <w:rStyle w:val="Hyperlink"/>
          </w:rPr>
          <w:t xml:space="preserve">Kulczycki 2019</w:t>
        </w:r>
      </w:hyperlink>
      <w:r>
        <w:t xml:space="preserve">)</w:t>
      </w:r>
      <w:r>
        <w:t xml:space="preserve">, jak i do oceny dorobku pracowników poszczególnych uczelni</w:t>
      </w:r>
      <w:r>
        <w:t xml:space="preserve"> </w:t>
      </w:r>
      <w:r>
        <w:t xml:space="preserve">(</w:t>
      </w:r>
      <w:hyperlink w:anchor="ref-Grygiel2009">
        <w:r>
          <w:rPr>
            <w:rStyle w:val="Hyperlink"/>
          </w:rPr>
          <w:t xml:space="preserve">Grygiel et al. 2009</w:t>
        </w:r>
      </w:hyperlink>
      <w:r>
        <w:t xml:space="preserve">)</w:t>
      </w:r>
      <w:r>
        <w:t xml:space="preserve">; polskie piśmiennictwo dysponuje też przeglądami metod bibliometrycznych stosowanych do oceny i prognozowania rozwoju dyscyplin naukowych</w:t>
      </w:r>
      <w:r>
        <w:t xml:space="preserve"> </w:t>
      </w:r>
      <w:r>
        <w:t xml:space="preserve">(</w:t>
      </w:r>
      <w:hyperlink w:anchor="ref-Opalinski2017">
        <w:r>
          <w:rPr>
            <w:rStyle w:val="Hyperlink"/>
          </w:rPr>
          <w:t xml:space="preserve">Opaliński 2017</w:t>
        </w:r>
      </w:hyperlink>
      <w:r>
        <w:t xml:space="preserve">)</w:t>
      </w:r>
      <w:r>
        <w:t xml:space="preserve">.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p>
      <w:r>
        <w:br w:type="page"/>
      </w:r>
    </w:p>
    <w:bookmarkEnd w:id="10"/>
    <w:bookmarkStart w:id="11" w:name="cel-pracy"/>
    <w:p>
      <w:pPr>
        <w:pStyle w:val="Heading2"/>
      </w:pPr>
      <w:r>
        <w:t xml:space="preserve">Cel pracy</w:t>
      </w:r>
    </w:p>
    <w:p>
      <w:pPr>
        <w:pStyle w:val="FirstParagraph"/>
      </w:pPr>
      <w:r>
        <w:t xml:space="preserve">Niniejsza praca analizuje dorobek bibliometryczny pracowników naukowych dyscypliny rolnictwo i ogrodnictwo 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 Nazwa Omega-PSIR określa przy tym sam system informatyczny (CRIS), natomiast jego wdrożenie i publiczny portal na poszczególnych uczelniach funkcjonują pod nazwą Baza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wdrożenia produkcyjne na Politechnice Warszawskiej uruchomiono w latach 2011–2013 (od 2013 r. system objął całą uczelnię)</w:t>
      </w:r>
      <w:r>
        <w:t xml:space="preserve"> </w:t>
      </w:r>
      <w:r>
        <w:t xml:space="preserve">(</w:t>
      </w:r>
      <w:hyperlink w:anchor="ref-koperwas2015omega">
        <w:r>
          <w:rPr>
            <w:rStyle w:val="Hyperlink"/>
          </w:rPr>
          <w:t xml:space="preserve">Koperwas et al. 2015</w:t>
        </w:r>
      </w:hyperlink>
      <w:r>
        <w:t xml:space="preserve">)</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Według stanu na 2018 r. system był wdrożony w kilkunastu polskich instytucjach naukowych (Politechnika Warszawska i jedenaście innych uczelni)</w:t>
      </w:r>
      <w:r>
        <w:t xml:space="preserve"> </w:t>
      </w:r>
      <w:r>
        <w:t xml:space="preserve">(</w:t>
      </w:r>
      <w:hyperlink w:anchor="Xfa806a68882317565cd91e2502e10e0c6dc8daa">
        <w:r>
          <w:rPr>
            <w:rStyle w:val="Hyperlink"/>
          </w:rPr>
          <w:t xml:space="preserve">Rybiński et al. 2018</w:t>
        </w:r>
      </w:hyperlink>
      <w:r>
        <w:t xml:space="preserve">)</w:t>
      </w:r>
      <w:r>
        <w:t xml:space="preserve"> </w:t>
      </w:r>
      <w:r>
        <w:t xml:space="preserve">i jest dostosowany do krajowego systemu ewaluacji nauki. Jego znaczenie dla niniejszej pracy polega na tym, że udostępnia porównywalne, uczelniane agregaty dorobku naukowego w jednolitej strukturze danych</w:t>
      </w:r>
      <w:r>
        <w:t xml:space="preserve"> </w:t>
      </w:r>
      <w:r>
        <w:t xml:space="preserve">(</w:t>
      </w:r>
      <w:hyperlink w:anchor="ref-omegapsir2024">
        <w:r>
          <w:rPr>
            <w:rStyle w:val="Hyperlink"/>
          </w:rPr>
          <w:t xml:space="preserve">Warsaw University of Technology 2024</w:t>
        </w:r>
      </w:hyperlink>
      <w:r>
        <w:t xml:space="preserve">)</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p>
      <w:r>
        <w:br w:type="page"/>
      </w:r>
    </w:p>
    <w:bookmarkEnd w:id="11"/>
    <w:bookmarkStart w:id="12"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da się przewidzieć wysoki wpływ dorobku naukowca na podstawie jego stanowiska, uczelni, liczby publikacji i współpracy z innymi autorami?</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12"/>
    <w:bookmarkEnd w:id="13"/>
    <w:bookmarkStart w:id="24" w:name="materiał-i-metodyka"/>
    <w:p>
      <w:pPr>
        <w:pStyle w:val="Heading1"/>
      </w:pPr>
      <w:r>
        <w:t xml:space="preserve">Materiał i metodyka</w:t>
      </w:r>
    </w:p>
    <w:bookmarkStart w:id="14"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t>
      </w:r>
      <w:hyperlink w:anchor="ref-omegapsir2024">
        <w:r>
          <w:rPr>
            <w:rStyle w:val="Hyperlink"/>
          </w:rPr>
          <w:t xml:space="preserve">Warsaw University of Technology 2024</w:t>
        </w:r>
      </w:hyperlink>
      <w:r>
        <w:t xml:space="preserve">)</w:t>
      </w:r>
      <w:r>
        <w:t xml:space="preserve">, źródło podstawowe: agregaty bibliometryczne per autor (h-index WoS/Scopus</w:t>
      </w:r>
      <w:r>
        <w:t xml:space="preserve"> </w:t>
      </w:r>
      <w:r>
        <w:t xml:space="preserve">(</w:t>
      </w:r>
      <w:hyperlink w:anchor="ref-hirsch2005">
        <w:r>
          <w:rPr>
            <w:rStyle w:val="Hyperlink"/>
          </w:rPr>
          <w:t xml:space="preserve">Hirsch 2005</w:t>
        </w:r>
      </w:hyperlink>
      <w:r>
        <w:t xml:space="preserve">)</w:t>
      </w:r>
      <w:r>
        <w:t xml:space="preserve">, sumaryczny IF</w:t>
      </w:r>
      <w:r>
        <w:t xml:space="preserve"> </w:t>
      </w:r>
      <w:r>
        <w:t xml:space="preserve">(</w:t>
      </w:r>
      <w:hyperlink w:anchor="ref-garfield2006">
        <w:r>
          <w:rPr>
            <w:rStyle w:val="Hyperlink"/>
          </w:rPr>
          <w:t xml:space="preserve">Garfield 2006</w:t>
        </w:r>
      </w:hyperlink>
      <w:r>
        <w:t xml:space="preserve">)</w:t>
      </w:r>
      <w:r>
        <w:t xml:space="preserve">, SNIP</w:t>
      </w:r>
      <w:r>
        <w:t xml:space="preserve"> </w:t>
      </w:r>
      <w:r>
        <w:t xml:space="preserve">(</w:t>
      </w:r>
      <w:hyperlink w:anchor="ref-moed2010snip">
        <w:r>
          <w:rPr>
            <w:rStyle w:val="Hyperlink"/>
          </w:rPr>
          <w:t xml:space="preserve">Moed 2010</w:t>
        </w:r>
      </w:hyperlink>
      <w:r>
        <w:t xml:space="preserve">)</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w:t>
      </w:r>
      <w:hyperlink w:anchor="ref-openalex2022">
        <w:r>
          <w:rPr>
            <w:rStyle w:val="Hyperlink"/>
          </w:rPr>
          <w:t xml:space="preserve">Priem et al. 2022</w:t>
        </w:r>
      </w:hyperlink>
      <w:r>
        <w:t xml:space="preserve">)</w:t>
      </w:r>
      <w:r>
        <w:t xml:space="preserve">, źródło uzupełniające, dostarcza danych, których nie ma w Omega-PSIR: FWCI (Field-Weighted Citation Impact), czyli znormalizowany dziedzinowo wskaźnik cytowań odnoszący liczbę cytowań pracy do światowej średniej w jej dziedzinie (wartość 1,0 oznacza poziom średniej światowej, a wartości powyżej 1,0 wynik ją przewyższający), którego nie da się policzyć z danych jednej uczelni</w:t>
      </w:r>
      <w:r>
        <w:t xml:space="preserve"> </w:t>
      </w:r>
      <w:r>
        <w:t xml:space="preserve">(</w:t>
      </w:r>
      <w:hyperlink w:anchor="ref-waltman2016review">
        <w:r>
          <w:rPr>
            <w:rStyle w:val="Hyperlink"/>
          </w:rPr>
          <w:t xml:space="preserve">Waltman 2016</w:t>
        </w:r>
      </w:hyperlink>
      <w:r>
        <w:t xml:space="preserve">)</w:t>
      </w:r>
      <w:r>
        <w:t xml:space="preserve">; liczbę cytowań publikacji; listę współautorów potrzebną do analizy sieci współpracy; oraz niezależne porównanie (kontrolę jakości) metryk pobranych z Omega-PSIR.</w:t>
      </w:r>
    </w:p>
    <w:p>
      <w:pPr>
        <w:pStyle w:val="FirstParagraph"/>
      </w:pPr>
      <w:r>
        <w:t xml:space="preserve">Dla każdego autora analizowano podstawowe wskaźniki bibliometryczne, takie jak sumaryczny IF,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ostrożność w traktowaniu pojedynczych wskaźników jako miar jakości naukowej jest zgodna z zasadami odpowiedzialnej naukometrii</w:t>
      </w:r>
      <w:r>
        <w:t xml:space="preserve"> </w:t>
      </w:r>
      <w:r>
        <w:t xml:space="preserve">(</w:t>
      </w:r>
      <w:hyperlink w:anchor="X0b33f87ae5ad4597f5248ccd3781f8ded4d6a31">
        <w:r>
          <w:rPr>
            <w:rStyle w:val="Hyperlink"/>
          </w:rPr>
          <w:t xml:space="preserve">Hicks et al.</w:t>
        </w:r>
        <w:r>
          <w:rPr>
            <w:rStyle w:val="Hyperlink"/>
          </w:rPr>
          <w:t xml:space="preserve"> </w:t>
        </w:r>
        <w:r>
          <w:rPr>
            <w:rStyle w:val="Hyperlink"/>
          </w:rPr>
          <w:t xml:space="preserve">2015</w:t>
        </w:r>
      </w:hyperlink>
      <w:r>
        <w:t xml:space="preserve">)</w:t>
      </w:r>
      <w:r>
        <w:t xml:space="preserve">.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w:t>
      </w:r>
      <w:hyperlink w:anchor="ref-rozp_ewaluacja2022">
        <w:r>
          <w:rPr>
            <w:rStyle w:val="Hyperlink"/>
          </w:rPr>
          <w:t xml:space="preserve">Minister Edukacji i Nauki 2022</w:t>
        </w:r>
      </w:hyperlink>
      <w:r>
        <w:t xml:space="preserve">)</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14"/>
    <w:bookmarkStart w:id="19"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 rolnictwo i ogrodnictwo 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Oparcie powiązania na kanonicznych identyfikatorach (ROR dla instytucji, ORCID dla autorów) jest zgodne z podejściem stosowanym w dedykowanych narzędziach integracji danych OpenAlex w środowisku R</w:t>
      </w:r>
      <w:r>
        <w:t xml:space="preserve"> </w:t>
      </w:r>
      <w:r>
        <w:t xml:space="preserve">(</w:t>
      </w:r>
      <w:hyperlink w:anchor="ref-ariaOpenalexR2024">
        <w:r>
          <w:rPr>
            <w:rStyle w:val="Hyperlink"/>
          </w:rPr>
          <w:t xml:space="preserve">Aria et al. 2024</w:t>
        </w:r>
      </w:hyperlink>
      <w:r>
        <w:t xml:space="preserve">)</w:t>
      </w:r>
      <w:r>
        <w:t xml:space="preserve">.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dxa" w:w="9638"/>
        <w:tblLayout w:type="autofit"/>
        <w:tblLook w:firstRow="0" w:lastRow="0" w:firstColumn="0" w:lastColumn="0" w:noHBand="0" w:noVBand="0" w:val="0000"/>
      </w:tblPr>
      <w:tblGrid>
        <w:gridCol w:w="9638"/>
      </w:tblGrid>
      <w:tr>
        <w:tc>
          <w:tcPr/>
          <w:bookmarkStart w:id="18" w:name="fig-pipeline"/>
          <w:p>
            <w:pPr>
              <w:pStyle w:val="Compact"/>
              <w:jc w:val="center"/>
            </w:pPr>
            <w:r>
              <w:drawing>
                <wp:inline>
                  <wp:extent cx="4480560" cy="7101092"/>
                  <wp:effectExtent b="0" l="0" r="0" t="0"/>
                  <wp:docPr descr="" title="" id="16" name="Picture"/>
                  <a:graphic>
                    <a:graphicData uri="http://schemas.openxmlformats.org/drawingml/2006/picture">
                      <pic:pic>
                        <pic:nvPicPr>
                          <pic:cNvPr descr="../Wykresy/praca/fig_00_pipeline.png" id="17" name="Picture"/>
                          <pic:cNvPicPr>
                            <a:picLocks noChangeArrowheads="1" noChangeAspect="1"/>
                          </pic:cNvPicPr>
                        </pic:nvPicPr>
                        <pic:blipFill>
                          <a:blip r:embed="rId15"/>
                          <a:stretch>
                            <a:fillRect/>
                          </a:stretch>
                        </pic:blipFill>
                        <pic:spPr bwMode="auto">
                          <a:xfrm>
                            <a:off x="0" y="0"/>
                            <a:ext cx="4480560" cy="7101092"/>
                          </a:xfrm>
                          <a:prstGeom prst="rect">
                            <a:avLst/>
                          </a:prstGeom>
                          <a:noFill/>
                          <a:ln w="9525">
                            <a:noFill/>
                            <a:headEnd/>
                            <a:tailEnd/>
                          </a:ln>
                        </pic:spPr>
                      </pic:pic>
                    </a:graphicData>
                  </a:graphic>
                </wp:inline>
              </w:drawing>
            </w:r>
          </w:p>
          <w:p>
            <w:pPr>
              <w:jc w:val="center"/>
            </w:pPr>
            <w:pPr>
              <w:jc w:val="left"/>
              <w:spacing w:before="200"/>
              <w:pStyle w:val="ImageCaption"/>
            </w:pPr>
            <w:r>
              <w:t xml:space="preserve">Rysunek 1: Schemat przepływu danych: od czterech instancji Omega-PSIR przez scraping (Python) i przetwarzanie (R) z uzupełnieniem OpenAlex do zbioru analitycznego i warstw modelowania.</w:t>
            </w:r>
          </w:p>
          <w:bookmarkEnd w:id="18"/>
        </w:tc>
      </w:tr>
    </w:tbl>
    <w:bookmarkEnd w:id="19"/>
    <w:bookmarkStart w:id="20" w:name="metody-analityczne"/>
    <w:p>
      <w:pPr>
        <w:pStyle w:val="Heading2"/>
      </w:pPr>
      <w:r>
        <w:t xml:space="preserve">Metody analityczne</w:t>
      </w:r>
    </w:p>
    <w:p>
      <w:pPr>
        <w:pStyle w:val="FirstParagraph"/>
      </w:pPr>
      <w:r>
        <w:t xml:space="preserve">Całość analizy zorganizowano zgodnie z typowym dla badań bibliometrycznych przepływem pracy: projektowanie badania, gromadzenie i łączenie danych, analiza, wizualizacja oraz interpretacja</w:t>
      </w:r>
      <w:r>
        <w:t xml:space="preserve"> </w:t>
      </w:r>
      <w:r>
        <w:t xml:space="preserve">(</w:t>
      </w:r>
      <w:hyperlink w:anchor="ref-ariaBibliometrix2017">
        <w:r>
          <w:rPr>
            <w:rStyle w:val="Hyperlink"/>
          </w:rPr>
          <w:t xml:space="preserve">Aria i Cuccurullo 2017</w:t>
        </w:r>
      </w:hyperlink>
      <w:r>
        <w:t xml:space="preserve">)</w:t>
      </w:r>
      <w:r>
        <w:t xml:space="preserve">. Obliczenia zaimplementowano samodzielnie w językach Python i R (bez gotowych pakietów do mapowania nauki), korzystając z bibliotek ogólnego przeznaczenia opisanych niżej.</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wpływu zastosowano modele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Ich jakość oceniono w 5-krotnej walidacji krzyżowej (dane uczące dzielono na pięć części i każdą wykorzystano raz jako zbiór sprawdzający, uśredniając wyniki), co pozwoliło dobrać hiperparametry modeli bez dopasowywania ich do pojedynczego podziału danych. Znaczenie cech opisano za pomocą wartości SHAP</w:t>
      </w:r>
      <w:r>
        <w:t xml:space="preserve"> </w:t>
      </w:r>
      <w:r>
        <w:t xml:space="preserve">(</w:t>
      </w:r>
      <w:hyperlink w:anchor="ref-lundberg2017">
        <w:r>
          <w:rPr>
            <w:rStyle w:val="Hyperlink"/>
          </w:rPr>
          <w:t xml:space="preserve">Lundberg i Lee 2017</w:t>
        </w:r>
      </w:hyperlink>
      <w:r>
        <w:t xml:space="preserve">)</w:t>
      </w:r>
      <w:r>
        <w:t xml:space="preserve">. Zbudowano dwa modele o rozłącznych celach:</w:t>
      </w:r>
      <w:r>
        <w:t xml:space="preserve"> </w:t>
      </w:r>
      <w:r>
        <w:rPr>
          <w:b/>
          <w:bCs/>
        </w:rPr>
        <w:t xml:space="preserve">ilościowy</w:t>
      </w:r>
      <w:r>
        <w:t xml:space="preserve"> </w:t>
      </w:r>
      <w:r>
        <w:t xml:space="preserve">(wysoki sumaryczny wpływ,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w:t>
      </w:r>
      <w:r>
        <w:t xml:space="preserve"> </w:t>
      </w:r>
      <w:r>
        <w:t xml:space="preserve">(</w:t>
      </w:r>
      <w:hyperlink w:anchor="Xf57435758c1415795137dce9045dde0a68674c8">
        <w:r>
          <w:rPr>
            <w:rStyle w:val="Hyperlink"/>
          </w:rPr>
          <w:t xml:space="preserve">Newman 2004</w:t>
        </w:r>
      </w:hyperlink>
      <w:r>
        <w:t xml:space="preserve">)</w:t>
      </w:r>
      <w:r>
        <w:t xml:space="preserve">. Do wykrycia takich grup zastosowano algorytm Louvain</w:t>
      </w:r>
      <w:r>
        <w:t xml:space="preserve"> </w:t>
      </w:r>
      <w:r>
        <w:t xml:space="preserve">(</w:t>
      </w:r>
      <w:hyperlink w:anchor="ref-blondel2008">
        <w:r>
          <w:rPr>
            <w:rStyle w:val="Hyperlink"/>
          </w:rPr>
          <w:t xml:space="preserve">Blondel et al. 2008</w:t>
        </w:r>
      </w:hyperlink>
      <w:r>
        <w:t xml:space="preserve">)</w:t>
      </w:r>
      <w:r>
        <w:t xml:space="preserve">, a modularność</w:t>
      </w:r>
      <w:r>
        <w:t xml:space="preserve"> </w:t>
      </w:r>
      <w:r>
        <w:t xml:space="preserve">(</w:t>
      </w:r>
      <w:hyperlink w:anchor="ref-newman2006">
        <w:r>
          <w:rPr>
            <w:rStyle w:val="Hyperlink"/>
          </w:rPr>
          <w:t xml:space="preserve">Newman 2006</w:t>
        </w:r>
      </w:hyperlink>
      <w:r>
        <w:t xml:space="preserve">)</w:t>
      </w:r>
      <w:r>
        <w:t xml:space="preserve"> </w:t>
      </w:r>
      <w:r>
        <w:t xml:space="preserve">wykorzystano do oceny, jak wyraźnie sieć dzieli się na wspólnoty. Dzięki temu można było sprawdzić, czy współpraca przebiega głównie w obrębie jednej uczelni, czy także między uczelniami.</w:t>
      </w:r>
    </w:p>
    <w:bookmarkEnd w:id="20"/>
    <w:bookmarkStart w:id="21"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 3.5 Flash (Gemini CLI, Google).</w:t>
      </w:r>
    </w:p>
    <w:bookmarkEnd w:id="21"/>
    <w:bookmarkStart w:id="23" w:name="dostępność-kodu-i-danych"/>
    <w:p>
      <w:pPr>
        <w:pStyle w:val="Heading2"/>
      </w:pPr>
      <w:r>
        <w:t xml:space="preserve">Dostępność kodu i danych</w:t>
      </w:r>
    </w:p>
    <w:p>
      <w:pPr>
        <w:pStyle w:val="FirstParagraph"/>
      </w:pPr>
      <w:r>
        <w:t xml:space="preserve">Pełny kod źródłowy, dane oraz wyniki pośrednie udostępniono w publicznym repozytorium GitHub:</w:t>
      </w:r>
      <w:r>
        <w:t xml:space="preserve"> </w:t>
      </w:r>
      <w:hyperlink r:id="rId22">
        <w:r>
          <w:rPr>
            <w:rStyle w:val="Hyperlink"/>
          </w:rPr>
          <w:t xml:space="preserve">https://github.com/Kulcz/PracaDyplomowa_DS_UEWr</w:t>
        </w:r>
      </w:hyperlink>
      <w:r>
        <w:t xml:space="preserve">. Repozytorium zawiera scrapery w języku Python (pobieranie danych z czterech instancji systemu Omega-PSIR oraz z API OpenAlex), kompletny pipeline analityczny w języku R (czyszczenie danych, analizy statystyczne, klastrowanie, modele predykcyjne, analizę sieci współautorstwa), zbiory danych analitycznych w formacie CSV, wyniki pośrednie oraz skrypty generujące wszystkie tabele i ryciny zamieszczone w pracy. Dołączony plik blokady pakietów (renv) rejestruje dokładne wersje bibliotek języka R, co umożliwia odtworzenie środowiska obliczeniowego i powtórzenie analiz.</w:t>
      </w:r>
    </w:p>
    <w:p>
      <w:pPr>
        <w:pStyle w:val="BodyText"/>
      </w:pPr>
      <w:r>
        <w:t xml:space="preserve">Wykorzystane dane pochodzą z publicznie dostępnych uczelnianych Baz Wiedzy (systemów CRIS Omega-PSIR) oraz z otwartej bazy OpenAlex i dotyczą wyłącznie działalności naukowej pracowników (dorobek publikacyjny, afiliacje, identyfikatory ORCID), czyli danych zawodowych jawnie udostępnionych przez same uczelnie. Nie obejmują one danych szczególnych kategorii w rozumieniu art. 9 RODO. Przetwarzania dokonano wyłącznie w celach naukowo-badawczych i w formie zagregowanej, w oparciu o prawnie uzasadniony interes administratora (art. 6 ust. 1 lit. f RODO) oraz z uwzględnieniem zasad przetwarzania danych do celów badań naukowych (art. 89 RODO); analiza nie służy ocenie ani profilowaniu poszczególnych osób.</w:t>
      </w:r>
    </w:p>
    <w:bookmarkEnd w:id="23"/>
    <w:bookmarkEnd w:id="24"/>
    <w:bookmarkStart w:id="80" w:name="wyniki"/>
    <w:p>
      <w:pPr>
        <w:pStyle w:val="Heading1"/>
      </w:pPr>
      <w:r>
        <w:t xml:space="preserve">Wyniki</w:t>
      </w:r>
    </w:p>
    <w:bookmarkStart w:id="26"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w:t>
      </w:r>
    </w:p>
    <w:p>
      <w:pPr>
        <w:pStyle w:val="BodyText"/>
      </w:pPr>
      <w:r>
        <w:t xml:space="preserve">Autorów z danych Omega-PSIR dopasowano do bazy OpenAlex na podstawie uczelni i podobieństwa nazwiska. Najpierw wyszukiwano tylko osoby powiązane z daną uczelnią, korzystając z jej identyfikatora ROR, a następnie porównywano nazwiska metodą Jaro-Winklera</w:t>
      </w:r>
      <w:r>
        <w:t xml:space="preserve"> </w:t>
      </w:r>
      <w:r>
        <w:t xml:space="preserve">(</w:t>
      </w:r>
      <w:hyperlink w:anchor="ref-winkler1990">
        <w:r>
          <w:rPr>
            <w:rStyle w:val="Hyperlink"/>
          </w:rPr>
          <w:t xml:space="preserve">Winkler 1990</w:t>
        </w:r>
      </w:hyperlink>
      <w:r>
        <w:t xml:space="preserve">)</w:t>
      </w:r>
      <w:r>
        <w:t xml:space="preserve">. Za dopasowanie uznawano wynik co najmniej 0,85.</w:t>
      </w:r>
    </w:p>
    <w:p>
      <w:pPr>
        <w:pStyle w:val="BodyText"/>
      </w:pPr>
      <w:r>
        <w:t xml:space="preserve">Dopasowanie udało się dla</w:t>
      </w:r>
      <w:r>
        <w:t xml:space="preserve"> </w:t>
      </w:r>
      <w:r>
        <w:rPr>
          <w:b/>
          <w:bCs/>
        </w:rPr>
        <w:t xml:space="preserve">367 z 462 osób (79,4 %)</w:t>
      </w:r>
      <w:r>
        <w:t xml:space="preserve">. Najwyższy odsetek uzyskano dla SGGW (89,3 %), następnie dla UPWr (79,7 %) i URK (77,8 %). Najniższy wynik miało UWM (67,1 %), dlatego ta uczelnia jest nieco słabiej reprezentowana w analizach opartych na danych OpenAlex, takich jak FWCI i sieci współautorstwa.</w:t>
      </w:r>
    </w:p>
    <w:p>
      <w:pPr>
        <w:pStyle w:val="BodyText"/>
      </w:pPr>
      <w:r>
        <w:t xml:space="preserve">W przypadku URK potrzebna była dodatkowa korekta nazw. W tej bazie przy części nazwisk pojawiał się dopisek po przecinku, np. „Jan Kowalski, prof. URK”. Przed jego usunięciem skuteczność dopasowania dla URK wynosiła tylko 47,5 %; po oczyszczeniu nazw wzrosła do 77,8 %. Zastosowanie filtra uczelni ograniczało ryzyko błędnych dopasowań, ponieważ nazwiska porównywano tylko wśród autorów związanych z właściwą instytucją.</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dxa" w:w="9638"/>
        <w:tblLayout w:type="autofit"/>
        <w:tblLook w:firstRow="0" w:lastRow="0" w:firstColumn="0" w:lastColumn="0" w:noHBand="0" w:noVBand="0" w:val="0000"/>
      </w:tblPr>
      <w:tblGrid>
        <w:gridCol w:w="9638"/>
      </w:tblGrid>
      <w:tr>
        <w:tc>
          <w:tcPr/>
          <w:bookmarkStart w:id="25" w:name="tbl-proba"/>
          <w:p>
            <w:pPr>
              <w:jc w:val="center"/>
            </w:pPr>
            <w:pPr>
              <w:jc w:val="lef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966"/>
              <w:gridCol w:w="654"/>
              <w:gridCol w:w="514"/>
              <w:gridCol w:w="903"/>
              <w:gridCol w:w="903"/>
              <w:gridCol w:w="903"/>
              <w:gridCol w:w="903"/>
              <w:gridCol w:w="1183"/>
              <w:gridCol w:w="997"/>
              <w:gridCol w:w="810"/>
              <w:gridCol w:w="90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 = odsetek osób uczelni powiązanych z rekordem autora w bazie OpenAlex (po identyfikatorze ROR i nazwisku).</w:t>
                  </w:r>
                </w:p>
              </w:tc>
            </w:tr>
            <w:tr>
              <w:trPr>
                <w:trHeight w:val="360" w:hRule="auto"/>
              </w:trPr>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wartości podane jako mediany (na pełnej liczebności uczelni); h-index wg WoS.</w:t>
                  </w:r>
                </w:p>
              </w:tc>
            </w:tr>
          </w:tbl>
          <w:bookmarkEnd w:id="25"/>
        </w:tc>
      </w:tr>
    </w:tbl>
    <w:p>
      <w:pPr>
        <w:pStyle w:val="BodyText"/>
      </w:pPr>
      <w:r>
        <w:t xml:space="preserve">W analizie porównującej uczelnie i stanowiska (analizie dwuczynnikowej) uwzględniono 420 osób z przypisanym jednym z trzech stanowisk: adiunkt, profesor uczelni lub profesor. Rozkład liczebności pokazano w tabeli</w:t>
      </w:r>
      <w:r>
        <w:t xml:space="preserve"> </w:t>
      </w:r>
      <w:hyperlink w:anchor="tbl-proba">
        <w:r>
          <w:rPr>
            <w:rStyle w:val="Hyperlink"/>
          </w:rPr>
          <w:t xml:space="preserve">1</w:t>
        </w:r>
      </w:hyperlink>
      <w:r>
        <w:t xml:space="preserve">. Najmniejsza grupa liczyła 13 osób, więc możliwe było porównanie stanowisk między uczelniami.</w:t>
      </w:r>
    </w:p>
    <w:bookmarkEnd w:id="26"/>
    <w:bookmarkStart w:id="31"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wpływu: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wpływu jedynie umiarkowanie (r = 0,36–0,44), odzwierciedla bowiem objętość dorobku, a nie jego skumulowane oddziaływanie. Drugą, prawie niezależną osią jest jakość pojedynczej publikacji, mierzona IF na publikację. Wskaźnik ten jest słabo związany z ogólną wielkością dorobku. Jego ujemna korelacja z liczbą publikacji (r = -0,37) oznacza, że osoby publikujące najwięcej mają przeciętnie niższy IF przypadający na jedną publikację. Widać więc kompromis między liczbą publikacji a ich przeciętną jakością.</w:t>
      </w:r>
    </w:p>
    <w:tbl>
      <w:tblPr>
        <w:tblStyle w:val="Table"/>
        <w:tblW w:type="dxa" w:w="9638"/>
        <w:tblLayout w:type="autofit"/>
        <w:tblLook w:firstRow="0" w:lastRow="0" w:firstColumn="0" w:lastColumn="0" w:noHBand="0" w:noVBand="0" w:val="0000"/>
      </w:tblPr>
      <w:tblGrid>
        <w:gridCol w:w="9638"/>
      </w:tblGrid>
      <w:tr>
        <w:tc>
          <w:tcPr/>
          <w:bookmarkStart w:id="30" w:name="fig-korelacje"/>
          <w:p>
            <w:pPr>
              <w:pStyle w:val="Compact"/>
              <w:jc w:val="center"/>
            </w:pPr>
            <w:r>
              <w:drawing>
                <wp:inline>
                  <wp:extent cx="5334000" cy="4533900"/>
                  <wp:effectExtent b="0" l="0" r="0" t="0"/>
                  <wp:docPr descr="" title="" id="28" name="Picture"/>
                  <a:graphic>
                    <a:graphicData uri="http://schemas.openxmlformats.org/drawingml/2006/picture">
                      <pic:pic>
                        <pic:nvPicPr>
                          <pic:cNvPr descr="../Wykresy/praca/fig_01b_korelacje.png" id="29" name="Picture"/>
                          <pic:cNvPicPr>
                            <a:picLocks noChangeArrowheads="1" noChangeAspect="1"/>
                          </pic:cNvPicPr>
                        </pic:nvPicPr>
                        <pic:blipFill>
                          <a:blip r:embed="rId27"/>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2: Macierz korelacji Pearsona sześciu wskaźników bibliometrycznych. Wyraźny blok metryk skumulowanego wpływu (h-index, sumaryczny IF, punktacja MEiN; r 0,82–0,95) kontrastuje z liczbą publikacji, powiązaną z nim tylko umiarkowanie (r 0,36–0,44), oraz z IF na publikację, tworzącym odrębną oś jakości, ujemnie skorelowaną z liczbą publikacji.</w:t>
            </w:r>
          </w:p>
          <w:bookmarkEnd w:id="30"/>
        </w:tc>
      </w:tr>
    </w:tbl>
    <w:bookmarkEnd w:id="31"/>
    <w:bookmarkStart w:id="49"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który przedstawia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Te wysokie wartości odpowiadają jednak realnemu dorobkowi nielicznych, wybitnych badaczy, a nie błędom w danych, dlatego nie usuwano ich jako wartości odstających. Zastosowane testy rangowe są na takie skrajne obserwacje odporne, więc analiza nie wymagała przycinania danych. Wyjątkiem jest wskaźnik IF / MEiN, którego rozkład jest bardziej symetryczny, ale także dla niego testy wykazały naruszenie założeń testów parametrycznych.</w:t>
      </w:r>
    </w:p>
    <w:tbl>
      <w:tblPr>
        <w:tblStyle w:val="Table"/>
        <w:tblW w:type="dxa" w:w="9638"/>
        <w:tblLayout w:type="autofit"/>
        <w:tblLook w:firstRow="0" w:lastRow="0" w:firstColumn="0" w:lastColumn="0" w:noHBand="0" w:noVBand="0" w:val="0000"/>
      </w:tblPr>
      <w:tblGrid>
        <w:gridCol w:w="9638"/>
      </w:tblGrid>
      <w:tr>
        <w:tc>
          <w:tcPr/>
          <w:bookmarkStart w:id="35" w:name="fig-rozklady"/>
          <w:p>
            <w:pPr>
              <w:pStyle w:val="Compact"/>
              <w:jc w:val="center"/>
            </w:pPr>
            <w:r>
              <w:drawing>
                <wp:inline>
                  <wp:extent cx="5334000" cy="3081866"/>
                  <wp:effectExtent b="0" l="0" r="0" t="0"/>
                  <wp:docPr descr="" title="" id="33" name="Picture"/>
                  <a:graphic>
                    <a:graphicData uri="http://schemas.openxmlformats.org/drawingml/2006/picture">
                      <pic:pic>
                        <pic:nvPicPr>
                          <pic:cNvPr descr="../Wykresy/praca/fig_01c_rozklady.png" id="34" name="Picture"/>
                          <pic:cNvPicPr>
                            <a:picLocks noChangeArrowheads="1" noChangeAspect="1"/>
                          </pic:cNvPicPr>
                        </pic:nvPicPr>
                        <pic:blipFill>
                          <a:blip r:embed="rId32"/>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35"/>
        </w:tc>
      </w:tr>
    </w:tbl>
    <w:p>
      <w:pPr>
        <w:pStyle w:val="BodyText"/>
      </w:pPr>
      <w:r>
        <w:t xml:space="preserve">Wyniki tego porównania dla trzech metryk o pełnym pokryciu pokazano jako wykresy pudełkowe z oznaczeniami grup jednorodnych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w:t>
      </w:r>
      <w:r>
        <w:t xml:space="preserve"> </w:t>
      </w:r>
      <w:hyperlink w:anchor="fig-npub">
        <w:r>
          <w:rPr>
            <w:rStyle w:val="Hyperlink"/>
          </w:rPr>
          <w:t xml:space="preserve">Rysunek 6</w:t>
        </w:r>
      </w:hyperlink>
      <w:r>
        <w:t xml:space="preserve">).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dxa" w:w="9638"/>
        <w:tblLayout w:type="autofit"/>
        <w:tblLook w:firstRow="0" w:lastRow="0" w:firstColumn="0" w:lastColumn="0" w:noHBand="0" w:noVBand="0" w:val="0000"/>
      </w:tblPr>
      <w:tblGrid>
        <w:gridCol w:w="9638"/>
      </w:tblGrid>
      <w:tr>
        <w:tc>
          <w:tcPr/>
          <w:bookmarkStart w:id="39" w:name="fig-hindex"/>
          <w:p>
            <w:pPr>
              <w:pStyle w:val="Compact"/>
              <w:jc w:val="center"/>
            </w:pPr>
            <w:r>
              <w:drawing>
                <wp:inline>
                  <wp:extent cx="5334000" cy="3388658"/>
                  <wp:effectExtent b="0" l="0" r="0" t="0"/>
                  <wp:docPr descr="" title="" id="37" name="Picture"/>
                  <a:graphic>
                    <a:graphicData uri="http://schemas.openxmlformats.org/drawingml/2006/picture">
                      <pic:pic>
                        <pic:nvPicPr>
                          <pic:cNvPr descr="../Wykresy/praca/fig_02a_hindex.png" id="38" name="Picture"/>
                          <pic:cNvPicPr>
                            <a:picLocks noChangeArrowheads="1" noChangeAspect="1"/>
                          </pic:cNvPicPr>
                        </pic:nvPicPr>
                        <pic:blipFill>
                          <a:blip r:embed="rId36"/>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4: Wykres pudełkowy h-index (WoS) w dwuczynnikowym układzie uczelnia × stanowisko; oznaczenia grup jednorodnych (CLD) opisano w tekście powyżej.</w:t>
            </w:r>
          </w:p>
          <w:bookmarkEnd w:id="39"/>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3" w:name="fig-sumif"/>
          <w:p>
            <w:pPr>
              <w:pStyle w:val="Compact"/>
              <w:jc w:val="center"/>
            </w:pPr>
            <w:r>
              <w:drawing>
                <wp:inline>
                  <wp:extent cx="5334000" cy="3388658"/>
                  <wp:effectExtent b="0" l="0" r="0" t="0"/>
                  <wp:docPr descr="" title="" id="41" name="Picture"/>
                  <a:graphic>
                    <a:graphicData uri="http://schemas.openxmlformats.org/drawingml/2006/picture">
                      <pic:pic>
                        <pic:nvPicPr>
                          <pic:cNvPr descr="../Wykresy/praca/fig_02b_sumif.png" id="42" name="Picture"/>
                          <pic:cNvPicPr>
                            <a:picLocks noChangeArrowheads="1" noChangeAspect="1"/>
                          </pic:cNvPicPr>
                        </pic:nvPicPr>
                        <pic:blipFill>
                          <a:blip r:embed="rId40"/>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5: Wykres pudełkowy sumarycznego Impact Factor w dwuczynnikowym układzie uczelnia × stanowisko; oznaczenia grup jednorodnych (CLD) opisano w tekście powyżej.</w:t>
            </w:r>
          </w:p>
          <w:bookmarkEnd w:id="43"/>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7" w:name="fig-npub"/>
          <w:p>
            <w:pPr>
              <w:pStyle w:val="Compact"/>
              <w:jc w:val="center"/>
            </w:pPr>
            <w:r>
              <w:drawing>
                <wp:inline>
                  <wp:extent cx="5334000" cy="3388658"/>
                  <wp:effectExtent b="0" l="0" r="0" t="0"/>
                  <wp:docPr descr="" title="" id="45" name="Picture"/>
                  <a:graphic>
                    <a:graphicData uri="http://schemas.openxmlformats.org/drawingml/2006/picture">
                      <pic:pic>
                        <pic:nvPicPr>
                          <pic:cNvPr descr="../Wykresy/praca/fig_02c_npub.png" id="46" name="Picture"/>
                          <pic:cNvPicPr>
                            <a:picLocks noChangeArrowheads="1" noChangeAspect="1"/>
                          </pic:cNvPicPr>
                        </pic:nvPicPr>
                        <pic:blipFill>
                          <a:blip r:embed="rId44"/>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6: Wykres pudełkowy liczby publikacji w dwuczynnikowym układzie uczelnia × stanowisko; oznaczenia grup jednorodnych (CLD) opisano w tekście powyżej.</w:t>
            </w:r>
          </w:p>
          <w:bookmarkEnd w:id="47"/>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48" w:name="tbl-roznicowanie"/>
          <w:p>
            <w:pPr>
              <w:jc w:val="center"/>
            </w:pPr>
            <w:pPr>
              <w:jc w:val="lef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3074"/>
              <w:gridCol w:w="1579"/>
              <w:gridCol w:w="1412"/>
              <w:gridCol w:w="1828"/>
              <w:gridCol w:w="174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grup CLD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Istotność testu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brak różnic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H to statystyka Kruskala-Wallisa (rozkład chi-kwadrat o df stopniach swobody).</w:t>
                  </w:r>
                </w:p>
              </w:tc>
            </w:tr>
          </w:tbl>
          <w:bookmarkEnd w:id="48"/>
        </w:tc>
      </w:tr>
    </w:tbl>
    <w:p>
      <w:pPr>
        <w:pStyle w:val="BodyText"/>
      </w:pPr>
      <w:r>
        <w:t xml:space="preserve">Najwięcej różnic między grupami widać dla liczby publikacji. Ta metryka podzieliła badanych na 8 grup jednorodnych, czyli najlepiej odróżniała poszczególne kombinacje uczelni i stanowiska. Wyraźne różnice wystąpiły także dla h-index, sumarycznego IF i punktacji MEiN.</w:t>
      </w:r>
    </w:p>
    <w:p>
      <w:pPr>
        <w:pStyle w:val="BodyText"/>
      </w:pPr>
      <w:r>
        <w:t xml:space="preserve">Jedynym wskaźnikiem, dla którego nie stwierdzono istotnych różnic, był IF / MEiN (p = 0,075). Wynika to z jego konstrukcji: jako iloraz dwóch silnie skorelowanych wielkości znosi on efekt skali dorobku, więc nie różnicuje wyraźnie badanych grup.</w:t>
      </w:r>
    </w:p>
    <w:p>
      <w:pPr>
        <w:pStyle w:val="BodyText"/>
      </w:pPr>
      <w:r>
        <w:t xml:space="preserve">Podsumowując, wraz z wyższym stanowiskiem rosną wartości większości wskaźników bibliometrycznych. Zależność ta była istotna statystycznie dla pięciu z sześciu analizowanych metryk.</w:t>
      </w:r>
    </w:p>
    <w:bookmarkEnd w:id="49"/>
    <w:bookmarkStart w:id="57" w:name="X88ab428eb81e048ab5c69c902d08d12ccb60c6c"/>
    <w:p>
      <w:pPr>
        <w:pStyle w:val="Heading2"/>
      </w:pPr>
      <w:r>
        <w:t xml:space="preserve">Typy profili bibliometrycznych badaczy (pytanie 1)</w:t>
      </w:r>
    </w:p>
    <w:p>
      <w:pPr>
        <w:pStyle w:val="FirstParagraph"/>
      </w:pPr>
      <w:r>
        <w:t xml:space="preserve">Analizę przeprowadzono na</w:t>
      </w:r>
      <w:r>
        <w:t xml:space="preserve"> </w:t>
      </w:r>
      <w:r>
        <w:rPr>
          <w:b/>
          <w:bCs/>
        </w:rPr>
        <w:t xml:space="preserve">połączonej próbie wszystkich czterech uczelni</w:t>
      </w:r>
      <w:r>
        <w:t xml:space="preserve">, na czterech porównywalnych, standaryzowanych cechach pełnego pokrycia: h-index WoS, sumarycznym IF, IF na publikację i liczbie publikacji. Objęła ona 449 osób (te spośród 462, dla których dostępny był komplet czterech cech). Dwie pierwsze składowe PCA opisywały łącznie</w:t>
      </w:r>
      <w:r>
        <w:t xml:space="preserve"> </w:t>
      </w:r>
      <w:r>
        <w:rPr>
          <w:b/>
          <w:bCs/>
        </w:rPr>
        <w:t xml:space="preserve">87,9 % wariancji</w:t>
      </w:r>
      <w:r>
        <w:t xml:space="preserve"> </w:t>
      </w:r>
      <w:r>
        <w:t xml:space="preserve">(PC1: 54,1 %, PC2: 33,8 %), więc dobrze streszczały główne różnice między profilami badaczy.</w:t>
      </w:r>
    </w:p>
    <w:p>
      <w:pPr>
        <w:pStyle w:val="BodyText"/>
      </w:pPr>
      <w:r>
        <w:t xml:space="preserve">Liczbę klastrów dobrano metodą sylwetki. Metoda ta sprawdza, czy osoby w danym klastrze są do siebie podobne i jednocześnie wyraźnie różnią się od osób z innych klastrów. Najlepszy wynik uzyskał podział na</w:t>
      </w:r>
      <w:r>
        <w:t xml:space="preserve"> </w:t>
      </w:r>
      <w:r>
        <w:rPr>
          <w:b/>
          <w:bCs/>
        </w:rPr>
        <w:t xml:space="preserve">dwa klastry</w:t>
      </w:r>
      <w:r>
        <w:t xml:space="preserve"> </w:t>
      </w:r>
      <w:r>
        <w:t xml:space="preserve">(</w:t>
      </w:r>
      <w:hyperlink w:anchor="fig-klastry">
        <w:r>
          <w:rPr>
            <w:rStyle w:val="Hyperlink"/>
          </w:rPr>
          <w:t xml:space="preserve">Rysunek 7</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3" w:name="fig-klastry"/>
          <w:p>
            <w:pPr>
              <w:pStyle w:val="Compact"/>
              <w:jc w:val="center"/>
            </w:pPr>
            <w:r>
              <w:drawing>
                <wp:inline>
                  <wp:extent cx="5334000" cy="4000499"/>
                  <wp:effectExtent b="0" l="0" r="0" t="0"/>
                  <wp:docPr descr="" title="" id="51" name="Picture"/>
                  <a:graphic>
                    <a:graphicData uri="http://schemas.openxmlformats.org/drawingml/2006/picture">
                      <pic:pic>
                        <pic:nvPicPr>
                          <pic:cNvPr descr="../Wykresy/praca/fig_03a_klastry.png" id="52" name="Picture"/>
                          <pic:cNvPicPr>
                            <a:picLocks noChangeArrowheads="1" noChangeAspect="1"/>
                          </pic:cNvPicPr>
                        </pic:nvPicPr>
                        <pic:blipFill>
                          <a:blip r:embed="rId5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Rysunek 7: Klastrowanie k-means w przestrzeni dwóch pierwszych składowych głównych (PCA).</w:t>
            </w:r>
          </w:p>
          <w:bookmarkEnd w:id="53"/>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4" w:name="tbl-klastry2"/>
          <w:p>
            <w:pPr>
              <w:jc w:val="center"/>
            </w:pPr>
            <w:pPr>
              <w:jc w:val="lef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429"/>
              <w:gridCol w:w="784"/>
              <w:gridCol w:w="1489"/>
              <w:gridCol w:w="1646"/>
              <w:gridCol w:w="1646"/>
              <w:gridCol w:w="164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54"/>
        </w:tc>
      </w:tr>
    </w:tbl>
    <w:p>
      <w:pPr>
        <w:pStyle w:val="BodyText"/>
      </w:pPr>
      <w:r>
        <w:t xml:space="preserve">Sprawdzono też, z czym wiąże się przynależność do klastrów, co rozstrzyga, czy typologia jest cechą uczelni, czy etapu kariery: klastry</w:t>
      </w:r>
      <w:r>
        <w:t xml:space="preserve"> </w:t>
      </w:r>
      <w:r>
        <w:rPr>
          <w:b/>
          <w:bCs/>
        </w:rPr>
        <w:t xml:space="preserve">nie zależą istotnie od uczelni</w:t>
      </w:r>
      <w:r>
        <w:t xml:space="preserve"> </w:t>
      </w:r>
      <w:r>
        <w:t xml:space="preserve">(χ² niezależności p = 0,19; Craméra V = 0,10), ale są</w:t>
      </w:r>
      <w:r>
        <w:t xml:space="preserve"> </w:t>
      </w:r>
      <w:r>
        <w:rPr>
          <w:b/>
          <w:bCs/>
        </w:rPr>
        <w:t xml:space="preserve">wyraźnie powiązane ze stanowiskiem</w:t>
      </w:r>
      <w:r>
        <w:t xml:space="preserve"> </w:t>
      </w:r>
      <w:r>
        <w:t xml:space="preserve">naukowym (p &lt; 0,001; Craméra V = 0,45).</w:t>
      </w:r>
    </w:p>
    <w:p>
      <w:pPr>
        <w:pStyle w:val="BodyText"/>
      </w:pPr>
      <w:r>
        <w:t xml:space="preserve">Oznacza to, że podział badaczy nie wynika głównie z tego, na której uczelni pracują; bardziej odzwierciedla etap kariery i poziom dorobku naukowego. Zbliżony układ profili bibliometrycznych powtarza się więc w czterech uczelniach (z zastrzeżeniami omówionymi niżej przy replikacji w obrębie pojedynczych uczelni).</w:t>
      </w:r>
    </w:p>
    <w:p>
      <w:pPr>
        <w:pStyle w:val="BodyText"/>
      </w:pPr>
      <w:r>
        <w:t xml:space="preserve">Dodatkowo porównano wynik k-means z klastrowaniem hierarchicznym metodą Warda. Zgodność obu metod była umiarkowana (Craméra V = 0,67), ale główny podział na dwie duże grupy był podobny w obu podejściach.</w:t>
      </w:r>
    </w:p>
    <w:p>
      <w:pPr>
        <w:pStyle w:val="BodyText"/>
      </w:pPr>
      <w:r>
        <w:t xml:space="preserve">W celu oceny, czy uzyskana typologia nie wynika wyłącznie z połączenia wszystkich uczelni w jedną próbę, klastrowanie powtórzono osobno dla każdej uczelni. W każdym przypadku przyjęto dwa klastry oraz tę samą skalę standaryzacji cech. Następnie porównano podziały uzyskane w poszczególnych uczelniach z podziałem wyznaczonym dla całej próby, wykorzystując skorygowany indeks Randa (ARI;</w:t>
      </w:r>
      <w:r>
        <w:t xml:space="preserve"> </w:t>
      </w:r>
      <w:hyperlink w:anchor="tbl-replikacja">
        <w:r>
          <w:rPr>
            <w:rStyle w:val="Hyperlink"/>
          </w:rPr>
          <w:t xml:space="preserve">Tabela 4</w:t>
        </w:r>
      </w:hyperlink>
      <w:r>
        <w:t xml:space="preserve">).</w:t>
      </w:r>
    </w:p>
    <w:p>
      <w:pPr>
        <w:pStyle w:val="BodyText"/>
      </w:pPr>
      <w:r>
        <w:t xml:space="preserve">Wyniki wskazują, że podział na grupę badaczy o wysokim dorobku publikacyjnym i pozostałych badaczy odtwarza się względnie dobrze w trzech większych uczelniach: SGGW (ARI = 1,00), URK (ARI = 0,69) i UPWr (ARI = 0,58). Słabszą zgodność uzyskano dla UWM (ARI = 0,30). Wynik ten należy jednak interpretować ostrożnie, ponieważ UWM ma najmniejszą liczebność próby (n = 70). W tej uczelni wymuszenie dwóch klastrów doprowadziło przede wszystkim do wydzielenia niewielkiej, ośmioosobowej grupy badaczy o skrajnie wysokich wartościach wskaźników. Sugeruje to raczej ograniczoną stabilność klastrowania w małej próbie niż rzeczywiście odmienną strukturę profili bibliometrycznych w UWM.</w:t>
      </w:r>
    </w:p>
    <w:tbl>
      <w:tblPr>
        <w:tblStyle w:val="Table"/>
        <w:tblW w:type="dxa" w:w="9638"/>
        <w:tblLayout w:type="autofit"/>
        <w:tblLook w:firstRow="0" w:lastRow="0" w:firstColumn="0" w:lastColumn="0" w:noHBand="0" w:noVBand="0" w:val="0000"/>
      </w:tblPr>
      <w:tblGrid>
        <w:gridCol w:w="9638"/>
      </w:tblGrid>
      <w:tr>
        <w:tc>
          <w:tcPr/>
          <w:bookmarkStart w:id="55" w:name="tbl-replikacja"/>
          <w:p>
            <w:pPr>
              <w:jc w:val="center"/>
            </w:pPr>
            <w:pPr>
              <w:jc w:val="left"/>
              <w:spacing w:before="200"/>
              <w:pStyle w:val="ImageCaption"/>
            </w:pPr>
            <w:r>
              <w:t xml:space="preserve">Tabela 4: Porównanie klastra „wysokiego dorobku” między uczelniami (k = 2, zgodność mierzona 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1501"/>
              <w:gridCol w:w="1659"/>
              <w:gridCol w:w="1501"/>
              <w:gridCol w:w="1580"/>
              <w:gridCol w:w="1738"/>
              <w:gridCol w:w="165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 vs pula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ref.</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Centroidy = standaryzowane (z-score, skala puli) średnie cech w klastrze „wysoki dorobek”; k = 2 wymuszone dla porównywalności.</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 skorygowany indeks Randa zgodności lokalnego podziału k = 2 z przypisaniem z puli (1 = identyczny). Pula (n = 449) to wiersz odniesienia (ref.).</w:t>
                  </w:r>
                </w:p>
              </w:tc>
            </w:tr>
          </w:tbl>
          <w:bookmarkEnd w:id="55"/>
        </w:tc>
      </w:tr>
    </w:tbl>
    <w:p>
      <w:pPr>
        <w:pStyle w:val="BodyText"/>
      </w:pPr>
      <w:r>
        <w:t xml:space="preserve">Profil grupy o wysokim dorobku nie jest jednak taki sam we wszystkich uczelniach. W SGGW, URK i UWM grupę tę wyróżniają przede wszystkim wysokie wartości wskaźników skumulowanego wpływu, takich jak h-index i sumaryczny IF. W UPWr ma ona natomiast bardziej ilościowy charakter: badaczy z tej grupy wyróżnia głównie duża liczba publikacji, przy niższym IF przypadającym na jedną publikację. Oznacza to, że ogólna typologia jest podobna w całej badanej dyscyplinie, ale jej szczegółowy profil różni się między uczelniami.</w:t>
      </w:r>
    </w:p>
    <w:p>
      <w:pPr>
        <w:pStyle w:val="BodyText"/>
      </w:pPr>
      <w:r>
        <w:t xml:space="preserve">Podjęto także próbę podziału badaczy na trzy klastry (k = 3). Wariant ten pokazał, że grupa „pozostałych badaczy” nie jest jednorodna: można w niej wyróżnić dwie odmienne podgrupy. Pozwala to uzupełnić główną typologię o trzeci, mniej oczywisty typ profilu bibliometrycznego (</w:t>
      </w:r>
      <w:hyperlink w:anchor="tbl-klastry3">
        <w:r>
          <w:rPr>
            <w:rStyle w:val="Hyperlink"/>
          </w:rPr>
          <w:t xml:space="preserve">Tabela 5</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6" w:name="tbl-klastry3"/>
          <w:p>
            <w:pPr>
              <w:jc w:val="center"/>
            </w:pPr>
            <w:pPr>
              <w:jc w:val="left"/>
              <w:spacing w:before="200"/>
              <w:pStyle w:val="ImageCaption"/>
            </w:pPr>
            <w:r>
              <w:t xml:space="preserve">Tabela 5: Profile trzech klastrów (wartości średnie)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07"/>
              <w:gridCol w:w="612"/>
              <w:gridCol w:w="1377"/>
              <w:gridCol w:w="1377"/>
              <w:gridCol w:w="1224"/>
              <w:gridCol w:w="214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wpływ)</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FWCI (Field-Weighted Citation Impact) = liczba cytowań prac autora odniesiona do światowej średniej w jego dziedzinie (1,0 = poziom średniej światowej, powyżej 1,0 = wynik ją przewyższający).</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FWCI podano wyłącznie opisowo: nie było cechą wejściową klastrowania, lecz służy do niezależnej charakterystyki gotowych klastrów.</w:t>
                  </w:r>
                </w:p>
              </w:tc>
            </w:tr>
          </w:tbl>
          <w:bookmarkEnd w:id="56"/>
        </w:tc>
      </w:tr>
    </w:tbl>
    <w:p>
      <w:pPr>
        <w:pStyle w:val="BodyText"/>
      </w:pPr>
      <w:r>
        <w:t xml:space="preserve">Trzeci klaster można określić jako profil jakościowy. Obejmuje on badaczy o najmniejszym dorobku ilościowym (przeciętnie 23,8 publikacji, mediana 19,5), ale jednocześnie o najwyższych wskaźnikach jakościowych: średni IF na publikację wynosi 2,68, a FWCI 2,32. Są to najwyższe wartości spośród wszystkich klastrów. W tej grupie przeważają osoby na wcześniejszym etapie kariery: 63 z 88 osób to asystenci i adiunkci.</w:t>
      </w:r>
    </w:p>
    <w:p>
      <w:pPr>
        <w:pStyle w:val="BodyText"/>
      </w:pPr>
      <w:r>
        <w:t xml:space="preserve">Wynik ten pokazuje, że wysoki wpływ naukowy nie musi wynikać wyłącznie z długiego stażu i dużej liczby publikacji. Poza wielkością dorobku znaczenie ma także jego jakość: wysokie wartości wskaźników osiągają również młodsi badacze z mniejszą liczbą publikacji. Także w wariancie z trzema klastrami typologia pozostaje niezależna od uczelni (Craméra V = 0,10). Jej związek ze stanowiskiem jest natomiast słabszy niż w podziale na dwa klastry (V = 0,38), ponieważ profil jakościowy obejmuje osoby z różnych poziomów hierarchii akademickiej.</w:t>
      </w:r>
    </w:p>
    <w:bookmarkEnd w:id="57"/>
    <w:bookmarkStart w:id="69" w:name="Xbd5b45b451445d4809baed400770e4b8ffa7ad0"/>
    <w:p>
      <w:pPr>
        <w:pStyle w:val="Heading2"/>
      </w:pPr>
      <w:r>
        <w:t xml:space="preserve">Przewidywanie wysokiego wpływu naukowego (pytanie 3)</w:t>
      </w:r>
    </w:p>
    <w:p>
      <w:pPr>
        <w:pStyle w:val="FirstParagraph"/>
      </w:pPr>
      <w:r>
        <w:t xml:space="preserve">Zmienną celu było zaliczenie badacza do grupy 10 % osób o najwyższym sumarycznym IF w całej próbie. Do tej grupy należało 46 z 452 osób z dostępną wartością sumarycznego IF (10 osób bez tej metryki pominięto), czyli 10,2 % badanych. Model miał więc przewidywać, którzy badacze należą do grupy o najwyższym skumulowanym wpływie publikacyjnym.</w:t>
      </w:r>
    </w:p>
    <w:p>
      <w:pPr>
        <w:pStyle w:val="BodyText"/>
      </w:pPr>
      <w:r>
        <w:t xml:space="preserve">Jako predyktory wykorzystano stanowisko, uczelnię, liczbę publikacji oraz cechy pochodzące z OpenAlex: liczbę unikalnych współautorów, średnią liczbę autorów jednej publikacji i średni FWCI. Z modelu wykluczono h-index oraz sumaryczny IF, ponieważ są one bezpośrednio powiązane ze zmienną celu i mogłyby sztucznie zawyżać jakość predykcji.</w:t>
      </w:r>
    </w:p>
    <w:p>
      <w:pPr>
        <w:pStyle w:val="BodyText"/>
      </w:pPr>
      <w:r>
        <w:t xml:space="preserve">Porównano dwa modele uczenia maszynowego oparte na drzewach decyzyjnych: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Random Forest buduje wiele drzew decyzyjnych na losowych podpróbach danych i cech, a następnie łączy ich predykcje przez głosowanie, co ogranicza ryzyko przeuczenia pojedynczego drzewa. XGBoost tworzy drzewa sekwencyjnie, tak aby każde kolejne korygowało błędy poprzednich (technika gradient boosting), dzięki czemu często osiąga bardzo wysoką skuteczność predykcyjną. Oba modele dobrze radzą sobie z danymi tabelarycznymi, nieliniowymi zależnościami i interakcjami między cechami, bez potrzeby wcześniejszego skalowania zmiennych. Ich parametry dobrano z wykorzystaniem 5-krotnej walidacji krzyżowej, a wyniki na zbiorze testowym przedstawia</w:t>
      </w:r>
      <w:r>
        <w:t xml:space="preserve"> </w:t>
      </w:r>
      <w:hyperlink w:anchor="tbl-modele">
        <w:r>
          <w:rPr>
            <w:rStyle w:val="Hyperlink"/>
          </w:rPr>
          <w:t xml:space="preserve">Tabela 6</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8" w:name="tbl-modele"/>
          <w:p>
            <w:pPr>
              <w:jc w:val="center"/>
            </w:pPr>
            <w:pPr>
              <w:jc w:val="left"/>
              <w:spacing w:before="200"/>
              <w:pStyle w:val="ImageCaption"/>
            </w:pPr>
            <w:r>
              <w:t xml:space="preserve">Tabela 6: Jakość modeli na zbiorze testowym przy domyślnym progu klasyfikacji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570"/>
              <w:gridCol w:w="1767"/>
              <w:gridCol w:w="1767"/>
              <w:gridCol w:w="1767"/>
              <w:gridCol w:w="176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ROC AUC = pole pod krzywą ROC; miara zdolności modelu do odróżniania klas niezależna od progu klasyfikacji (0,5 = poziom losowy, 1,0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Trafność = odsetek wszystkich poprawnych klasyfikacji; czułość = odsetek poprawnie wykrytych osób o wysokim wpływie; swoistość = odsetek poprawnie rozpoznanych osób o niższym wpływie (wszystkie przy progu 0,5).</w:t>
                  </w:r>
                </w:p>
              </w:tc>
            </w:tr>
          </w:tbl>
          <w:bookmarkEnd w:id="58"/>
        </w:tc>
      </w:tr>
    </w:tbl>
    <w:p>
      <w:pPr>
        <w:pStyle w:val="BodyText"/>
      </w:pPr>
      <w:r>
        <w:t xml:space="preserve">Oba modele dobrze rozróżniają osoby o wysokim i niższym wpływie naukowym, o czym świadczy wysoka wartość AUC (ok. 0,93–0,97). Problem pojawia się jednak przy domyślnym progu klasyfikacji 0,5. Ponieważ grupa wysokiego wpływu jest mała i obejmuje tylko 10 % badanych, modele rzadko przypisują osoby do tej klasy. W efekcie czułość jest niska (0,20–0,30), czyli modele wykrywają tylko część osób o wysokim wpływie.</w:t>
      </w:r>
    </w:p>
    <w:p>
      <w:pPr>
        <w:pStyle w:val="BodyText"/>
      </w:pPr>
      <w:r>
        <w:t xml:space="preserve">Oznacza to, że modele dobrze porządkują badaczy według prawdopodobieństwa wysokiego wpływu, ale przy progu 0,5 są zbyt ostrożne w przypisywaniu ich do klasy wysokiego wpływu. Dlatego sama trafność na poziomie ok. 0,90 może być myląca: podobny wynik można uzyskać, klasyfikując prawie wszystkich badaczy jako osoby spoza grupy wysokiego wpływu.</w:t>
      </w:r>
    </w:p>
    <w:p>
      <w:pPr>
        <w:pStyle w:val="BodyText"/>
      </w:pPr>
      <w:r>
        <w:t xml:space="preserve">Ten problem dotyczy przede wszystkim wyboru progu klasyfikacji, a nie samej zdolności modelu do odróżniania osób o wysokim i niższym wpływie naukowym. Dlatego zamiast domyślnego progu 0,5 wyznaczono próg lepiej dopasowany do danych. Zastosowano indeks J Youdena</w:t>
      </w:r>
      <w:r>
        <w:t xml:space="preserve"> </w:t>
      </w:r>
      <w:r>
        <w:t xml:space="preserve">(</w:t>
      </w:r>
      <w:hyperlink w:anchor="ref-youden1950">
        <w:r>
          <w:rPr>
            <w:rStyle w:val="Hyperlink"/>
          </w:rPr>
          <w:t xml:space="preserve">Youden 1950</w:t>
        </w:r>
      </w:hyperlink>
      <w:r>
        <w:t xml:space="preserve">)</w:t>
      </w:r>
      <w:r>
        <w:t xml:space="preserve">, który pozwala znaleźć taki próg, przy którym model możliwie dobrze łączy czułość i swoistość.</w:t>
      </w:r>
    </w:p>
    <w:p>
      <w:pPr>
        <w:pStyle w:val="BodyText"/>
      </w:pPr>
      <w:r>
        <w:t xml:space="preserve">Próg wyznaczono na podstawie predykcji z walidacji krzyżowej, a nie na zbiorze testowym. Dzięki temu zbiór testowy pozostał niezależny. Otrzymany próg wyniósł 0,054, czyli był znacznie niższy niż 0,5. Jest to uzasadnione, ponieważ klasa wysokiego wpływu obejmuje tylko około 10 % badanych.</w:t>
      </w:r>
    </w:p>
    <w:p>
      <w:pPr>
        <w:pStyle w:val="BodyText"/>
      </w:pPr>
      <w:r>
        <w:t xml:space="preserve">Po zastosowaniu tego progu na zbiorze testowym model Random Forest poprawnie wykrył wszystkie osoby z grupy wysokiego wpływu (czułość = 1,00), przy swoistości 0,74. Oznacza to, że model nie pominął żadnej osoby rzeczywiście należącej do tej grupy, ale jednocześnie zaklasyfikował do klasy wysokiego wpływu 21 osób, które faktycznie do niej nie należały (</w:t>
      </w:r>
      <w:hyperlink w:anchor="tbl-prog">
        <w:r>
          <w:rPr>
            <w:rStyle w:val="Hyperlink"/>
          </w:rPr>
          <w:t xml:space="preserve">Tabela 7</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9" w:name="tbl-prog"/>
          <w:p>
            <w:pPr>
              <w:jc w:val="center"/>
            </w:pPr>
            <w:pPr>
              <w:jc w:val="left"/>
              <w:spacing w:before="200"/>
              <w:pStyle w:val="ImageCaption"/>
            </w:pPr>
            <w:r>
              <w:t xml:space="preserve">Tabela 7: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23"/>
              <w:gridCol w:w="1422"/>
              <w:gridCol w:w="1580"/>
              <w:gridCol w:w="1343"/>
              <w:gridCol w:w="237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Indeks J Youdena = czułość + swoistość − 1; im wyższy, tym lepsze łączne wykrywanie obu klas (0 = poziom losowy, 1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Zbalansowana trafność = średnia z czułości i swoistości; w przeciwieństwie do zwykłej trafności nie jest zawyżana przez liczebną przewagę klasy negatywnej.</w:t>
                  </w:r>
                </w:p>
              </w:tc>
            </w:tr>
          </w:tbl>
          <w:bookmarkEnd w:id="59"/>
        </w:tc>
      </w:tr>
    </w:tbl>
    <w:p>
      <w:pPr>
        <w:pStyle w:val="BodyText"/>
      </w:pPr>
      <w:r>
        <w:t xml:space="preserve">Tak wysoka czułość wiąże się jednak z kosztem precyzji: spośród osób wskazanych przez model jako wysokiego wpływu znaczna część (21 z około 30 wskazań w zbiorze testowym) to wskazania fałszywie dodatnie. W zastosowaniach wymagających wąskiej, trafnej listy (np. typowanie kandydatów do wyróżnień) próg Youdena może być więc zbyt agresywny, a wybór progu powinien zależeć od tego, czy droższy jest błąd pominięcia, czy fałszywego wskazania.</w:t>
      </w:r>
    </w:p>
    <w:p>
      <w:pPr>
        <w:pStyle w:val="BodyText"/>
      </w:pPr>
      <w:r>
        <w:t xml:space="preserve">Wyniki modelu predykcyjnego oraz analiza ważności cech (ważność permutacyjna Random Forest i wartości SHAP dla XGBoost;</w:t>
      </w:r>
      <w:r>
        <w:t xml:space="preserve"> </w:t>
      </w:r>
      <w:hyperlink w:anchor="fig-waznosc">
        <w:r>
          <w:rPr>
            <w:rStyle w:val="Hyperlink"/>
          </w:rPr>
          <w:t xml:space="preserve">Rysunek 8</w:t>
        </w:r>
      </w:hyperlink>
      <w:r>
        <w:t xml:space="preserve">) pokazały, że największe znaczenie dla przewidywania wysokiego wpływu naukowego miała liczba publikacji. Oznacza to, że osoby z większym dorobkiem publikacyjnym częściej należały do grupy wysokiego wpływu. W dalszej kolejności znaczenie miały cechy związane ze współpracą naukową, zwłaszcza liczba unikalnych współautorów, średnia liczba autorów jednej publikacji oraz średni FWCI.</w:t>
      </w:r>
    </w:p>
    <w:p>
      <w:pPr>
        <w:pStyle w:val="BodyText"/>
      </w:pPr>
      <w:r>
        <w:t xml:space="preserve">Stanowisko i uczelnia miały znacznie mniejsze znaczenie dla predykcji. Wynik ten wskazuje, że model przewidywał wysoki wpływ głównie na podstawie produktywności badacza i jego powiązań współautorskich, a nie na podstawie formalnej pozycji akademickiej czy afiliacji uczelnianej.</w:t>
      </w:r>
    </w:p>
    <w:tbl>
      <w:tblPr>
        <w:tblStyle w:val="Table"/>
        <w:tblW w:type="dxa" w:w="9638"/>
        <w:tblLayout w:type="autofit"/>
        <w:tblLook w:firstRow="0" w:lastRow="0" w:firstColumn="0" w:lastColumn="0" w:noHBand="0" w:noVBand="0" w:val="0000"/>
      </w:tblPr>
      <w:tblGrid>
        <w:gridCol w:w="9638"/>
      </w:tblGrid>
      <w:tr>
        <w:tc>
          <w:tcPr/>
          <w:bookmarkStart w:id="63" w:name="fig-waznosc"/>
          <w:p>
            <w:pPr>
              <w:pStyle w:val="Compact"/>
              <w:jc w:val="center"/>
            </w:pPr>
            <w:r>
              <w:drawing>
                <wp:inline>
                  <wp:extent cx="5334000" cy="3006436"/>
                  <wp:effectExtent b="0" l="0" r="0" t="0"/>
                  <wp:docPr descr="" title="" id="61" name="Picture"/>
                  <a:graphic>
                    <a:graphicData uri="http://schemas.openxmlformats.org/drawingml/2006/picture">
                      <pic:pic>
                        <pic:nvPicPr>
                          <pic:cNvPr descr="../Wykresy/praca/fig_04b_waznosc.png" id="62" name="Picture"/>
                          <pic:cNvPicPr>
                            <a:picLocks noChangeArrowheads="1" noChangeAspect="1"/>
                          </pic:cNvPicPr>
                        </pic:nvPicPr>
                        <pic:blipFill>
                          <a:blip r:embed="rId60"/>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8: Najważniejsze predyktory wysokiego wpływu publikacyjnego w modelu Random Forest (ważność permutacyjna). Kolor oznacza kategorię cechy: produktywność, współpraca i cytowania oraz cechy formalne (uczelnia, stanowisko).</w:t>
            </w:r>
          </w:p>
          <w:bookmarkEnd w:id="63"/>
        </w:tc>
      </w:tr>
    </w:tbl>
    <w:p>
      <w:pPr>
        <w:pStyle w:val="BodyText"/>
      </w:pPr>
      <w:r>
        <w:t xml:space="preserve">W odpowiedzi na pytanie 3 wyniki pokazują, że wysoki wpływ naukowy można przewidywać na podstawie cech badacza, takich jak stanowisko, uczelnia, liczba publikacji i współpraca naukowa. Model osiągnął bardzo dobrą zdolność rozróżniania osób o wysokim i niższym wpływie naukowym (AUC ok. 0,97).</w:t>
      </w:r>
    </w:p>
    <w:bookmarkStart w:id="68" w:name="X799efba27fc6d09a0b5025f13f38b8866705e0f"/>
    <w:p>
      <w:pPr>
        <w:pStyle w:val="Heading3"/>
      </w:pPr>
      <w:r>
        <w:t xml:space="preserve">Model jakościowy: czy wysoki wpływ publikacyjny zależy tylko od stażu?</w:t>
      </w:r>
    </w:p>
    <w:p>
      <w:pPr>
        <w:pStyle w:val="FirstParagraph"/>
      </w:pPr>
      <w:r>
        <w:t xml:space="preserve">Poprzedni model przewidywał sumaryczny IF, czyli wskaźnik kumulatywny. Taki wskaźnik rośnie wraz z liczbą publikacji, dlatego duże znaczenie liczby publikacji w modelu było oczekiwane. Z tego powodu zbudowano drugi model, który miał sprawdzić nie wielkość dorobku, lecz jego jakość.</w:t>
      </w:r>
    </w:p>
    <w:p>
      <w:pPr>
        <w:pStyle w:val="BodyText"/>
      </w:pPr>
      <w:r>
        <w:t xml:space="preserve">W tym modelu zmienną celu była wysoka jakość publikacji, określona jako średni FWCI większy niż 1. Oznacza to, że publikacje danej osoby były cytowane powyżej średniej światowej w swojej dziedzinie. Do tej grupy należały 234 z 366 osób z dostępnymi danymi OpenAlex, czyli 63,9 %. Z modelu usunięto zmienne bezpośrednio związane z IF, a dodano wiek akademicki, czyli liczbę lat od pierwszej publikacji.</w:t>
      </w:r>
    </w:p>
    <w:p>
      <w:pPr>
        <w:pStyle w:val="BodyText"/>
      </w:pPr>
      <w:r>
        <w:t xml:space="preserve">Wyniki są istotne z dwóch powodów. Po pierwsze, jakość dorobku jest trudniejsza do przewidywania niż jego skumulowana wielkość. AUC modelu jakościowego wyniosło około 0,81 (RF 0,807; XGBoost 0,810), podczas gdy w modelu ilościowym było bliskie 0,97.</w:t>
      </w:r>
    </w:p>
    <w:p>
      <w:pPr>
        <w:pStyle w:val="BodyText"/>
      </w:pPr>
      <w:r>
        <w:t xml:space="preserve">Po drugie, w modelu jakościowym największego znaczenia nie miały ani wiek akademicki, ani liczba publikacji. Najważniejsze okazały się cechy związane ze współpracą naukową, przede wszystkim średnia liczba autorów jednej publikacji oraz liczba unikalnych współautorów. Stanowisko i uczelnia miały niewielkie znaczenie (</w:t>
      </w:r>
      <w:hyperlink w:anchor="fig-waznosc-jakosc">
        <w:r>
          <w:rPr>
            <w:rStyle w:val="Hyperlink"/>
          </w:rPr>
          <w:t xml:space="preserve">Rysunek 9</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67" w:name="fig-waznosc-jakosc"/>
          <w:p>
            <w:pPr>
              <w:pStyle w:val="Compact"/>
              <w:jc w:val="center"/>
            </w:pPr>
            <w:r>
              <w:drawing>
                <wp:inline>
                  <wp:extent cx="5334000" cy="3006436"/>
                  <wp:effectExtent b="0" l="0" r="0" t="0"/>
                  <wp:docPr descr="" title="" id="65" name="Picture"/>
                  <a:graphic>
                    <a:graphicData uri="http://schemas.openxmlformats.org/drawingml/2006/picture">
                      <pic:pic>
                        <pic:nvPicPr>
                          <pic:cNvPr descr="../Wykresy/praca/fig_04c_waznosc_jakosc.png" id="66" name="Picture"/>
                          <pic:cNvPicPr>
                            <a:picLocks noChangeArrowheads="1" noChangeAspect="1"/>
                          </pic:cNvPicPr>
                        </pic:nvPicPr>
                        <pic:blipFill>
                          <a:blip r:embed="rId64"/>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9: Najważniejsze predyktory jakości dorobku w modelu Random Forest. Model przewidywał, czy średni FWCI badacza przekracza 1. Największe znaczenie miały cechy współpracy naukowej, zwłaszcza średnia liczba autorów jednej publikacji i liczba unikalnych współautorów. Wiek akademicki, liczba publikacji, stanowisko i uczelnia miały mniejsze znaczenie. Kolor oznacza kategorię zmiennej.</w:t>
            </w:r>
          </w:p>
          <w:bookmarkEnd w:id="67"/>
        </w:tc>
      </w:tr>
    </w:tbl>
    <w:p>
      <w:pPr>
        <w:pStyle w:val="BodyText"/>
      </w:pPr>
      <w:r>
        <w:t xml:space="preserve">Oznacza to, że wysoki wpływ pojedynczych publikacji częściej wiąże się z pracą w szerszych, wieloautorskich zespołach niż ze stażem, liczbą publikacji czy formalnym stanowiskiem. Podobny wniosek wynikał już z analizy klastrów, w której wyróżniono profil jakościowy obejmujący wielu młodszych badaczy. Pokazuje to, że wysoka jakość dorobku nie musi być związana z długim stażem ani dużą liczbą publikacji.</w:t>
      </w:r>
    </w:p>
    <w:bookmarkEnd w:id="68"/>
    <w:bookmarkEnd w:id="69"/>
    <w:bookmarkStart w:id="79" w:name="sieć-współautorstwa-pytanie-4"/>
    <w:p>
      <w:pPr>
        <w:pStyle w:val="Heading2"/>
      </w:pPr>
      <w:r>
        <w:t xml:space="preserve">Sieć współautorstwa (pytanie 4)</w:t>
      </w:r>
    </w:p>
    <w:p>
      <w:pPr>
        <w:pStyle w:val="FirstParagraph"/>
      </w:pPr>
      <w:r>
        <w:t xml:space="preserve">Sieć współautorstwa utworzono na podstawie danych OpenAlex. Uwzględniono tylko współprace między osobami z badanej próby oraz tylko takie pary autorów, które miały co najmniej dwie wspólne publikacje. Ostateczna sieć obejmowała 367 badaczy i 630 połączeń między nimi.</w:t>
      </w:r>
    </w:p>
    <w:p>
      <w:pPr>
        <w:pStyle w:val="BodyText"/>
      </w:pPr>
      <w:r>
        <w:t xml:space="preserve">Największa spójna część sieci, czyli grupa badaczy połączonych ze sobą bezpośrednio lub pośrednio przez współautorów, liczyła 265 osób. Stanowiło to 72 % wszystkich węzłów sieci. W tej części znajdowało się 595 połączeń. Gęstość sieci wyniosła 0,017, a współczynnik gronowania 0,37.</w:t>
      </w:r>
    </w:p>
    <w:tbl>
      <w:tblPr>
        <w:tblStyle w:val="Table"/>
        <w:tblW w:type="dxa" w:w="9638"/>
        <w:tblLayout w:type="autofit"/>
        <w:tblLook w:firstRow="0" w:lastRow="0" w:firstColumn="0" w:lastColumn="0" w:noHBand="0" w:noVBand="0" w:val="0000"/>
      </w:tblPr>
      <w:tblGrid>
        <w:gridCol w:w="9638"/>
      </w:tblGrid>
      <w:tr>
        <w:tc>
          <w:tcPr/>
          <w:bookmarkStart w:id="73" w:name="fig-siec"/>
          <w:p>
            <w:pPr>
              <w:pStyle w:val="Compact"/>
              <w:jc w:val="center"/>
            </w:pPr>
            <w:r>
              <w:drawing>
                <wp:inline>
                  <wp:extent cx="5067300" cy="4504266"/>
                  <wp:effectExtent b="0" l="0" r="0" t="0"/>
                  <wp:docPr descr="" title="" id="71" name="Picture"/>
                  <a:graphic>
                    <a:graphicData uri="http://schemas.openxmlformats.org/drawingml/2006/picture">
                      <pic:pic>
                        <pic:nvPicPr>
                          <pic:cNvPr descr="../Wykresy/praca/fig_05a_siec.png" id="72" name="Picture"/>
                          <pic:cNvPicPr>
                            <a:picLocks noChangeArrowheads="1" noChangeAspect="1"/>
                          </pic:cNvPicPr>
                        </pic:nvPicPr>
                        <pic:blipFill>
                          <a:blip r:embed="rId70"/>
                          <a:stretch>
                            <a:fillRect/>
                          </a:stretch>
                        </pic:blipFill>
                        <pic:spPr bwMode="auto">
                          <a:xfrm>
                            <a:off x="0" y="0"/>
                            <a:ext cx="5067300" cy="45042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10: Sieć współautorstwa naukowców badanej dyscypliny. Węzły to badacze (kolor oznacza uczelnię, wielkość liczbę połączeń), a krawędzie wspólne publikacje. Skupiska tej samej barwy pokazują, że współpraca koncentruje się wewnątrz uczelni.</w:t>
            </w:r>
          </w:p>
          <w:bookmarkEnd w:id="73"/>
        </w:tc>
      </w:tr>
    </w:tbl>
    <w:p>
      <w:pPr>
        <w:pStyle w:val="BodyText"/>
      </w:pPr>
      <w:r>
        <w:t xml:space="preserve">Wykrywanie wspólnot metodą Louvain pozwoliło wyodrębnić 21 społeczności współautorskich. Metoda ta wyszukuje w sieci grupy silniej połączone wewnętrznie niż z resztą sieci, czyli zespoły badaczy, którzy częściej publikują między sobą niż z osobami spoza grupy. Wysoka modularność (Q = 0,856) wskazuje na wyraźny podział sieci na odrębne środowiska współpracy (</w:t>
      </w:r>
      <w:hyperlink w:anchor="fig-siec">
        <w:r>
          <w:rPr>
            <w:rStyle w:val="Hyperlink"/>
          </w:rPr>
          <w:t xml:space="preserve">Rysunek 10</w:t>
        </w:r>
      </w:hyperlink>
      <w:r>
        <w:t xml:space="preserve">). Modularność przyjmuje wartości od 0 do około 1: im wyższa, tym silniej sieć dzieli się na grupy gęsto połączone wewnątrz i słabo między sobą. Wartości powyżej 0,3–0,4 uznaje się już za wyraźną strukturę społecznościową, więc poziom 0,856 jest bardzo wysoki.</w:t>
      </w:r>
    </w:p>
    <w:p>
      <w:pPr>
        <w:pStyle w:val="BodyText"/>
      </w:pPr>
      <w:r>
        <w:t xml:space="preserve">Następnie sprawdzono, czy te społeczności pokrywają się raczej z podziałem na uczelnie, czy na stanowiska. Porównano w tym celu podział sieci na społeczności z podziałem według uczelni oraz według stanowiska, używając skorygowanego indeksu Randa (ARI)</w:t>
      </w:r>
      <w:r>
        <w:t xml:space="preserve"> </w:t>
      </w:r>
      <w:r>
        <w:t xml:space="preserve">(</w:t>
      </w:r>
      <w:hyperlink w:anchor="ref-hubert1985">
        <w:r>
          <w:rPr>
            <w:rStyle w:val="Hyperlink"/>
          </w:rPr>
          <w:t xml:space="preserve">Hubert i Arabie 1985</w:t>
        </w:r>
      </w:hyperlink>
      <w:r>
        <w:t xml:space="preserve">)</w:t>
      </w:r>
      <w:r>
        <w:t xml:space="preserve"> </w:t>
      </w:r>
      <w:r>
        <w:t xml:space="preserve">i znormalizowanej informacji wzajemnej (NMI). Obie miary mówią, jak bardzo dwa podziały są do siebie podobne. Przyjmują wartość 1, gdy podziały są identyczne, i wartości bliskie 0, gdy są zasadniczo niezależne (dla ARI poziom 0 odpowiada zgodności na poziomie losowym, a nie brakowi wspólnych elementów); im wyższa wartość, tym większa zgodność (</w:t>
      </w:r>
      <w:hyperlink w:anchor="tbl-spolecznosci">
        <w:r>
          <w:rPr>
            <w:rStyle w:val="Hyperlink"/>
          </w:rPr>
          <w:t xml:space="preserve">Tabela 8</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74" w:name="tbl-spolecznosci"/>
          <w:p>
            <w:pPr>
              <w:jc w:val="center"/>
            </w:pPr>
            <w:pPr>
              <w:jc w:val="left"/>
              <w:spacing w:before="200"/>
              <w:pStyle w:val="ImageCaption"/>
            </w:pPr>
            <w:r>
              <w:t xml:space="preserve">Tabela 8: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5484"/>
              <w:gridCol w:w="2077"/>
              <w:gridCol w:w="20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(skorygowany indeks Randa) i NMI (znormalizowana informacja wzajemna) mierzą zgodność dwóch podziałów.</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Wartość 1 oznacza podziały identyczne, a wartości bliskie 0 podziały niezależne (dla ARI poziom 0 odpowiada zgodności losowej, a nie brakowi wspólnych elementów).</w:t>
                  </w:r>
                </w:p>
              </w:tc>
            </w:tr>
          </w:tbl>
          <w:bookmarkEnd w:id="74"/>
        </w:tc>
      </w:tr>
    </w:tbl>
    <w:tbl>
      <w:tblPr>
        <w:tblStyle w:val="Table"/>
        <w:tblW w:type="dxa" w:w="9638"/>
        <w:tblLayout w:type="autofit"/>
        <w:tblLook w:firstRow="0" w:lastRow="0" w:firstColumn="0" w:lastColumn="0" w:noHBand="0" w:noVBand="0" w:val="0000"/>
      </w:tblPr>
      <w:tblGrid>
        <w:gridCol w:w="9638"/>
      </w:tblGrid>
      <w:tr>
        <w:tc>
          <w:tcPr/>
          <w:bookmarkStart w:id="78" w:name="fig-spolecznosci"/>
          <w:p>
            <w:pPr>
              <w:pStyle w:val="Compact"/>
              <w:jc w:val="center"/>
            </w:pPr>
            <w:r>
              <w:drawing>
                <wp:inline>
                  <wp:extent cx="5334000" cy="6096000"/>
                  <wp:effectExtent b="0" l="0" r="0" t="0"/>
                  <wp:docPr descr="" title="" id="76" name="Picture"/>
                  <a:graphic>
                    <a:graphicData uri="http://schemas.openxmlformats.org/drawingml/2006/picture">
                      <pic:pic>
                        <pic:nvPicPr>
                          <pic:cNvPr descr="../Wykresy/praca/fig_05b_spolecznosci.png" id="77" name="Picture"/>
                          <pic:cNvPicPr>
                            <a:picLocks noChangeArrowheads="1" noChangeAspect="1"/>
                          </pic:cNvPicPr>
                        </pic:nvPicPr>
                        <pic:blipFill>
                          <a:blip r:embed="rId75"/>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11: Zgodność społeczności Louvain z uczelnią. Każdy wiersz to jedna społeczność (uporządkowane według wielkości); wartość i intensywność oznaczają udział danej uczelni, a kolor typ społeczności: czerwień to społeczność jednouczelniana, turkus to społeczność mieszana (współpraca międzyuczelniana). Niemal wszystkie społeczności są jednorodne uczelniano.</w:t>
            </w:r>
          </w:p>
          <w:bookmarkEnd w:id="78"/>
        </w:tc>
      </w:tr>
    </w:tbl>
    <w:p>
      <w:pPr>
        <w:pStyle w:val="BodyText"/>
      </w:pPr>
      <w:r>
        <w:t xml:space="preserve">Społeczności współautorskie są znacznie silniej związane z uczelnią niż ze stanowiskiem. Zgodność społeczności z uczelnią jest wyraźna (NMI = 0,58), natomiast zgodność ze stanowiskiem jest bardzo słaba (NMI = 0,09). Oznacza to, że autorzy łączą się w grupy współpracy głównie według afiliacji uczelnianej, a nie według pozycji akademickiej.</w:t>
      </w:r>
    </w:p>
    <w:p>
      <w:pPr>
        <w:pStyle w:val="BodyText"/>
      </w:pPr>
      <w:r>
        <w:t xml:space="preserve">Potwierdza to heatmapa zgodności (</w:t>
      </w:r>
      <w:hyperlink w:anchor="fig-spolecznosci">
        <w:r>
          <w:rPr>
            <w:rStyle w:val="Hyperlink"/>
          </w:rPr>
          <w:t xml:space="preserve">Rysunek 11</w:t>
        </w:r>
      </w:hyperlink>
      <w:r>
        <w:t xml:space="preserve">). Większość społeczności składa się w całości lub prawie w całości z osób z jednej uczelni. Społeczności międzyuczelniane występują, ale są nieliczne. Współpraca naukowa w badanej dyscyplinie ma więc przede wszystkim charakter wewnątrzinstytucjonalny.</w:t>
      </w:r>
    </w:p>
    <w:p>
      <w:pPr>
        <w:pStyle w:val="BodyText"/>
      </w:pPr>
      <w:r>
        <w:t xml:space="preserve">Najwyższą centralność stopnia, czyli największą liczbę bezpośrednich powiązań współautorskich, osiąga profesor z URK (S. Smoleń). Wśród najbardziej centralnych osób znajduje się także grupa badaczy gleboznawczych z UPWr.</w:t>
      </w:r>
    </w:p>
    <w:bookmarkEnd w:id="79"/>
    <w:bookmarkEnd w:id="80"/>
    <w:bookmarkStart w:id="90" w:name="dyskusja"/>
    <w:p>
      <w:pPr>
        <w:pStyle w:val="Heading1"/>
      </w:pPr>
      <w:r>
        <w:t xml:space="preserve">Dyskusja</w:t>
      </w:r>
    </w:p>
    <w:bookmarkStart w:id="81" w:name="X8e8cd80b7d1e8d8e23d38bfd67a798253a95b88"/>
    <w:p>
      <w:pPr>
        <w:pStyle w:val="Heading2"/>
      </w:pPr>
      <w:r>
        <w:t xml:space="preserve">Dwoistość: profil indywidualny a struktura współpracy</w:t>
      </w:r>
    </w:p>
    <w:p>
      <w:pPr>
        <w:pStyle w:val="FirstParagraph"/>
      </w:pPr>
      <w:r>
        <w:t xml:space="preserve">Analiza danych wykazuje, że indywidualny dorobek naukowców i ich współpraca naukowa układają się według różnych zasad. Dorobek pojedynczych badaczy jest związany przede wszystkim ze stanowiskiem, czyli pośrednio ze stażem i etapem kariery. Pokazały to zarówno porównania wskaźników bibliometrycznych, jak i analiza klastrów. Wskaźniki dorobku rosną zwykle od adiunktów, przez profesorów uczelni, do profesorów. Również przynależność do klastra o wysokim dorobku jest silnie związana ze stanowiskiem (Craméra V = 0,45), a tylko słabo z uczelnią (V = 0,10).</w:t>
      </w:r>
    </w:p>
    <w:p>
      <w:pPr>
        <w:pStyle w:val="BodyText"/>
      </w:pPr>
      <w:r>
        <w:t xml:space="preserve">Warto odnotować bardzo wysoką korelację sumarycznego IF z punktacją MEiN (r = 0,95, w trzech uczelniach udostępniających tę metrykę). Na poziomie zagregowanym polski system punktacji czasopism, mimo powszechnej krytyki jego stabilności, w analizowanej dyscyplinie silnie odzwierciedla międzynarodowy Impact Factor. Spójnie z tym wskaźnik IF / MEiN nie różnicował istotnie badanych grup (p = 0,075), co sugeruje, że relacja punktów do IF jest zbliżona niezależnie od uczelni i stanowiska, choć przy granicznej istotności wniosek ten wymaga ostrożności.</w:t>
      </w:r>
    </w:p>
    <w:p>
      <w:pPr>
        <w:pStyle w:val="BodyText"/>
      </w:pPr>
      <w:r>
        <w:t xml:space="preserve">Inaczej wygląda sieć współautorstwa. Wspólnoty wykryte w sieci pokrywają się przede wszystkim z uczelnią, a nie ze stanowiskiem. Zgodność społeczności z uczelnią jest wyraźna (NMI = 0,58), natomiast zgodność ze stanowiskiem jest bardzo słaba (NMI = 0,09). Oznacza to, że badacze o podobnym poziomie dorobku mogą pracować w różnych uczelniach, ale faktyczna współpraca naukowa najczęściej przebiega wewnątrz instytucji.</w:t>
      </w:r>
    </w:p>
    <w:p>
      <w:pPr>
        <w:pStyle w:val="BodyText"/>
      </w:pPr>
      <w:r>
        <w:t xml:space="preserve">Innymi słowy, profil bibliometryczny naukowca zależy głównie od etapu kariery, a nie od macierzystej uczelni. Natomiast struktura współpracy naukowej jest związana przede wszystkim z afiliacją. Badacze najczęściej współpracują z osobami z tej samej instytucji, a współprace międzyuczelniane są stosunkowo nieliczne. Potwierdza to wysoka modularność sieci (Q = 0,856), wskazująca na wyraźnie oddzielone grupy współautorskie.</w:t>
      </w:r>
    </w:p>
    <w:p>
      <w:pPr>
        <w:pStyle w:val="BodyText"/>
      </w:pPr>
      <w:r>
        <w:t xml:space="preserve">Taki układ może wynikać ze specyfiki nauk rolniczych. W tej dziedzinie część badań jest silnie związana z lokalną infrastrukturą i warunkami prowadzenia eksperymentów, takimi jak pola doświadczalne, stacje badawcze czy lokalne uwarunkowania glebowo-klimatyczne. Może to sprzyjać współpracy w obrębie tej samej uczelni lub ośrodka badawczego.</w:t>
      </w:r>
    </w:p>
    <w:bookmarkEnd w:id="81"/>
    <w:bookmarkStart w:id="82" w:name="X55d3951ebce5c318a1ba2b13bef613b3921736b"/>
    <w:p>
      <w:pPr>
        <w:pStyle w:val="Heading2"/>
      </w:pPr>
      <w:r>
        <w:t xml:space="preserve">Predyktory wysokiego wpływu publikacyjnego</w:t>
      </w:r>
    </w:p>
    <w:p>
      <w:pPr>
        <w:pStyle w:val="FirstParagraph"/>
      </w:pPr>
      <w:r>
        <w:t xml:space="preserve">Modelowanie predykcyjne pokazuje, że wysoki wpływ publikacyjny, zdefiniowany jako przynależność do górnego decyla sumarycznego IF, można dobrze przewidywać na podstawie cech badacza. Model osiągnął bardzo dobrą zdolność rozróżniania osób o wysokim i niższym wpływie publikacyjnym (AUC ok. 0,97). Najważniejsze znaczenie miały liczba publikacji oraz cechy współpracy naukowej, zwłaszcza liczba unikalnych współautorów i średni FWCI. Znacznie mniejsze znaczenie miały natomiast stanowisko i uczelnia.</w:t>
      </w:r>
    </w:p>
    <w:p>
      <w:pPr>
        <w:pStyle w:val="BodyText"/>
      </w:pPr>
      <w:r>
        <w:t xml:space="preserve">Wynik ten sugeruje, że wysoki skumulowany wpływ publikacyjny wiąże się przede wszystkim z produktywnością oraz udziałem w sieci współpracy, a nie bezpośrednio z formalną pozycją akademicką czy afiliacją. Niska czułość modelu przy domyślnym progu klasyfikacji 0,5 wynikała głównie z niedopasowania progu do rzadkiej klasy wysokiego wpływu, a nie ze słabej jakości modelu. Po obniżeniu progu na podstawie danych walidacyjnych model poprawnie identyfikował wszystkie osoby z grupy wysokiego wpływu publikacyjnego (czułość = 1,00), przy zbalansowanej trafności 0,87.</w:t>
      </w:r>
    </w:p>
    <w:p>
      <w:pPr>
        <w:pStyle w:val="BodyText"/>
      </w:pPr>
      <w:r>
        <w:t xml:space="preserve">Model jakościowy uzupełnia tę interpretację. Gdy zmienną celu była jakość dorobku, zdefiniowana jako średni FWCI większy niż 1, wyniki były słabsze niż w modelu ilościowym (AUC ok. 0,81). Zmieniła się także hierarchia predyktorów. Liczba publikacji i wiek akademicki miały mniejsze znaczenie, natomiast na pierwszy plan wysunęły się cechy współpracy naukowej, zwłaszcza średnia liczba autorów jednej publikacji oraz liczba unikalnych współautorów.</w:t>
      </w:r>
    </w:p>
    <w:p>
      <w:pPr>
        <w:pStyle w:val="BodyText"/>
      </w:pPr>
      <w:r>
        <w:t xml:space="preserve">Oznacza to, że skumulowany wpływ publikacyjny jest silnie związany z wielkością dorobku, ale jakość pojedynczych publikacji zależy bardziej od sposobu współpracy naukowej niż od stażu czy formalnego stanowiska. Wynik ten pokazuje, że wysoki wpływ publikacyjny nie jest wyłącznie efektem długiego stażu akademickiego. Podobny wniosek wynikał już z analizy klastrów, w której wyróżniono profil jakościowy obejmujący wielu młodszych badaczy.</w:t>
      </w:r>
    </w:p>
    <w:p>
      <w:pPr>
        <w:pStyle w:val="BodyText"/>
      </w:pPr>
      <w:r>
        <w:t xml:space="preserve">Spójny obraz daje też wariant klastrowania k = 3, w którym wyodrębniono profil jakościowy zdominowany przez asystentów i adiunktów o wysokim FWCI i IF na publikację. Może to odzwierciedlać zmianę pokoleniową, w której młodsi badacze częściej publikują w prestiżowych czasopismach o szerokim zasięgu, w ramach większych zespołów współautorskich, zamiast budować dużą liczbę prac o niższym oddziaływaniu. Ponieważ dane mają charakter przekrojowy, interpretację tę należy traktować jako hipotezę: nie można odróżnić rzeczywistego efektu pokoleniowego od efektu etapu kariery ani od selekcji osób pozostających w nauce.</w:t>
      </w:r>
    </w:p>
    <w:bookmarkEnd w:id="82"/>
    <w:bookmarkStart w:id="83" w:name="kategoria-ewaluacyjna-mein"/>
    <w:p>
      <w:pPr>
        <w:pStyle w:val="Heading2"/>
      </w:pPr>
      <w:r>
        <w:t xml:space="preserve">Kategoria ewaluacyjna MEiN</w:t>
      </w:r>
    </w:p>
    <w:p>
      <w:pPr>
        <w:pStyle w:val="FirstParagraph"/>
      </w:pPr>
      <w:r>
        <w:t xml:space="preserve">Kategorii ewaluacyjnej MEiN nie można było analizować jako niezależnego czynnika, ponieważ w badanej próbie była ona ściśle powiązana z uczelnią. Tylko UWM miała kategorię B+, natomiast pozostałe trzy uczelnie miały kategorię A. Nie da się więc rozstrzygnąć, czy ewentualne różnice wynikają z kategorii ewaluacyjnej, czy ze specyfiki konkretnej uczelni.</w:t>
      </w:r>
    </w:p>
    <w:p>
      <w:pPr>
        <w:pStyle w:val="BodyText"/>
      </w:pPr>
      <w:r>
        <w:t xml:space="preserve">Na poziomie opisowym UWM nie wypada jednak wyraźnie słabiej niż uczelnie kategorii A. Mediany jej wskaźników bibliometrycznych mieszczą się w zakresie wartości obserwowanych w pozostałych uczelniach. Sugeruje to, że formalna kategoria ewaluacyjna nie musi bezpośrednio przekładać się na indywidualne wskaźniki bibliometryczne badanych pracowników.</w:t>
      </w:r>
    </w:p>
    <w:p>
      <w:pPr>
        <w:pStyle w:val="BodyText"/>
      </w:pPr>
      <w:r>
        <w:t xml:space="preserve">Wniosek ten należy jednak traktować ostrożnie. W badaniu uwzględniono tylko jedną uczelnię z kategorią B+, dlatego zależność między kategorią ewaluacyjną a indywidualnym dorobkiem naukowców wymagałaby sprawdzenia na większej próbie uczelni.</w:t>
      </w:r>
    </w:p>
    <w:bookmarkEnd w:id="83"/>
    <w:bookmarkStart w:id="88" w:name="Xc8114be83f87911a3e825982079ac6b9186de2d"/>
    <w:p>
      <w:pPr>
        <w:pStyle w:val="Heading2"/>
      </w:pPr>
      <w:r>
        <w:t xml:space="preserve">Dynamika rozwoju a wrażliwość na źródło danych</w:t>
      </w:r>
    </w:p>
    <w:p>
      <w:pPr>
        <w:pStyle w:val="FirstParagraph"/>
      </w:pPr>
      <w:r>
        <w:t xml:space="preserve">Statyczną analizę dorobku uzupełniono analizą tempa rozwoju produktywności publikacyjnej poszczególnych uczelni. Tempo to mierzono jako roczny wzrost liczby publikacji na badacza w latach 2008–2024. Analizę wykonano dwukrotnie: najpierw na podstawie danych OpenAlex, a następnie na podstawie pełnych list publikacji z systemu Omega-PSIR.</w:t>
      </w:r>
    </w:p>
    <w:p>
      <w:pPr>
        <w:pStyle w:val="BodyText"/>
      </w:pPr>
      <w:r>
        <w:t xml:space="preserve">Wyniki okazały się silnie zależne od źródła danych. W danych OpenAlex wszystkie uczelnie miały bardzo podobne tempo wzrostu, mieszczące się w wąskim zakresie od 4,0 % do 4,6 % rocznie. Najwyższą wartość uzyskała SGGW (4,6 %), następnie URK (4,2 %), UPWr (4,1 %) i UWM (4,0 %). Na podstawie OpenAlex trudno więc wskazać wyraźne różnice między uczelniami.</w:t>
      </w:r>
    </w:p>
    <w:p>
      <w:pPr>
        <w:pStyle w:val="BodyText"/>
      </w:pPr>
      <w:r>
        <w:t xml:space="preserve">Inny obraz uzyskano po powtórzeniu analizy na pełnych listach publikacji Omega-PSIR, obejmujących 491 osób i także te publikacje, które nie są indeksowane w OpenAlex, np. część polskich czasopism i monografii. W tym ujęciu najwyższe tempo wzrostu miały URK (5,4 %) i UWM (4,9 %), natomiast niższe UPWr (2,7 %) i SGGW (1,2 %) (</w:t>
      </w:r>
      <w:hyperlink w:anchor="fig-dynamika">
        <w:r>
          <w:rPr>
            <w:rStyle w:val="Hyperlink"/>
          </w:rPr>
          <w:t xml:space="preserve">Rysunek 12</w:t>
        </w:r>
      </w:hyperlink>
      <w:r>
        <w:t xml:space="preserve">). Najbardziej widoczna różnica dotyczy SGGW: w danych OpenAlex uczelnia ta miała najwyższe tempo wzrostu, natomiast w danych Omega-PSIR znalazła się na ostatnim miejscu.</w:t>
      </w:r>
    </w:p>
    <w:p>
      <w:pPr>
        <w:pStyle w:val="BodyText"/>
      </w:pPr>
      <w:r>
        <w:t xml:space="preserve">Wynik ten utrzymał się także po ograniczeniu analizy do osób o dłuższym stażu publikacyjnym, czyli takich, których pierwsza publikacja ukazała się nie później niż w 2010 r. Oznacza to, że obserwowane różnice nie wynikają wyłącznie z napływu młodszych badaczy do próby.</w:t>
      </w:r>
    </w:p>
    <w:tbl>
      <w:tblPr>
        <w:tblStyle w:val="Table"/>
        <w:tblW w:type="dxa" w:w="9638"/>
        <w:tblLayout w:type="autofit"/>
        <w:tblLook w:firstRow="0" w:lastRow="0" w:firstColumn="0" w:lastColumn="0" w:noHBand="0" w:noVBand="0" w:val="0000"/>
      </w:tblPr>
      <w:tblGrid>
        <w:gridCol w:w="9638"/>
      </w:tblGrid>
      <w:tr>
        <w:tc>
          <w:tcPr/>
          <w:bookmarkStart w:id="87" w:name="fig-dynamika"/>
          <w:p>
            <w:pPr>
              <w:pStyle w:val="Compact"/>
              <w:jc w:val="center"/>
            </w:pPr>
            <w:r>
              <w:drawing>
                <wp:inline>
                  <wp:extent cx="4267200" cy="2607733"/>
                  <wp:effectExtent b="0" l="0" r="0" t="0"/>
                  <wp:docPr descr="" title="" id="85" name="Picture"/>
                  <a:graphic>
                    <a:graphicData uri="http://schemas.openxmlformats.org/drawingml/2006/picture">
                      <pic:pic>
                        <pic:nvPicPr>
                          <pic:cNvPr descr="../Wykresy/praca/fig_06_dynamika_porownanie.png" id="86" name="Picture"/>
                          <pic:cNvPicPr>
                            <a:picLocks noChangeArrowheads="1" noChangeAspect="1"/>
                          </pic:cNvPicPr>
                        </pic:nvPicPr>
                        <pic:blipFill>
                          <a:blip r:embed="rId84"/>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left"/>
              <w:spacing w:before="200"/>
              <w:pStyle w:val="ImageCaption"/>
            </w:pPr>
            <w:r>
              <w:t xml:space="preserve">Rysunek 12: Roczne tempo wzrostu liczby publikacji na badacza według danych OpenAlex i Omega-PSIR. Linie pokazują 95% przedziały ufności. Wyniki wskazują, że ocena dynamiki rozwoju uczelni zależy od źródła danych.</w:t>
            </w:r>
          </w:p>
          <w:bookmarkEnd w:id="87"/>
        </w:tc>
      </w:tr>
    </w:tbl>
    <w:p>
      <w:pPr>
        <w:pStyle w:val="BodyText"/>
      </w:pPr>
      <w:r>
        <w:t xml:space="preserve">Różnice między wynikami z OpenAlex i Omega-PSIR nie wynikają przede wszystkim z problemów z dopasowaniem autorów do OpenAlex. Po poprawieniu dopasowania URK z 47,5 % do 77,8 % wyniki OpenAlex nadal pokazują bardzo podobne tempo wzrostu we wszystkich uczelniach, na poziomie około 4 %. Natomiast pełne dane z Omega-PSIR ujawniają większe różnice między uczelniami, od 1,2 % do 5,4 %. Oznacza to, że głównym źródłem rozbieżności jest raczej niepełne pokrycie publikacji w OpenAlex niż sam błąd dopasowania autorów.</w:t>
      </w:r>
    </w:p>
    <w:p>
      <w:pPr>
        <w:pStyle w:val="BodyText"/>
      </w:pPr>
      <w:r>
        <w:t xml:space="preserve">OpenAlex nie obejmuje wszystkich publikacji widocznych w systemach Omega-PSIR, zwłaszcza części publikacji w polskich czasopismach i monografii. Dlatego może zaniżać lub zniekształcać obraz dorobku, szczególnie w analizach porównujących uczelnie.</w:t>
      </w:r>
    </w:p>
    <w:p>
      <w:pPr>
        <w:pStyle w:val="BodyText"/>
      </w:pPr>
      <w:r>
        <w:t xml:space="preserve">Wynik ten potwierdza główne założenie metodyczne pracy: w porównaniach międzyuczelnianych ważna jest nie tylko dostępność danych, ale także ich kompletność i porównywalność. Ten sam wskaźnik tempa rozwoju prowadzi do innych wniosków w zależności od źródła danych.</w:t>
      </w:r>
    </w:p>
    <w:p>
      <w:pPr>
        <w:pStyle w:val="BodyText"/>
      </w:pPr>
      <w:r>
        <w:t xml:space="preserve">Różnice między uczelniami należy jednak interpretować ostrożnie, ponieważ przedziały ufności są szerokie i częściowo się nakładają. Bardziej wiarygodny jest ogólny podział na uczelnie o wyższym tempie wzrostu (URK, UWM) oraz uczelnie o bardziej ustabilizowanej produktywności (UPWr, SGGW), niż dokładny ranking uczelni.</w:t>
      </w:r>
    </w:p>
    <w:bookmarkEnd w:id="88"/>
    <w:bookmarkStart w:id="89" w:name="ograniczenia-badania"/>
    <w:p>
      <w:pPr>
        <w:pStyle w:val="Heading2"/>
      </w:pPr>
      <w:r>
        <w:t xml:space="preserve">Ograniczenia badania</w:t>
      </w:r>
    </w:p>
    <w:p>
      <w:pPr>
        <w:pStyle w:val="Compact"/>
        <w:numPr>
          <w:ilvl w:val="0"/>
          <w:numId w:val="1003"/>
        </w:numPr>
      </w:pPr>
      <w:r>
        <w:t xml:space="preserve">Wskaźniki bibliometryczne nie odtwarzają oficjalnej ewaluacji. Analiza opiera się na zagregowanych wskaźnikach przypisanych do autorów, takich jak liczba publikacji, h-index, sumaryczny IF czy punktacja MEiN. Wskaźniki te przybliżają indywidualny dorobek naukowy, ale nie odtwarzają oficjalnego algorytmu ewaluacji jakości działalności naukowej. Oficjalna ewaluacja działa na poziomie uczelni i dyscypliny, uwzględnia udziały jednostkowe autorów, sloty publikacyjne oraz punktację ministerialną, a nie Impact Factor</w:t>
      </w:r>
      <w:r>
        <w:t xml:space="preserve"> </w:t>
      </w:r>
      <w:r>
        <w:t xml:space="preserve">(</w:t>
      </w:r>
      <w:hyperlink w:anchor="ref-rozp_ewaluacja2022">
        <w:r>
          <w:rPr>
            <w:rStyle w:val="Hyperlink"/>
          </w:rPr>
          <w:t xml:space="preserve">Minister Edukacji i Nauki 2022</w:t>
        </w:r>
      </w:hyperlink>
      <w:r>
        <w:t xml:space="preserve">)</w:t>
      </w:r>
      <w:r>
        <w:t xml:space="preserve">. Wyników nie należy więc bezpośrednio przekładać na kategorie ewaluacyjne uczelni.</w:t>
      </w:r>
    </w:p>
    <w:p>
      <w:pPr>
        <w:pStyle w:val="Compact"/>
        <w:numPr>
          <w:ilvl w:val="0"/>
          <w:numId w:val="1003"/>
        </w:numPr>
      </w:pPr>
      <w:r>
        <w:t xml:space="preserve">Kategoria ewaluacyjna jest powiązana z uczelnią. W badanej próbie tylko UWM ma kategorię B+, a pozostałe trzy uczelnie mają kategorię A. Nie można więc oddzielić wpływu kategorii ewaluacyjnej od specyfiki konkretnej uczelni. Z tego powodu kategorię MEiN potraktowano wyłącznie opisowo.</w:t>
      </w:r>
    </w:p>
    <w:p>
      <w:pPr>
        <w:pStyle w:val="Compact"/>
        <w:numPr>
          <w:ilvl w:val="0"/>
          <w:numId w:val="1003"/>
        </w:numPr>
      </w:pPr>
      <w:r>
        <w:t xml:space="preserve">Nie wszystkie uczelnie udostępniają te same metryki. SGGW nie udostępnia sumarycznej punktacji MEiN, a UWM nie udostępnia wskaźnika SNIP. Dlatego część analiz musiała zostać ograniczona do uczelni, dla których dane były dostępne. Ogranicza to porównywalność niektórych wskaźników między uczelniami.</w:t>
      </w:r>
    </w:p>
    <w:p>
      <w:pPr>
        <w:pStyle w:val="Compact"/>
        <w:numPr>
          <w:ilvl w:val="0"/>
          <w:numId w:val="1003"/>
        </w:numPr>
      </w:pPr>
      <w:r>
        <w:t xml:space="preserve">Punktacja MEiN zmieniała się w czasie. Sumaryczna punktacja MEiN obejmuje publikacje oceniane według różnych zasad i wykazów czasopism. Dane z systemu Omega-PSIR podają ją jako jedną wartość zbiorczą, bez rozbicia na okresy. Nie można więc sprawdzić, jak zmiany zasad punktacji wpływały na wynik poszczególnych osób.</w:t>
      </w:r>
    </w:p>
    <w:p>
      <w:pPr>
        <w:pStyle w:val="Compact"/>
        <w:numPr>
          <w:ilvl w:val="0"/>
          <w:numId w:val="1003"/>
        </w:numPr>
      </w:pPr>
      <w:r>
        <w:t xml:space="preserve">Dopasowanie do OpenAlex nie było pełne. Średnio do OpenAlex dopasowano 79,4 % badaczy. Najniższy poziom dopasowania wystąpił w UWM (67,1 %). Oznacza to, że metryki pochodzące z OpenAlex, takie jak FWCI i dane o współautorstwie, dotyczą tylko części próby i mogą być obciążone brakami danych. Dopasowanie miało przy tym charakter automatyczny (filtr ROR + próg Jaro-Winklera), bez ręcznej weryfikacji każdego rekordu, co przy nazwiskach popularnych może być źródłem pojedynczych błędnych przypisań.</w:t>
      </w:r>
    </w:p>
    <w:p>
      <w:pPr>
        <w:pStyle w:val="Compact"/>
        <w:numPr>
          <w:ilvl w:val="0"/>
          <w:numId w:val="1003"/>
        </w:numPr>
      </w:pPr>
      <w:r>
        <w:t xml:space="preserve">Dane mają charakter przekrojowy. Analiza pokazuje stan dorobku osób zatrudnionych w momencie pozyskania danych. Wskaźniki takie jak h-index, liczba publikacji i sumaryczny IF rosną wraz ze stażem, dlatego część różnic między stanowiskami może wynikać po prostu z długości kariery naukowej.</w:t>
      </w:r>
    </w:p>
    <w:p>
      <w:pPr>
        <w:pStyle w:val="Compact"/>
        <w:numPr>
          <w:ilvl w:val="0"/>
          <w:numId w:val="1003"/>
        </w:numPr>
      </w:pPr>
      <w:r>
        <w:t xml:space="preserve">Model ilościowy miał małą klasę pozytywną. W modelu przewidującym wysoki wpływ publikacyjny grupa pozytywna liczyła 46 osób. Mimo zastosowania walidacji krzyżowej i kalibracji progu wyniki tego modelu należy traktować jako orientacyjne.</w:t>
      </w:r>
    </w:p>
    <w:p>
      <w:pPr>
        <w:pStyle w:val="Compact"/>
        <w:numPr>
          <w:ilvl w:val="0"/>
          <w:numId w:val="1003"/>
        </w:numPr>
      </w:pPr>
      <w:r>
        <w:t xml:space="preserve">Próg klasy w modelu ilościowym wyznaczono na pełnej próbie. Granicę górnego decyla sumarycznego IF policzono na całym zbiorze przed podziałem na część uczącą i testową, co może nieznacznie optymistycznie obciążać ocenę tego modelu. Model jakościowy jest wolny od tego problemu, ponieważ próg FWCI = 1 jest stałą zewnętrzną (średnia światowa w dziedzinie), niezależną od rozkładu wartości w próbie.</w:t>
      </w:r>
    </w:p>
    <w:p>
      <w:pPr>
        <w:pStyle w:val="Compact"/>
        <w:numPr>
          <w:ilvl w:val="0"/>
          <w:numId w:val="1003"/>
        </w:numPr>
      </w:pPr>
      <w:r>
        <w:t xml:space="preserve">Model jakościowy opierał się tylko na osobach dopasowanych do OpenAlex. Model FWCI &gt; 1 obejmował 366 osób, czyli tylko część próby. Także wiek akademicki, liczony na podstawie pierwszej publikacji w OpenAlex, jest przybliżeniem rzeczywistego stażu badacza.</w:t>
      </w:r>
    </w:p>
    <w:p>
      <w:pPr>
        <w:pStyle w:val="Compact"/>
        <w:numPr>
          <w:ilvl w:val="0"/>
          <w:numId w:val="1003"/>
        </w:numPr>
      </w:pPr>
      <w:r>
        <w:t xml:space="preserve">Analiza dynamiki ma charakter eksploracyjny. Tempo rozwoju liczono dla osób obecnych w badanej próbie. Nie uwzględnia ono osób, które wcześniej pracowały w uczelni, ale odeszły lub przeszły na emeryturę przed scrapingiem. Analiza opisuje więc historię dorobku obecnej kadry, a nie pełną historię instytucji. Z tego powodu wyniki dynamiki należy traktować jako sygnał kierunkowy, a nie ścisły ranking uczelni.</w:t>
      </w:r>
    </w:p>
    <w:p>
      <w:pPr>
        <w:pStyle w:val="Compact"/>
        <w:numPr>
          <w:ilvl w:val="0"/>
          <w:numId w:val="1003"/>
        </w:numPr>
      </w:pPr>
      <w:r>
        <w:t xml:space="preserve">OpenAlex nie obejmuje pełnego polskiego dorobku. Część polskich czasopism, monografii i innych publikacji widocznych w Omega-PSIR może nie być indeksowana w OpenAlex; pokrycie OpenAlex względem baz komercyjnych było przedmiotem osobnych analiz porównawczych</w:t>
      </w:r>
      <w:r>
        <w:t xml:space="preserve"> </w:t>
      </w:r>
      <w:r>
        <w:t xml:space="preserve">(</w:t>
      </w:r>
      <w:hyperlink w:anchor="ref-culbertReferenceCoverageAnalysis2025">
        <w:r>
          <w:rPr>
            <w:rStyle w:val="Hyperlink"/>
          </w:rPr>
          <w:t xml:space="preserve">Culbert et al. 2025</w:t>
        </w:r>
      </w:hyperlink>
      <w:r>
        <w:t xml:space="preserve">)</w:t>
      </w:r>
      <w:r>
        <w:t xml:space="preserve">. Dlatego Omega-PSIR przyjęto jako źródło podstawowe, a OpenAlex jako źródło uzupełniające.</w:t>
      </w:r>
    </w:p>
    <w:bookmarkEnd w:id="89"/>
    <w:bookmarkEnd w:id="90"/>
    <w:bookmarkStart w:id="92" w:name="wnioski"/>
    <w:p>
      <w:pPr>
        <w:pStyle w:val="Heading1"/>
      </w:pPr>
      <w:r>
        <w:t xml:space="preserve">Wnioski</w:t>
      </w:r>
    </w:p>
    <w:p>
      <w:pPr>
        <w:pStyle w:val="Compact"/>
        <w:numPr>
          <w:ilvl w:val="0"/>
          <w:numId w:val="1004"/>
        </w:numPr>
      </w:pPr>
      <w:r>
        <w:t xml:space="preserve">Typologia profili bibliometrycznych (pytanie 1). Wśród badanych naukowców można wyróżnić dwa główne typy profili bibliometrycznych: grupę badaczy o wysokim dorobku publikacyjnym, obejmującą około 23 % próby, oraz pozostałych badaczy. Podział ten powtarza się w podobnej formie w poszczególnych uczelniach, choć nie wszędzie z taką samą stabilnością. W UPWr grupa o wysokim dorobku ma bardziej ilościowy charakter, ponieważ wyróżnia ją przede wszystkim liczba publikacji. W UWM lokalny podział jest mniej stabilny, co wynika prawdopodobnie z mniejszej liczebności próby.</w:t>
      </w:r>
    </w:p>
    <w:p>
      <w:pPr>
        <w:pStyle w:val="Compact"/>
        <w:numPr>
          <w:ilvl w:val="0"/>
          <w:numId w:val="1004"/>
        </w:numPr>
      </w:pPr>
      <w:r>
        <w:t xml:space="preserve">Różnice między stanowiskami i uczelniami (pytanie 2). Wskaźniki bibliometryczne są silniej związane ze stanowiskiem niż z uczelnią. W większości przypadków rosną one wraz z poziomem stanowiska: od adiunktów, przez profesorów uczelni, do profesorów. Uczelnia ma słabsze znaczenie. Oznacza to, że etap kariery naukowej lepiej wyjaśnia różnice w indywidualnym dorobku niż sama afiliacja uczelniana.</w:t>
      </w:r>
    </w:p>
    <w:p>
      <w:pPr>
        <w:pStyle w:val="Compact"/>
        <w:numPr>
          <w:ilvl w:val="0"/>
          <w:numId w:val="1004"/>
        </w:numPr>
      </w:pPr>
      <w:r>
        <w:t xml:space="preserve">Przewidywanie wysokiego wpływu publikacyjnego (pytanie 3). Wysoki wpływ publikacyjny można dobrze przewidywać na podstawie cech badacza. Model osiągnął wysoką zdolność rozróżniania osób o wysokim i niższym wpływie publikacyjnym (AUC ok. 0,97). Najważniejsze były liczba publikacji oraz cechy współpracy naukowej, a nie formalne stanowisko czy uczelnia. Wyniki predykcyjne należy jednak traktować ostrożnie, ponieważ grupa osób o wysokim wpływie była mała (46 przypadków), a model wymagał kalibracji progu klasyfikacji.</w:t>
      </w:r>
    </w:p>
    <w:p>
      <w:pPr>
        <w:pStyle w:val="Compact"/>
        <w:numPr>
          <w:ilvl w:val="0"/>
          <w:numId w:val="1004"/>
        </w:numPr>
      </w:pPr>
      <w:r>
        <w:t xml:space="preserve">Sieć współautorstwa (pytanie 4). Sieć współautorstwa dzieli się na wyraźne grupy współpracy (Q = 0,856). Grupy te pokrywają się głównie z uczelnią (NMI = 0,58), a nie ze stanowiskiem. Oznacza to, że współpraca naukowa w badanej dyscyplinie ma przede wszystkim charakter wewnątrzuczelniany, a współprace międzyuczelniane są rzadsze.</w:t>
      </w:r>
    </w:p>
    <w:p>
      <w:pPr>
        <w:pStyle w:val="FirstParagraph"/>
      </w:pPr>
      <w:r>
        <w:t xml:space="preserve">Łącznie wyniki pokazują, że indywidualny dorobek naukowców jest związany głównie z etapem kariery, natomiast współpraca naukowa przebiega przede wszystkim w obrębie uczelni. Praca potwierdza także znaczenie jednorodnego źródła danych. Wykorzystanie systemów Omega-PSIR umożliwiło porównywalne pozyskanie wskaźników bibliometrycznych z czterech uczelni, co byłoby znacznie trudniejsze przy użyciu różnych, niejednolitych repozytoriów.</w:t>
      </w:r>
    </w:p>
    <w:bookmarkStart w:id="91" w:name="wnioski-dla-praktyki"/>
    <w:p>
      <w:pPr>
        <w:pStyle w:val="Heading2"/>
      </w:pPr>
      <w:r>
        <w:t xml:space="preserve">Wnioski dla praktyki</w:t>
      </w:r>
    </w:p>
    <w:p>
      <w:pPr>
        <w:pStyle w:val="FirstParagraph"/>
      </w:pPr>
      <w:r>
        <w:t xml:space="preserve">Wyniki badania mogą być użyteczne dla osób i instytucji odpowiedzialnych za systemy informacji o nauce, a także dla rad dyscypliny rolnictwo i ogrodnictwo. Mogą one wspierać lepsze rozpoznanie struktury dorobku, zakresu współpracy oraz tempa rozwoju naukowego w obrębie tej dyscypliny. Należy je jednak traktować jako sugestie, a nie gotowe rekomendacje, ponieważ analiza ma charakter obserwacyjny i przekrojowy, a dane OpenAlex nie obejmują pełnego dorobku badanych osób.</w:t>
      </w:r>
    </w:p>
    <w:p>
      <w:pPr>
        <w:pStyle w:val="BodyText"/>
      </w:pPr>
      <w:r>
        <w:t xml:space="preserve">Po pierwsze, wyniki pokazują, że kompletność i jednorodność systemu CRIS są ważne dla wiarygodnych porównań między uczelniami. Analiza dynamiki publikacyjnej wykazała, że ten sam wskaźnik może prowadzić do innych wniosków w zależności od źródła danych. OpenAlex i pełne dane Omega-PSIR dały odmienne wyniki, co pokazuje, że opieranie porównań wyłącznie na globalnych bazach może być ryzykowne, zwłaszcza gdy nie obejmują one części polskich czasopism i monografii.</w:t>
      </w:r>
    </w:p>
    <w:p>
      <w:pPr>
        <w:pStyle w:val="BodyText"/>
      </w:pPr>
      <w:r>
        <w:t xml:space="preserve">Po drugie, porównywalność danych utrudnia to, że poszczególne uczelnie nie udostępniają tych samych metryk w taki sam sposób. Brak zagregowanej punktacji MEiN w SGGW oraz brak wskaźnika SNIP w UWM ograniczyły część analiz. Dlatego przydatne byłoby udostępnianie podstawowych metryk, takich jak sumaryczny IF, SNIP, punktacja MEiN i h-index, w jednolitej oraz maszynowo dostępnej formie. Wskazuje to na potrzebę odgórnej standaryzacji struktur danych i interfejsów udostępniania wskaźników we wdrożeniach systemów klasy CRIS na polskich uczelniach, tak aby krajowa agregacja kluczowych metryk (w tym punktacji MEiN) nie wymagała tworzenia osobnych reguł mapowania dla poszczególnych jednostek.</w:t>
      </w:r>
    </w:p>
    <w:p>
      <w:pPr>
        <w:pStyle w:val="BodyText"/>
      </w:pPr>
      <w:r>
        <w:t xml:space="preserve">Po trzecie, wyniki sugerują, że wysoka jakość dorobku nie musi być związana wyłącznie z długim stażem czy dużą liczbą publikacji. W analizie widoczna była grupa młodszych badaczy o wysokich wskaźnikach jakościowych. Ich wyniki wiązały się przede wszystkim z udziałem w szerszej, wieloautorskiej współpracy. Wniosek ten wymaga jednak potwierdzenia w badaniach podłużnych, zanim mógłby zostać wykorzystany jako podstawa praktycznych zaleceń dotyczących budowania zespołów badawczych.</w:t>
      </w:r>
    </w:p>
    <w:p>
      <w:r>
        <w:br w:type="page"/>
      </w:r>
    </w:p>
    <w:bookmarkEnd w:id="91"/>
    <w:bookmarkEnd w:id="92"/>
    <w:bookmarkStart w:id="130" w:name="bibliografia"/>
    <w:p>
      <w:pPr>
        <w:pStyle w:val="Heading1"/>
      </w:pPr>
      <w:r>
        <w:t xml:space="preserve">Bibliografia</w:t>
      </w:r>
    </w:p>
    <w:bookmarkStart w:id="129" w:name="refs"/>
    <w:bookmarkStart w:id="94" w:name="ref-ariaBibliometrix2017"/>
    <w:p>
      <w:pPr>
        <w:pStyle w:val="Bibliography"/>
      </w:pPr>
      <w:r>
        <w:t xml:space="preserve">Aria, Massimo, i Corrado Cuccurullo. 2017.</w:t>
      </w:r>
      <w:r>
        <w:t xml:space="preserve"> </w:t>
      </w:r>
      <w:r>
        <w:t xml:space="preserve">„bibliometrix: An</w:t>
      </w:r>
      <w:r>
        <w:t xml:space="preserve"> </w:t>
      </w:r>
      <w:r>
        <w:t xml:space="preserve">R</w:t>
      </w:r>
      <w:r>
        <w:t xml:space="preserve">-tool for comprehensive science mapping analysis”</w:t>
      </w:r>
      <w:r>
        <w:t xml:space="preserve">.</w:t>
      </w:r>
      <w:r>
        <w:t xml:space="preserve"> </w:t>
      </w:r>
      <w:r>
        <w:rPr>
          <w:i/>
          <w:iCs/>
        </w:rPr>
        <w:t xml:space="preserve">Journal of Informetrics</w:t>
      </w:r>
      <w:r>
        <w:t xml:space="preserve"> </w:t>
      </w:r>
      <w:r>
        <w:t xml:space="preserve">11 (4): 959–75.</w:t>
      </w:r>
      <w:r>
        <w:t xml:space="preserve"> </w:t>
      </w:r>
      <w:hyperlink r:id="rId93">
        <w:r>
          <w:rPr>
            <w:rStyle w:val="Hyperlink"/>
          </w:rPr>
          <w:t xml:space="preserve">https://doi.org/10.1016/j.joi.2017.08.007</w:t>
        </w:r>
      </w:hyperlink>
      <w:r>
        <w:t xml:space="preserve">.</w:t>
      </w:r>
    </w:p>
    <w:bookmarkEnd w:id="94"/>
    <w:bookmarkStart w:id="96" w:name="ref-ariaOpenalexR2024"/>
    <w:p>
      <w:pPr>
        <w:pStyle w:val="Bibliography"/>
      </w:pPr>
      <w:r>
        <w:t xml:space="preserve">Aria, Massimo, Trang Le, Corrado Cuccurullo, Alessandra Belfiore, i June Choe. 2024.</w:t>
      </w:r>
      <w:r>
        <w:t xml:space="preserve"> </w:t>
      </w:r>
      <w:r>
        <w:t xml:space="preserve">„</w:t>
      </w:r>
      <w:r>
        <w:t xml:space="preserve">openalexR</w:t>
      </w:r>
      <w:r>
        <w:t xml:space="preserve">: An</w:t>
      </w:r>
      <w:r>
        <w:t xml:space="preserve"> </w:t>
      </w:r>
      <w:r>
        <w:t xml:space="preserve">R</w:t>
      </w:r>
      <w:r>
        <w:t xml:space="preserve">-Tool for Collecting Bibliometric Data from</w:t>
      </w:r>
      <w:r>
        <w:t xml:space="preserve"> </w:t>
      </w:r>
      <w:r>
        <w:t xml:space="preserve">OpenAlex</w:t>
      </w:r>
      <w:r>
        <w:t xml:space="preserve">”</w:t>
      </w:r>
      <w:r>
        <w:t xml:space="preserve">.</w:t>
      </w:r>
      <w:r>
        <w:t xml:space="preserve"> </w:t>
      </w:r>
      <w:r>
        <w:rPr>
          <w:i/>
          <w:iCs/>
        </w:rPr>
        <w:t xml:space="preserve">The R Journal</w:t>
      </w:r>
      <w:r>
        <w:t xml:space="preserve"> </w:t>
      </w:r>
      <w:r>
        <w:t xml:space="preserve">15 (4): 167–80.</w:t>
      </w:r>
      <w:r>
        <w:t xml:space="preserve"> </w:t>
      </w:r>
      <w:hyperlink r:id="rId95">
        <w:r>
          <w:rPr>
            <w:rStyle w:val="Hyperlink"/>
          </w:rPr>
          <w:t xml:space="preserve">https://doi.org/10.32614/RJ-2023-089</w:t>
        </w:r>
      </w:hyperlink>
      <w:r>
        <w:t xml:space="preserve">.</w:t>
      </w:r>
    </w:p>
    <w:bookmarkEnd w:id="96"/>
    <w:bookmarkStart w:id="97"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97"/>
    <w:bookmarkStart w:id="98"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98"/>
    <w:bookmarkStart w:id="99"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w:t>
      </w:r>
      <w:r>
        <w:t xml:space="preserve"> </w:t>
      </w:r>
      <w:r>
        <w:rPr>
          <w:i/>
          <w:iCs/>
        </w:rPr>
        <w:t xml:space="preserve">Proceedings of the 22nd ACM SIGKDD International Conference on Knowledge Discovery and Data Mining</w:t>
      </w:r>
      <w:r>
        <w:t xml:space="preserve">, 785–94.</w:t>
      </w:r>
    </w:p>
    <w:bookmarkEnd w:id="99"/>
    <w:bookmarkStart w:id="101" w:name="ref-culbertReferenceCoverageAnalysis2025"/>
    <w:p>
      <w:pPr>
        <w:pStyle w:val="Bibliography"/>
      </w:pPr>
      <w:r>
        <w:t xml:space="preserve">Culbert, Jack H., Anne Hobert, Najko Jahn, et al. 2025.</w:t>
      </w:r>
      <w:r>
        <w:t xml:space="preserve"> </w:t>
      </w:r>
      <w:r>
        <w:t xml:space="preserve">„Reference coverage analysis of</w:t>
      </w:r>
      <w:r>
        <w:t xml:space="preserve"> </w:t>
      </w:r>
      <w:r>
        <w:t xml:space="preserve">OpenAlex</w:t>
      </w:r>
      <w:r>
        <w:t xml:space="preserve"> </w:t>
      </w:r>
      <w:r>
        <w:t xml:space="preserve">compared to</w:t>
      </w:r>
      <w:r>
        <w:t xml:space="preserve"> </w:t>
      </w:r>
      <w:r>
        <w:t xml:space="preserve">Web of Science</w:t>
      </w:r>
      <w:r>
        <w:t xml:space="preserve"> </w:t>
      </w:r>
      <w:r>
        <w:t xml:space="preserve">and</w:t>
      </w:r>
      <w:r>
        <w:t xml:space="preserve"> </w:t>
      </w:r>
      <w:r>
        <w:t xml:space="preserve">Scopus</w:t>
      </w:r>
      <w:r>
        <w:t xml:space="preserve">”</w:t>
      </w:r>
      <w:r>
        <w:t xml:space="preserve">.</w:t>
      </w:r>
      <w:r>
        <w:t xml:space="preserve"> </w:t>
      </w:r>
      <w:r>
        <w:rPr>
          <w:i/>
          <w:iCs/>
        </w:rPr>
        <w:t xml:space="preserve">Scientometrics</w:t>
      </w:r>
      <w:r>
        <w:t xml:space="preserve"> </w:t>
      </w:r>
      <w:r>
        <w:t xml:space="preserve">130 (4): 2475–92.</w:t>
      </w:r>
      <w:r>
        <w:t xml:space="preserve"> </w:t>
      </w:r>
      <w:hyperlink r:id="rId100">
        <w:r>
          <w:rPr>
            <w:rStyle w:val="Hyperlink"/>
          </w:rPr>
          <w:t xml:space="preserve">https://doi.org/10.1007/s11192-025-05293-3</w:t>
        </w:r>
      </w:hyperlink>
      <w:r>
        <w:t xml:space="preserve">.</w:t>
      </w:r>
    </w:p>
    <w:bookmarkEnd w:id="101"/>
    <w:bookmarkStart w:id="102" w:name="ref-Drabek2012"/>
    <w:p>
      <w:pPr>
        <w:pStyle w:val="Bibliography"/>
      </w:pPr>
      <w:r>
        <w:t xml:space="preserve">Drabek, Aneta. 2012.</w:t>
      </w:r>
      <w:r>
        <w:t xml:space="preserve"> </w:t>
      </w:r>
      <w:r>
        <w:t xml:space="preserve">„Wykorzystanie bibliometrii w polityce naukowej”</w:t>
      </w:r>
      <w:r>
        <w:t xml:space="preserve">.</w:t>
      </w:r>
      <w:r>
        <w:t xml:space="preserve"> </w:t>
      </w:r>
      <w:r>
        <w:rPr>
          <w:i/>
          <w:iCs/>
        </w:rPr>
        <w:t xml:space="preserve">Biuletyn EBIB</w:t>
      </w:r>
      <w:r>
        <w:t xml:space="preserve"> </w:t>
      </w:r>
      <w:r>
        <w:t xml:space="preserve">130 (3).</w:t>
      </w:r>
    </w:p>
    <w:bookmarkEnd w:id="102"/>
    <w:bookmarkStart w:id="103"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103"/>
    <w:bookmarkStart w:id="104" w:name="ref-Grygiel2009"/>
    <w:p>
      <w:pPr>
        <w:pStyle w:val="Bibliography"/>
      </w:pPr>
      <w:r>
        <w:t xml:space="preserve">Grygiel, Paweł, Sławomir Rębisz, i Grzegorz Humenny. 2009.</w:t>
      </w:r>
      <w:r>
        <w:t xml:space="preserve"> </w:t>
      </w:r>
      <w:r>
        <w:t xml:space="preserve">„Analiza bibliometryczna jako narzędzie badania efektywności nauczycieli akademickich na przykładzie</w:t>
      </w:r>
      <w:r>
        <w:t xml:space="preserve"> </w:t>
      </w:r>
      <w:r>
        <w:t xml:space="preserve">Uniwersytetu Rzeszowskiego</w:t>
      </w:r>
      <w:r>
        <w:t xml:space="preserve">”</w:t>
      </w:r>
      <w:r>
        <w:t xml:space="preserve">.</w:t>
      </w:r>
      <w:r>
        <w:t xml:space="preserve"> </w:t>
      </w:r>
      <w:r>
        <w:rPr>
          <w:i/>
          <w:iCs/>
        </w:rPr>
        <w:t xml:space="preserve">Zarządzanie Publiczne</w:t>
      </w:r>
      <w:r>
        <w:t xml:space="preserve"> </w:t>
      </w:r>
      <w:r>
        <w:t xml:space="preserve">7 (3): 65–84.</w:t>
      </w:r>
    </w:p>
    <w:bookmarkEnd w:id="104"/>
    <w:bookmarkStart w:id="106" w:name="X0b33f87ae5ad4597f5248ccd3781f8ded4d6a31"/>
    <w:p>
      <w:pPr>
        <w:pStyle w:val="Bibliography"/>
      </w:pPr>
      <w:r>
        <w:t xml:space="preserve">Hicks, Diana, Paul Wouters, Ludo Waltman, Sarah de Rijcke, i Ismael Rafols</w:t>
      </w:r>
      <w:r>
        <w:t xml:space="preserve">. 2015.</w:t>
      </w:r>
      <w:r>
        <w:t xml:space="preserve"> </w:t>
      </w:r>
      <w:r>
        <w:t xml:space="preserve">„Bibliometrics: The</w:t>
      </w:r>
      <w:r>
        <w:t xml:space="preserve"> </w:t>
      </w:r>
      <w:r>
        <w:t xml:space="preserve">Leiden Manifesto</w:t>
      </w:r>
      <w:r>
        <w:t xml:space="preserve"> </w:t>
      </w:r>
      <w:r>
        <w:t xml:space="preserve">for research metrics”</w:t>
      </w:r>
      <w:r>
        <w:t xml:space="preserve">.</w:t>
      </w:r>
      <w:r>
        <w:t xml:space="preserve"> </w:t>
      </w:r>
      <w:r>
        <w:rPr>
          <w:i/>
          <w:iCs/>
        </w:rPr>
        <w:t xml:space="preserve">Nature</w:t>
      </w:r>
      <w:r>
        <w:t xml:space="preserve"> </w:t>
      </w:r>
      <w:r>
        <w:t xml:space="preserve">520 (7548): 429–31.</w:t>
      </w:r>
      <w:r>
        <w:t xml:space="preserve"> </w:t>
      </w:r>
      <w:hyperlink r:id="rId105">
        <w:r>
          <w:rPr>
            <w:rStyle w:val="Hyperlink"/>
          </w:rPr>
          <w:t xml:space="preserve">https://doi.org/10.1038/520429a</w:t>
        </w:r>
      </w:hyperlink>
      <w:r>
        <w:t xml:space="preserve">.</w:t>
      </w:r>
    </w:p>
    <w:bookmarkEnd w:id="106"/>
    <w:bookmarkStart w:id="107"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107"/>
    <w:bookmarkStart w:id="108"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108"/>
    <w:bookmarkStart w:id="110"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w:t>
      </w:r>
      <w:r>
        <w:t xml:space="preserve"> </w:t>
      </w:r>
      <w:r>
        <w:rPr>
          <w:i/>
          <w:iCs/>
        </w:rPr>
        <w:t xml:space="preserve">Proceedings of the 21st EUNIS Congress</w:t>
      </w:r>
      <w:r>
        <w:t xml:space="preserve"> </w:t>
      </w:r>
      <w:r>
        <w:t xml:space="preserve">(Dundee).</w:t>
      </w:r>
      <w:r>
        <w:t xml:space="preserve"> </w:t>
      </w:r>
      <w:hyperlink r:id="rId109">
        <w:r>
          <w:rPr>
            <w:rStyle w:val="Hyperlink"/>
          </w:rPr>
          <w:t xml:space="preserve">https://dspacecris.eurocris.org/handle/11366/446</w:t>
        </w:r>
      </w:hyperlink>
      <w:r>
        <w:t xml:space="preserve">.</w:t>
      </w:r>
    </w:p>
    <w:bookmarkEnd w:id="110"/>
    <w:bookmarkStart w:id="111" w:name="ref-Kulczycki2019"/>
    <w:p>
      <w:pPr>
        <w:pStyle w:val="Bibliography"/>
      </w:pPr>
      <w:r>
        <w:t xml:space="preserve">Kulczycki, Emanuel. 2019.</w:t>
      </w:r>
      <w:r>
        <w:t xml:space="preserve"> </w:t>
      </w:r>
      <w:r>
        <w:t xml:space="preserve">„Tajemnice bibliometrii”</w:t>
      </w:r>
      <w:r>
        <w:t xml:space="preserve">.</w:t>
      </w:r>
      <w:r>
        <w:t xml:space="preserve"> </w:t>
      </w:r>
      <w:r>
        <w:rPr>
          <w:i/>
          <w:iCs/>
        </w:rPr>
        <w:t xml:space="preserve">Forum Akademickie</w:t>
      </w:r>
      <w:r>
        <w:t xml:space="preserve">, nr 6.</w:t>
      </w:r>
    </w:p>
    <w:bookmarkEnd w:id="111"/>
    <w:bookmarkStart w:id="112" w:name="ref-lundberg2017"/>
    <w:p>
      <w:pPr>
        <w:pStyle w:val="Bibliography"/>
      </w:pPr>
      <w:r>
        <w:t xml:space="preserve">Lundberg, Scott M., i Su-In Lee. 2017.</w:t>
      </w:r>
      <w:r>
        <w:t xml:space="preserve"> </w:t>
      </w:r>
      <w:r>
        <w:t xml:space="preserve">„A unified approach to interpreting model predictions”</w:t>
      </w:r>
      <w:r>
        <w:t xml:space="preserve">.</w:t>
      </w:r>
      <w:r>
        <w:t xml:space="preserve"> </w:t>
      </w:r>
      <w:r>
        <w:rPr>
          <w:i/>
          <w:iCs/>
        </w:rPr>
        <w:t xml:space="preserve">Advances in Neural Information Processing Systems</w:t>
      </w:r>
      <w:r>
        <w:t xml:space="preserve"> </w:t>
      </w:r>
      <w:r>
        <w:t xml:space="preserve">30: 4765–74.</w:t>
      </w:r>
    </w:p>
    <w:bookmarkEnd w:id="112"/>
    <w:bookmarkStart w:id="113" w:name="ref-rozp_ewaluacja2022"/>
    <w:p>
      <w:pPr>
        <w:pStyle w:val="Bibliography"/>
      </w:pPr>
      <w:r>
        <w:t xml:space="preserve">Minister Edukacji i Nauki. 2022.</w:t>
      </w:r>
      <w:r>
        <w:t xml:space="preserve"> </w:t>
      </w:r>
      <w:r>
        <w:rPr>
          <w:i/>
          <w:iCs/>
        </w:rP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113"/>
    <w:bookmarkStart w:id="114" w:name="ref-rozp_dyscypliny2025"/>
    <w:p>
      <w:pPr>
        <w:pStyle w:val="Bibliography"/>
      </w:pPr>
      <w:r>
        <w:t xml:space="preserve">Minister Nauki i Szkolnictwa Wyższego. 2025a.</w:t>
      </w:r>
      <w:r>
        <w:t xml:space="preserve"> </w:t>
      </w:r>
      <w:r>
        <w:rPr>
          <w:i/>
          <w:iCs/>
        </w:rP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114"/>
    <w:bookmarkStart w:id="115" w:name="ref-rozp_ewaluacja_nowela2025"/>
    <w:p>
      <w:pPr>
        <w:pStyle w:val="Bibliography"/>
      </w:pPr>
      <w:r>
        <w:t xml:space="preserve">Minister Nauki i Szkolnictwa Wyższego. 2025b.</w:t>
      </w:r>
      <w:r>
        <w:t xml:space="preserve"> </w:t>
      </w:r>
      <w:r>
        <w:rPr>
          <w:i/>
          <w:iCs/>
        </w:rPr>
        <w:t xml:space="preserve">Rozporządzenie Ministra Nauki i Szkolnictwa Wyższego z dnia 30 lipca 2025 r. zmieniające rozporządzenie w sprawie ewaluacji jakości działalności naukowej</w:t>
      </w:r>
      <w:r>
        <w:t xml:space="preserve">. Dz.U. 2025 poz. 1053.</w:t>
      </w:r>
    </w:p>
    <w:bookmarkEnd w:id="115"/>
    <w:bookmarkStart w:id="116"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116"/>
    <w:bookmarkStart w:id="118" w:name="Xf57435758c1415795137dce9045dde0a68674c8"/>
    <w:p>
      <w:pPr>
        <w:pStyle w:val="Bibliography"/>
      </w:pPr>
      <w:r>
        <w:t xml:space="preserve">Newman, Mark E. J. 2004.</w:t>
      </w:r>
      <w:r>
        <w:t xml:space="preserve"> </w:t>
      </w:r>
      <w:r>
        <w:t xml:space="preserve">„Coauthorship networks and patterns of scientific collaboration”</w:t>
      </w:r>
      <w:r>
        <w:t xml:space="preserve">.</w:t>
      </w:r>
      <w:r>
        <w:t xml:space="preserve"> </w:t>
      </w:r>
      <w:r>
        <w:rPr>
          <w:i/>
          <w:iCs/>
        </w:rPr>
        <w:t xml:space="preserve">Proceedings of the National Academy of Sciences</w:t>
      </w:r>
      <w:r>
        <w:t xml:space="preserve"> </w:t>
      </w:r>
      <w:r>
        <w:t xml:space="preserve">101 (suppl 1): 5200–5205.</w:t>
      </w:r>
      <w:r>
        <w:t xml:space="preserve"> </w:t>
      </w:r>
      <w:hyperlink r:id="rId117">
        <w:r>
          <w:rPr>
            <w:rStyle w:val="Hyperlink"/>
          </w:rPr>
          <w:t xml:space="preserve">https://doi.org/10.1073/pnas.0307545100</w:t>
        </w:r>
      </w:hyperlink>
      <w:r>
        <w:t xml:space="preserve">.</w:t>
      </w:r>
    </w:p>
    <w:bookmarkEnd w:id="118"/>
    <w:bookmarkStart w:id="119" w:name="ref-newman2006"/>
    <w:p>
      <w:pPr>
        <w:pStyle w:val="Bibliography"/>
      </w:pPr>
      <w:r>
        <w:t xml:space="preserve">Newman, Mark E. J.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119"/>
    <w:bookmarkStart w:id="120" w:name="ref-Opalinski2017"/>
    <w:p>
      <w:pPr>
        <w:pStyle w:val="Bibliography"/>
      </w:pPr>
      <w:r>
        <w:t xml:space="preserve">Opaliński, Łukasz. 2017.</w:t>
      </w:r>
      <w:r>
        <w:t xml:space="preserve"> </w:t>
      </w:r>
      <w:r>
        <w:t xml:space="preserve">„Bibliometryczna metodologia prognozowania i oceny rozwoju dyscyplin naukowych. Analiza piśmiennictwa. Część 1”</w:t>
      </w:r>
      <w:r>
        <w:t xml:space="preserve">.</w:t>
      </w:r>
      <w:r>
        <w:t xml:space="preserve"> </w:t>
      </w:r>
      <w:r>
        <w:rPr>
          <w:i/>
          <w:iCs/>
        </w:rPr>
        <w:t xml:space="preserve">Zagadnienia Informacji Naukowej</w:t>
      </w:r>
      <w:r>
        <w:t xml:space="preserve"> </w:t>
      </w:r>
      <w:r>
        <w:t xml:space="preserve">55 (1): 34–65.</w:t>
      </w:r>
    </w:p>
    <w:bookmarkEnd w:id="120"/>
    <w:bookmarkStart w:id="121"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21"/>
    <w:bookmarkStart w:id="123" w:name="Xfa806a68882317565cd91e2502e10e0c6dc8daa"/>
    <w:p>
      <w:pPr>
        <w:pStyle w:val="Bibliography"/>
      </w:pPr>
      <w:r>
        <w:t xml:space="preserve">Rybiński, Henryk, Weronika Kubrak, Łukasz Skonieczny, Jakub Koperwas, i Wacław Struk. 2018.</w:t>
      </w:r>
      <w:r>
        <w:t xml:space="preserve"> </w:t>
      </w:r>
      <w:r>
        <w:t xml:space="preserve">„Omega-</w:t>
      </w:r>
      <w:r>
        <w:t xml:space="preserve">PSIR</w:t>
      </w:r>
      <w:r>
        <w:t xml:space="preserve">:</w:t>
      </w:r>
      <w:r>
        <w:t xml:space="preserve"> </w:t>
      </w:r>
      <w:r>
        <w:t xml:space="preserve">Institutional CRIS</w:t>
      </w:r>
      <w:r>
        <w:t xml:space="preserve"> </w:t>
      </w:r>
      <w:r>
        <w:t xml:space="preserve">at</w:t>
      </w:r>
      <w:r>
        <w:t xml:space="preserve"> </w:t>
      </w:r>
      <w:r>
        <w:t xml:space="preserve">Polish Universities</w:t>
      </w:r>
      <w:r>
        <w:t xml:space="preserve">”</w:t>
      </w:r>
      <w:r>
        <w:t xml:space="preserve">.</w:t>
      </w:r>
      <w:r>
        <w:t xml:space="preserve"> </w:t>
      </w:r>
      <w:r>
        <w:rPr>
          <w:i/>
          <w:iCs/>
        </w:rPr>
        <w:t xml:space="preserve">ITlib. Informačné technológie a knižnice</w:t>
      </w:r>
      <w:r>
        <w:t xml:space="preserve">, advance online publication.</w:t>
      </w:r>
      <w:r>
        <w:t xml:space="preserve"> </w:t>
      </w:r>
      <w:hyperlink r:id="rId122">
        <w:r>
          <w:rPr>
            <w:rStyle w:val="Hyperlink"/>
          </w:rPr>
          <w:t xml:space="preserve">https://doi.org/10.25610/itlib-2018-0005</w:t>
        </w:r>
      </w:hyperlink>
      <w:r>
        <w:t xml:space="preserve">.</w:t>
      </w:r>
    </w:p>
    <w:bookmarkEnd w:id="123"/>
    <w:bookmarkStart w:id="124"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24"/>
    <w:bookmarkStart w:id="126" w:name="ref-omegapsir2024"/>
    <w:p>
      <w:pPr>
        <w:pStyle w:val="Bibliography"/>
      </w:pPr>
      <w:r>
        <w:t xml:space="preserve">Warsaw University of Technology. 2024.</w:t>
      </w:r>
      <w:r>
        <w:t xml:space="preserve"> </w:t>
      </w:r>
      <w:r>
        <w:rPr>
          <w:i/>
          <w:iCs/>
        </w:rPr>
        <w:t xml:space="preserve">Omega-PSIR: University Research Information System</w:t>
      </w:r>
      <w:r>
        <w:t xml:space="preserve">.</w:t>
      </w:r>
      <w:r>
        <w:t xml:space="preserve"> </w:t>
      </w:r>
      <w:hyperlink r:id="rId125">
        <w:r>
          <w:rPr>
            <w:rStyle w:val="Hyperlink"/>
          </w:rPr>
          <w:t xml:space="preserve">https://www.omegapsir.io/</w:t>
        </w:r>
      </w:hyperlink>
      <w:r>
        <w:t xml:space="preserve">.</w:t>
      </w:r>
    </w:p>
    <w:bookmarkEnd w:id="126"/>
    <w:bookmarkStart w:id="127"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27"/>
    <w:bookmarkStart w:id="128"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hyperlink" Id="rId100" Target="https://doi.org/10.1007/s11192-025-05293-3" TargetMode="External" /><Relationship Type="http://schemas.openxmlformats.org/officeDocument/2006/relationships/hyperlink" Id="rId93" Target="https://doi.org/10.1016/j.joi.2017.08.007" TargetMode="External" /><Relationship Type="http://schemas.openxmlformats.org/officeDocument/2006/relationships/hyperlink" Id="rId105" Target="https://doi.org/10.1038/520429a" TargetMode="External" /><Relationship Type="http://schemas.openxmlformats.org/officeDocument/2006/relationships/hyperlink" Id="rId117" Target="https://doi.org/10.1073/pnas.0307545100" TargetMode="External" /><Relationship Type="http://schemas.openxmlformats.org/officeDocument/2006/relationships/hyperlink" Id="rId122" Target="https://doi.org/10.25610/itlib-2018-0005" TargetMode="External" /><Relationship Type="http://schemas.openxmlformats.org/officeDocument/2006/relationships/hyperlink" Id="rId95" Target="https://doi.org/10.32614/RJ-2023-089" TargetMode="External" /><Relationship Type="http://schemas.openxmlformats.org/officeDocument/2006/relationships/hyperlink" Id="rId109" Target="https://dspacecris.eurocris.org/handle/11366/446" TargetMode="External" /><Relationship Type="http://schemas.openxmlformats.org/officeDocument/2006/relationships/hyperlink" Id="rId22" Target="https://github.com/Kulcz/PracaDyplomowa_DS_UEWr" TargetMode="External" /><Relationship Type="http://schemas.openxmlformats.org/officeDocument/2006/relationships/hyperlink" Id="rId125"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7/s11192-025-05293-3" TargetMode="External" /><Relationship Type="http://schemas.openxmlformats.org/officeDocument/2006/relationships/hyperlink" Id="rId93" Target="https://doi.org/10.1016/j.joi.2017.08.007" TargetMode="External" /><Relationship Type="http://schemas.openxmlformats.org/officeDocument/2006/relationships/hyperlink" Id="rId105" Target="https://doi.org/10.1038/520429a" TargetMode="External" /><Relationship Type="http://schemas.openxmlformats.org/officeDocument/2006/relationships/hyperlink" Id="rId117" Target="https://doi.org/10.1073/pnas.0307545100" TargetMode="External" /><Relationship Type="http://schemas.openxmlformats.org/officeDocument/2006/relationships/hyperlink" Id="rId122" Target="https://doi.org/10.25610/itlib-2018-0005" TargetMode="External" /><Relationship Type="http://schemas.openxmlformats.org/officeDocument/2006/relationships/hyperlink" Id="rId95" Target="https://doi.org/10.32614/RJ-2023-089" TargetMode="External" /><Relationship Type="http://schemas.openxmlformats.org/officeDocument/2006/relationships/hyperlink" Id="rId109" Target="https://dspacecris.eurocris.org/handle/11366/446" TargetMode="External" /><Relationship Type="http://schemas.openxmlformats.org/officeDocument/2006/relationships/hyperlink" Id="rId22" Target="https://github.com/Kulcz/PracaDyplomowa_DS_UEWr" TargetMode="External" /><Relationship Type="http://schemas.openxmlformats.org/officeDocument/2006/relationships/hyperlink" Id="rId125"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2026-06-20T21:42:33Z</dcterms:created>
  <dcterms:modified xsi:type="dcterms:W3CDTF">2026-06-20T21:42:33Z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2026-06-20</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Praca dyplomowa: studia podyplomowe Data Science</vt:lpwstr>
  </property>
  <property fmtid="{D5CDD505-2E9C-101B-9397-08002B2CF9AE}" pid="14" name="toc-title">
    <vt:lpwstr>Spis treści</vt:lpwstr>
  </property>
</Properties>
</file>