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w:t>
      </w:r>
      <w:r>
        <w:t xml:space="preserve"> </w:t>
      </w:r>
      <w:r>
        <w:t xml:space="preserve">H.</w:t>
      </w:r>
      <w:r>
        <w:t xml:space="preserve"> </w:t>
      </w:r>
      <w:r>
        <w:t xml:space="preserve">Sparks</w:t>
      </w:r>
    </w:p>
    <w:p>
      <w:pPr>
        <w:pStyle w:val="Author"/>
      </w:pPr>
      <w:r>
        <w:t xml:space="preserve">Emerson</w:t>
      </w:r>
      <w:r>
        <w:t xml:space="preserve"> </w:t>
      </w:r>
      <w:r>
        <w:t xml:space="preserve">Del</w:t>
      </w:r>
      <w:r>
        <w:t xml:space="preserve"> </w:t>
      </w:r>
      <w:r>
        <w:t xml:space="preserve">Ponte</w:t>
      </w:r>
    </w:p>
    <w:p>
      <w:pPr>
        <w:pStyle w:val="Author"/>
      </w:pPr>
      <w:r>
        <w:t xml:space="preserve">Sydney</w:t>
      </w:r>
      <w:r>
        <w:t xml:space="preserve"> </w:t>
      </w:r>
      <w:r>
        <w:t xml:space="preserve">Everhart</w:t>
      </w:r>
    </w:p>
    <w:p>
      <w:pPr>
        <w:pStyle w:val="Author"/>
      </w:pPr>
      <w:r>
        <w:t xml:space="preserve">Zachary</w:t>
      </w:r>
      <w:r>
        <w:t xml:space="preserve"> </w:t>
      </w:r>
      <w:r>
        <w:t xml:space="preserve">Foster</w:t>
      </w:r>
    </w:p>
    <w:p>
      <w:pPr>
        <w:pStyle w:val="Author"/>
      </w:pPr>
      <w:r>
        <w:t xml:space="preserve">Niklaus</w:t>
      </w:r>
      <w:r>
        <w:t xml:space="preserve"> </w:t>
      </w:r>
      <w:r>
        <w:t xml:space="preserve">J</w:t>
      </w:r>
      <w:r>
        <w:t xml:space="preserve"> </w:t>
      </w:r>
      <w:r>
        <w:t xml:space="preserve">Grünwald</w:t>
      </w:r>
    </w:p>
    <w:p>
      <w:pPr>
        <w:pStyle w:val="Date"/>
      </w:pPr>
      <w:r>
        <w:t xml:space="preserve">16</w:t>
      </w:r>
      <w:r>
        <w:t xml:space="preserve"> </w:t>
      </w:r>
      <w:r>
        <w:t xml:space="preserve">February,</w:t>
      </w:r>
      <w:r>
        <w:t xml:space="preserve"> </w:t>
      </w:r>
      <w:r>
        <w:t xml:space="preserve">2019</w:t>
      </w:r>
    </w:p>
    <w:p>
      <w:pPr>
        <w:pStyle w:val="Compact"/>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200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2016</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Heading1"/>
      </w:pPr>
      <w:bookmarkStart w:id="20" w:name="introduction"/>
      <w:r>
        <w:t xml:space="preserve">Introduction</w:t>
      </w:r>
      <w:bookmarkEnd w:id="20"/>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plant disease management. Scientific research in the field varies from the purely observational or 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drawings and photographs and statistical analysis code among other materials and data. That is, open science leads to reproducibility and replicability.</w:t>
      </w:r>
    </w:p>
    <w:p>
      <w:pPr>
        <w:pStyle w:val="Heading2"/>
      </w:pPr>
      <w:bookmarkStart w:id="21" w:name="definitions"/>
      <w:r>
        <w:t xml:space="preserve">Definitions</w:t>
      </w:r>
      <w:bookmarkEnd w:id="21"/>
    </w:p>
    <w:p>
      <w:pPr>
        <w:pStyle w:val="FirstParagraph"/>
      </w:pPr>
      <w:r>
        <w:t xml:space="preserve">In order for us to easily discuss the topic, we first must define what we mean so that we may clearly communicate. 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Peng, and Leek 2016; Weissgerber et al. 2016; Brunsdon 2015; Sweedler 2015; Fitzjohn et al. 2014; Ioannidis 2014; Fidler and Gordon 2013; Stodden, Guo, and Ma 2013)</w:t>
      </w:r>
      <w:r>
        <w:t xml:space="preserve"> </w:t>
      </w:r>
      <w:r>
        <w:t xml:space="preserve">as an important issue. 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 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 Reproducible research and</w:t>
      </w:r>
      <w:r>
        <w:t xml:space="preserve"> </w:t>
      </w:r>
      <w:r>
        <w:rPr>
          <w:i/>
        </w:rPr>
        <w:t xml:space="preserve">Biostatistics</w:t>
      </w:r>
      <w:r>
        <w:t xml:space="preserve">. Biostatistics, 10 (3): 405-408.</w:t>
      </w:r>
    </w:p>
    <w:p>
      <w:pPr>
        <w:pStyle w:val="Heading3"/>
      </w:pPr>
      <w:bookmarkStart w:id="22" w:name="open-science"/>
      <w:r>
        <w:t xml:space="preserve">Open Science</w:t>
      </w:r>
      <w:bookmarkEnd w:id="22"/>
    </w:p>
    <w:p>
      <w:pPr>
        <w:pStyle w:val="FirstParagraph"/>
      </w:pPr>
      <w:r>
        <w:t xml:space="preserve">Open science has become highlighted lately with many donors expecting data to be available (XXXX) and other scientists interested in sharing and collaborating more widely (XXXX).</w:t>
      </w:r>
    </w:p>
    <w:p>
      <w:pPr>
        <w:pStyle w:val="Heading1"/>
      </w:pPr>
      <w:bookmarkStart w:id="23" w:name="a-general-workflow"/>
      <w:r>
        <w:t xml:space="preserve">A General Workflow</w:t>
      </w:r>
      <w:bookmarkEnd w:id="23"/>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 A second level involves providing raw data and code as binary files (PDF or other non-text file) in supplemental materials, which do not allow prompt access to the data and running the code because of use of expensive commercial software or a pay-wall. The highest level includes efforts to annotate structured raw data (FAIR – Findable, Accessible, Interoperable and Re-usable) and fully document the analysis using open source code which are deposited in public repositories and can be run by anyone following download of data and code.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Heading3"/>
      </w:pPr>
      <w:bookmarkStart w:id="24" w:name="methods"/>
      <w:r>
        <w:t xml:space="preserve">Methods</w:t>
      </w:r>
      <w:bookmarkEnd w:id="24"/>
    </w:p>
    <w:p>
      <w:pPr>
        <w:pStyle w:val="FirstParagraph"/>
      </w:pPr>
      <w:r>
        <w:t xml:space="preserve">When making your science more open and reproducible, methods, software used (including things like R packages), etc. should be cited properly. This allows end users to identify what was used and identify the methods used more accurately. Just as importantly, this acknowledges the contributions of others whose works were instrumental in your research. 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numId w:val="1001"/>
          <w:ilvl w:val="0"/>
        </w:numPr>
      </w:pPr>
      <w:r>
        <w:t xml:space="preserve">deposit and annotate biological materials</w:t>
      </w:r>
    </w:p>
    <w:p>
      <w:pPr>
        <w:numPr>
          <w:numId w:val="1001"/>
          <w:ilvl w:val="0"/>
        </w:numPr>
      </w:pPr>
      <w:r>
        <w:t xml:space="preserve">provide full description for equipments, etc.</w:t>
      </w:r>
    </w:p>
    <w:p>
      <w:pPr>
        <w:numPr>
          <w:numId w:val="1001"/>
          <w:ilvl w:val="0"/>
        </w:numPr>
      </w:pPr>
      <w:r>
        <w:t xml:space="preserve">rOpenSci Reproducible Research:</w:t>
      </w:r>
      <w:r>
        <w:t xml:space="preserve"> </w:t>
      </w:r>
      <w:hyperlink r:id="rId25">
        <w:r>
          <w:rPr>
            <w:rStyle w:val="Hyperlink"/>
          </w:rPr>
          <w:t xml:space="preserve">http://ropensci.github.io/reproducibility-guide/sections/introduction/</w:t>
        </w:r>
      </w:hyperlink>
    </w:p>
    <w:p>
      <w:pPr>
        <w:pStyle w:val="Heading3"/>
      </w:pPr>
      <w:bookmarkStart w:id="26" w:name="data"/>
      <w:r>
        <w:t xml:space="preserve">Data</w:t>
      </w:r>
      <w:bookmarkEnd w:id="26"/>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27" w:name="source-code"/>
      <w:r>
        <w:t xml:space="preserve">Source Code</w:t>
      </w:r>
      <w:bookmarkEnd w:id="27"/>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28" w:name="repository"/>
      <w:r>
        <w:t xml:space="preserve">Repository</w:t>
      </w:r>
      <w:bookmarkEnd w:id="28"/>
    </w:p>
    <w:p>
      <w:pPr>
        <w:pStyle w:val="Compact"/>
        <w:numPr>
          <w:numId w:val="1004"/>
          <w:ilvl w:val="0"/>
        </w:numPr>
      </w:pPr>
      <w:r>
        <w:t xml:space="preserve">Using GitHub, Gitlab, Bitbucket for code (and small data?)</w:t>
      </w:r>
    </w:p>
    <w:p>
      <w:pPr>
        <w:pStyle w:val="Compact"/>
        <w:numPr>
          <w:numId w:val="1004"/>
          <w:ilvl w:val="0"/>
        </w:numPr>
      </w:pPr>
      <w:r>
        <w:t xml:space="preserve">Using Figshare, Dataverse or some other data repository for large data</w:t>
      </w:r>
    </w:p>
    <w:p>
      <w:pPr>
        <w:pStyle w:val="Compact"/>
        <w:numPr>
          <w:numId w:val="1004"/>
          <w:ilvl w:val="0"/>
        </w:numPr>
      </w:pPr>
      <w:r>
        <w:t xml:space="preserve">Zenodo or OSF to generate DOIs</w:t>
      </w:r>
    </w:p>
    <w:p>
      <w:pPr>
        <w:pStyle w:val="Compact"/>
        <w:numPr>
          <w:numId w:val="1004"/>
          <w:ilvl w:val="0"/>
        </w:numPr>
      </w:pPr>
      <w:r>
        <w:t xml:space="preserve">Why not use a lab website (DOIs, other reasons)</w:t>
      </w:r>
    </w:p>
    <w:p>
      <w:pPr>
        <w:pStyle w:val="Compact"/>
        <w:numPr>
          <w:numId w:val="1004"/>
          <w:ilvl w:val="0"/>
        </w:numPr>
      </w:pPr>
      <w:r>
        <w:t xml:space="preserve">Most ideally, deposit in university library or other proper long-term data archival service</w:t>
      </w:r>
    </w:p>
    <w:p>
      <w:pPr>
        <w:pStyle w:val="Heading1"/>
      </w:pPr>
      <w:bookmarkStart w:id="29" w:name="status-in-plant-pathology"/>
      <w:r>
        <w:t xml:space="preserve">Status in Plant Pathology</w:t>
      </w:r>
      <w:bookmarkEnd w:id="29"/>
    </w:p>
    <w:p>
      <w:pPr>
        <w:pStyle w:val="Compact"/>
        <w:numPr>
          <w:numId w:val="1005"/>
          <w:ilvl w:val="0"/>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 </w:t>
      </w:r>
      <w:r>
        <w:t xml:space="preserve">(2016)</w:t>
      </w:r>
      <w:r>
        <w:t xml:space="preserve"> </w:t>
      </w:r>
      <w:r>
        <w:t xml:space="preserve">provide models, data and code, (</w:t>
      </w:r>
      <w:hyperlink r:id="rId30">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 </w:t>
      </w:r>
      <w:r>
        <w:t xml:space="preserve">(2011, 2014)</w:t>
      </w:r>
      <w:r>
        <w:t xml:space="preserve"> </w:t>
      </w:r>
      <w:r>
        <w:t xml:space="preserve">provide models, data and code, (</w:t>
      </w:r>
      <w:hyperlink r:id="rId31">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6"/>
          <w:ilvl w:val="1"/>
        </w:numPr>
      </w:pPr>
      <w:r>
        <w:t xml:space="preserve">paper</w:t>
      </w:r>
      <w:r>
        <w:t xml:space="preserve"> </w:t>
      </w:r>
      <w:hyperlink r:id="rId32">
        <w:r>
          <w:rPr>
            <w:rStyle w:val="Hyperlink"/>
          </w:rPr>
          <w:t xml:space="preserve">http://apsjournals.apsnet.org/doi/full/10.1094/PHYTO-12-14-0350-FI</w:t>
        </w:r>
      </w:hyperlink>
    </w:p>
    <w:p>
      <w:pPr>
        <w:pStyle w:val="Compact"/>
        <w:numPr>
          <w:numId w:val="1006"/>
          <w:ilvl w:val="1"/>
        </w:numPr>
      </w:pPr>
      <w:r>
        <w:t xml:space="preserve">github repo</w:t>
      </w:r>
      <w:r>
        <w:t xml:space="preserve"> </w:t>
      </w:r>
      <w:hyperlink r:id="rId33">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2018)</w:t>
      </w:r>
      <w:r>
        <w:t xml:space="preserve">.</w:t>
      </w:r>
    </w:p>
    <w:p>
      <w:pPr>
        <w:pStyle w:val="Heading1"/>
      </w:pPr>
      <w:bookmarkStart w:id="34" w:name="discussion"/>
      <w:r>
        <w:t xml:space="preserve">Discussion</w:t>
      </w:r>
      <w:bookmarkEnd w:id="34"/>
    </w:p>
    <w:p>
      <w:pPr>
        <w:pStyle w:val="Heading1"/>
      </w:pPr>
      <w:bookmarkStart w:id="35" w:name="acknowledgements"/>
      <w:r>
        <w:t xml:space="preserve">Acknowledgements</w:t>
      </w:r>
      <w:bookmarkEnd w:id="35"/>
    </w:p>
    <w:p>
      <w:pPr>
        <w:pStyle w:val="Heading5"/>
      </w:pPr>
      <w:bookmarkStart w:id="36" w:name="pagebreak"/>
      <w:r>
        <w:t xml:space="preserve">pagebreak</w:t>
      </w:r>
      <w:bookmarkEnd w:id="36"/>
    </w:p>
    <w:p>
      <w:pPr>
        <w:pStyle w:val="Heading1"/>
      </w:pPr>
      <w:bookmarkStart w:id="37" w:name="references"/>
      <w:r>
        <w:t xml:space="preserve">References</w:t>
      </w:r>
      <w:bookmarkEnd w:id="37"/>
    </w:p>
    <w:bookmarkStart w:id="63" w:name="refs"/>
    <w:bookmarkStart w:id="38" w:name="ref-Baker2016a"/>
    <w:p>
      <w:pPr>
        <w:pStyle w:val="Bibliography"/>
      </w:pPr>
      <w:r>
        <w:t xml:space="preserve">Baker, M. 2016. Muddled meanings hamper efforts to fix reproduciblity crisis. Nature News.</w:t>
      </w:r>
    </w:p>
    <w:bookmarkEnd w:id="38"/>
    <w:bookmarkStart w:id="39" w:name="ref-Brunsdon2015"/>
    <w:p>
      <w:pPr>
        <w:pStyle w:val="Bibliography"/>
      </w:pPr>
      <w:r>
        <w:t xml:space="preserve">Brunsdon, C. 2015. Quantitative methods I: Reproducible research and quantitative geography. Prog. Hum. Geogr.</w:t>
      </w:r>
    </w:p>
    <w:bookmarkEnd w:id="39"/>
    <w:bookmarkStart w:id="4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0"/>
    <w:bookmarkStart w:id="42" w:name="ref-Fidler2013"/>
    <w:p>
      <w:pPr>
        <w:pStyle w:val="Bibliography"/>
      </w:pPr>
      <w:r>
        <w:t xml:space="preserve">Fidler, F., and Gordon, A. 2013. Science is in a reproducibility crisis: How do we resolve it? Phys.org. Available at:</w:t>
      </w:r>
      <w:r>
        <w:t xml:space="preserve"> </w:t>
      </w:r>
      <w:hyperlink r:id="rId41">
        <w:r>
          <w:rPr>
            <w:rStyle w:val="Hyperlink"/>
          </w:rPr>
          <w:t xml:space="preserve">http://phys.org/news/2013-09-science-crisis.html?utm{\_}content=bufferde383{\{}{\&amp;}{\}}utm{\_}source=buffer{\{}{\&amp;}{\}}utm{\_}medium=twitter{\{}{\&amp;}{\}}utm{\_}campaign=Buffer{\{}{\#}{\}}ajTabs</w:t>
        </w:r>
      </w:hyperlink>
      <w:r>
        <w:t xml:space="preserve">.</w:t>
      </w:r>
    </w:p>
    <w:bookmarkEnd w:id="42"/>
    <w:bookmarkStart w:id="44" w:name="ref-Fitzjohn2014"/>
    <w:p>
      <w:pPr>
        <w:pStyle w:val="Bibliography"/>
      </w:pPr>
      <w:r>
        <w:t xml:space="preserve">Fitzjohn, R., Pennell, M., Zanne, A., and Cornwell, W. 2014. Reproducible research is still a challenge. ROpensci.org. 2014 Available at:</w:t>
      </w:r>
      <w:r>
        <w:t xml:space="preserve"> </w:t>
      </w:r>
      <w:hyperlink r:id="rId43">
        <w:r>
          <w:rPr>
            <w:rStyle w:val="Hyperlink"/>
          </w:rPr>
          <w:t xml:space="preserve">http://ropensci.org/blog/2014/06/09/reproducibility/</w:t>
        </w:r>
      </w:hyperlink>
      <w:r>
        <w:t xml:space="preserve">.</w:t>
      </w:r>
    </w:p>
    <w:bookmarkEnd w:id="44"/>
    <w:bookmarkStart w:id="45" w:name="ref-Ioannidis2014"/>
    <w:p>
      <w:pPr>
        <w:pStyle w:val="Bibliography"/>
      </w:pPr>
      <w:r>
        <w:t xml:space="preserve">Ioannidis, J. P. A. 2014. How to make more published research true. PLoS Med. 11.</w:t>
      </w:r>
    </w:p>
    <w:bookmarkEnd w:id="45"/>
    <w:bookmarkStart w:id="46" w:name="ref-Iqbal2016"/>
    <w:p>
      <w:pPr>
        <w:pStyle w:val="Bibliography"/>
      </w:pPr>
      <w:r>
        <w:t xml:space="preserve">Iqbal, S. A., Wallach, J. D., Khoury, M. J., Schully, S. D., and Ioannidis, J. P. A. 2016. Reproducible Research Practices and Transparency across the Biomedical Literature. PLoS Biol. 14:1–13.</w:t>
      </w:r>
    </w:p>
    <w:bookmarkEnd w:id="46"/>
    <w:bookmarkStart w:id="47"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47"/>
    <w:bookmarkStart w:id="48"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48"/>
    <w:bookmarkStart w:id="49" w:name="ref-Nature2016"/>
    <w:p>
      <w:pPr>
        <w:pStyle w:val="Bibliography"/>
      </w:pPr>
      <w:r>
        <w:t xml:space="preserve">Nature, E. at. 2016. Reality check on reproducibility. Nature. 533:437.</w:t>
      </w:r>
    </w:p>
    <w:bookmarkEnd w:id="49"/>
    <w:bookmarkStart w:id="51" w:name="ref-Patil2016"/>
    <w:p>
      <w:pPr>
        <w:pStyle w:val="Bibliography"/>
      </w:pPr>
      <w:r>
        <w:t xml:space="preserve">Patil, P., Peng, R. D., and Leek, J. 2016. A statistical definition for reproducibility and replicability. bioRxiv. Available at:</w:t>
      </w:r>
      <w:r>
        <w:t xml:space="preserve"> </w:t>
      </w:r>
      <w:hyperlink r:id="rId50">
        <w:r>
          <w:rPr>
            <w:rStyle w:val="Hyperlink"/>
          </w:rPr>
          <w:t xml:space="preserve">http://biorxiv.org/content/early/2016/07/29/066803</w:t>
        </w:r>
      </w:hyperlink>
      <w:r>
        <w:t xml:space="preserve">.</w:t>
      </w:r>
    </w:p>
    <w:bookmarkEnd w:id="51"/>
    <w:bookmarkStart w:id="53" w:name="ref-Peng2009"/>
    <w:p>
      <w:pPr>
        <w:pStyle w:val="Bibliography"/>
      </w:pPr>
      <w:r>
        <w:t xml:space="preserve">Peng, R. D. 2009. Reproducible research and Biostatistics. Biostatistics. 10:405–408 Available at:</w:t>
      </w:r>
      <w:r>
        <w:t xml:space="preserve"> </w:t>
      </w:r>
      <w:hyperlink r:id="rId52">
        <w:r>
          <w:rPr>
            <w:rStyle w:val="Hyperlink"/>
          </w:rPr>
          <w:t xml:space="preserve">https://dx.doi.org/10.1093/biostatistics/kxp014</w:t>
        </w:r>
      </w:hyperlink>
      <w:r>
        <w:t xml:space="preserve">.</w:t>
      </w:r>
    </w:p>
    <w:bookmarkEnd w:id="53"/>
    <w:bookmarkStart w:id="55"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54">
        <w:r>
          <w:rPr>
            <w:rStyle w:val="Hyperlink"/>
          </w:rPr>
          <w:t xml:space="preserve">https://www.R-project.org/</w:t>
        </w:r>
      </w:hyperlink>
      <w:r>
        <w:t xml:space="preserve">.</w:t>
      </w:r>
    </w:p>
    <w:bookmarkEnd w:id="55"/>
    <w:bookmarkStart w:id="56" w:name="ref-Sparks2011"/>
    <w:p>
      <w:pPr>
        <w:pStyle w:val="Bibliography"/>
      </w:pPr>
      <w:r>
        <w:t xml:space="preserve">Sparks, A. H., Forbes, G. A., Hijmans, R. J., and Garrett, K. A. 2011. A metamodeling framework for extending the application domain of process-based ecological models. Ecosphere. 2:art90.</w:t>
      </w:r>
    </w:p>
    <w:bookmarkEnd w:id="56"/>
    <w:bookmarkStart w:id="57" w:name="ref-Sparks2014"/>
    <w:p>
      <w:pPr>
        <w:pStyle w:val="Bibliography"/>
      </w:pPr>
      <w:r>
        <w:t xml:space="preserve">Sparks, A. H., Forbes, G. A., Hijmans, R. J., and Garrett, K. A. 2014. Climate change may have limited effect on global risk of potato late blight. Global Change Biology.:3621–3631.</w:t>
      </w:r>
    </w:p>
    <w:bookmarkEnd w:id="57"/>
    <w:bookmarkStart w:id="59" w:name="ref-Sparks2017"/>
    <w:p>
      <w:pPr>
        <w:pStyle w:val="Bibliography"/>
      </w:pPr>
      <w:r>
        <w:t xml:space="preserve">Sparks, A. H., Ponte, E. M. D., Foster, Z., and Grünwald, N. J. 2017. Reproducible-research-in-plant-pathology. Available at:</w:t>
      </w:r>
      <w:r>
        <w:t xml:space="preserve"> </w:t>
      </w:r>
      <w:hyperlink r:id="rId58">
        <w:r>
          <w:rPr>
            <w:rStyle w:val="Hyperlink"/>
          </w:rPr>
          <w:t xml:space="preserve">https://github.com/adamhsparks/Reproducible-Research-in-Plant-Pathology</w:t>
        </w:r>
      </w:hyperlink>
      <w:r>
        <w:t xml:space="preserve">.</w:t>
      </w:r>
    </w:p>
    <w:bookmarkEnd w:id="59"/>
    <w:bookmarkStart w:id="60" w:name="ref-Stodden2013"/>
    <w:p>
      <w:pPr>
        <w:pStyle w:val="Bibliography"/>
      </w:pPr>
      <w:r>
        <w:t xml:space="preserve">Stodden, V., Guo, P., and Ma, Z. 2013. Toward reproducible computational research: An empirical analysis of data and code policy adoption by journals. PLoS One. 8:2–9.</w:t>
      </w:r>
    </w:p>
    <w:bookmarkEnd w:id="60"/>
    <w:bookmarkStart w:id="61" w:name="ref-Sweedler2015"/>
    <w:p>
      <w:pPr>
        <w:pStyle w:val="Bibliography"/>
      </w:pPr>
      <w:r>
        <w:t xml:space="preserve">Sweedler, J. V. 2015. Striving for Reproducible Science. Anal. Chem. 87:11603–11604.</w:t>
      </w:r>
    </w:p>
    <w:bookmarkEnd w:id="61"/>
    <w:bookmarkStart w:id="62" w:name="ref-Weissgerber2016"/>
    <w:p>
      <w:pPr>
        <w:pStyle w:val="Bibliography"/>
      </w:pPr>
      <w:r>
        <w:t xml:space="preserve">Weissgerber, T. L., Garovic, V. D., Winham, S. J., Milic, N. M., and Prager, E. M. 2016. Transparent reporting for reproducible science. J. Neurosci. Res. 00:1–6.</w:t>
      </w:r>
    </w:p>
    <w:bookmarkEnd w:id="62"/>
    <w:bookmarkEnd w:id="63"/>
    <w:p>
      <w:pPr>
        <w:pStyle w:val="Heading5"/>
      </w:pPr>
      <w:bookmarkStart w:id="64" w:name="pagebreak-1"/>
      <w:r>
        <w:t xml:space="preserve">pagebreak</w:t>
      </w:r>
      <w:bookmarkEnd w:id="64"/>
    </w:p>
    <w:p>
      <w:pPr>
        <w:pStyle w:val="Heading5"/>
      </w:pPr>
      <w:bookmarkStart w:id="65" w:name="pagebreak-2"/>
      <w:r>
        <w:t xml:space="preserve">pagebreak</w:t>
      </w:r>
      <w:bookmarkEnd w:id="65"/>
    </w:p>
    <w:p>
      <w:pPr>
        <w:pStyle w:val="Heading1"/>
      </w:pPr>
      <w:bookmarkStart w:id="66" w:name="figures"/>
      <w:r>
        <w:t xml:space="preserve">Figures</w:t>
      </w:r>
      <w:bookmarkEnd w:id="66"/>
    </w:p>
    <w:p>
      <w:pPr>
        <w:pStyle w:val="CaptionedFigure"/>
      </w:pPr>
      <w:r>
        <w:drawing>
          <wp:inline>
            <wp:extent cx="3810000" cy="2540000"/>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68" w:name="pagebreak-3"/>
      <w:r>
        <w:t xml:space="preserve">pagebreak</w:t>
      </w:r>
      <w:bookmarkEnd w:id="68"/>
    </w:p>
    <w:p>
      <w:pPr>
        <w:pStyle w:val="Heading1"/>
      </w:pPr>
      <w:bookmarkStart w:id="69" w:name="colophon"/>
      <w:r>
        <w:t xml:space="preserve">Colophon</w:t>
      </w:r>
      <w:bookmarkEnd w:id="69"/>
    </w:p>
    <w:p>
      <w:pPr>
        <w:pStyle w:val="FirstParagraph"/>
      </w:pPr>
      <w:r>
        <w:t xml:space="preserve">This report was generated on 2019-02-16 08:32:18 using the following computational environment and dependencies:</w:t>
      </w:r>
    </w:p>
    <w:p>
      <w:pPr>
        <w:pStyle w:val="SourceCode"/>
      </w:pPr>
      <w:r>
        <w:rPr>
          <w:rStyle w:val="VerbatimChar"/>
        </w:rPr>
        <w:t xml:space="preserve">#&gt; R version 3.5.2 (2018-12-20)</w:t>
      </w:r>
      <w:r>
        <w:br w:type="textWrapping"/>
      </w:r>
      <w:r>
        <w:rPr>
          <w:rStyle w:val="VerbatimChar"/>
        </w:rPr>
        <w:t xml:space="preserve">#&gt; Platform: x86_64-apple-darwin18.2.0 (64-bit)</w:t>
      </w:r>
      <w:r>
        <w:br w:type="textWrapping"/>
      </w:r>
      <w:r>
        <w:rPr>
          <w:rStyle w:val="VerbatimChar"/>
        </w:rPr>
        <w:t xml:space="preserve">#&gt; Running under: macOS Mojave 10.14.3</w:t>
      </w:r>
      <w:r>
        <w:br w:type="textWrapping"/>
      </w:r>
      <w:r>
        <w:rPr>
          <w:rStyle w:val="VerbatimChar"/>
        </w:rPr>
        <w:t xml:space="preserve">#&gt; </w:t>
      </w:r>
      <w:r>
        <w:br w:type="textWrapping"/>
      </w:r>
      <w:r>
        <w:rPr>
          <w:rStyle w:val="VerbatimChar"/>
        </w:rPr>
        <w:t xml:space="preserve">#&gt; Matrix products: default</w:t>
      </w:r>
      <w:r>
        <w:br w:type="textWrapping"/>
      </w:r>
      <w:r>
        <w:rPr>
          <w:rStyle w:val="VerbatimChar"/>
        </w:rPr>
        <w:t xml:space="preserve">#&gt; BLAS/LAPACK: /usr/local/Cellar/openblas/0.3.5/lib/libopenblas_haswellp-r0.3.5.dylib</w:t>
      </w:r>
      <w:r>
        <w:br w:type="textWrapping"/>
      </w:r>
      <w:r>
        <w:rPr>
          <w:rStyle w:val="VerbatimChar"/>
        </w:rPr>
        <w:t xml:space="preserve">#&gt; </w:t>
      </w:r>
      <w:r>
        <w:br w:type="textWrapping"/>
      </w:r>
      <w:r>
        <w:rPr>
          <w:rStyle w:val="VerbatimChar"/>
        </w:rPr>
        <w:t xml:space="preserve">#&gt; locale:</w:t>
      </w:r>
      <w:r>
        <w:br w:type="textWrapping"/>
      </w:r>
      <w:r>
        <w:rPr>
          <w:rStyle w:val="VerbatimChar"/>
        </w:rPr>
        <w:t xml:space="preserve">#&gt; [1] en_AU.UTF-8/en_AU.UTF-8/en_AU.UTF-8/C/en_AU.UTF-8/en_AU.UTF-8</w:t>
      </w:r>
      <w:r>
        <w:br w:type="textWrapping"/>
      </w:r>
      <w:r>
        <w:rPr>
          <w:rStyle w:val="VerbatimChar"/>
        </w:rPr>
        <w:t xml:space="preserve">#&gt; </w:t>
      </w:r>
      <w:r>
        <w:br w:type="textWrapping"/>
      </w:r>
      <w:r>
        <w:rPr>
          <w:rStyle w:val="VerbatimChar"/>
        </w:rPr>
        <w:t xml:space="preserve">#&gt; attached base packages:</w:t>
      </w:r>
      <w:r>
        <w:br w:type="textWrapping"/>
      </w:r>
      <w:r>
        <w:rPr>
          <w:rStyle w:val="VerbatimChar"/>
        </w:rPr>
        <w:t xml:space="preserve">#&gt; [1] stats     graphics  grDevices utils     datasets  methods   base     </w:t>
      </w:r>
      <w:r>
        <w:br w:type="textWrapping"/>
      </w:r>
      <w:r>
        <w:rPr>
          <w:rStyle w:val="VerbatimChar"/>
        </w:rPr>
        <w:t xml:space="preserve">#&gt; </w:t>
      </w:r>
      <w:r>
        <w:br w:type="textWrapping"/>
      </w:r>
      <w:r>
        <w:rPr>
          <w:rStyle w:val="VerbatimChar"/>
        </w:rPr>
        <w:t xml:space="preserve">#&gt; other attached packages:</w:t>
      </w:r>
      <w:r>
        <w:br w:type="textWrapping"/>
      </w:r>
      <w:r>
        <w:rPr>
          <w:rStyle w:val="VerbatimChar"/>
        </w:rPr>
        <w:t xml:space="preserve">#&gt; [1] rsvg_1.3                                  </w:t>
      </w:r>
      <w:r>
        <w:br w:type="textWrapping"/>
      </w:r>
      <w:r>
        <w:rPr>
          <w:rStyle w:val="VerbatimChar"/>
        </w:rPr>
        <w:t xml:space="preserve">#&gt; [2] DiagrammeRsvg_0.1                         </w:t>
      </w:r>
      <w:r>
        <w:br w:type="textWrapping"/>
      </w:r>
      <w:r>
        <w:rPr>
          <w:rStyle w:val="VerbatimChar"/>
        </w:rPr>
        <w:t xml:space="preserve">#&gt; [3] DiagrammeR_1.0.0                          </w:t>
      </w:r>
      <w:r>
        <w:br w:type="textWrapping"/>
      </w:r>
      <w:r>
        <w:rPr>
          <w:rStyle w:val="VerbatimChar"/>
        </w:rPr>
        <w:t xml:space="preserve">#&gt; [4] Reproducibility.in.Plant.Pathology_0.0.1-1</w:t>
      </w:r>
      <w:r>
        <w:br w:type="textWrapping"/>
      </w:r>
      <w:r>
        <w:rPr>
          <w:rStyle w:val="VerbatimChar"/>
        </w:rPr>
        <w:t xml:space="preserve">#&gt; </w:t>
      </w:r>
      <w:r>
        <w:br w:type="textWrapping"/>
      </w:r>
      <w:r>
        <w:rPr>
          <w:rStyle w:val="VerbatimChar"/>
        </w:rPr>
        <w:t xml:space="preserve">#&gt; loaded via a namespace (and not attached):</w:t>
      </w:r>
      <w:r>
        <w:br w:type="textWrapping"/>
      </w:r>
      <w:r>
        <w:rPr>
          <w:rStyle w:val="VerbatimChar"/>
        </w:rPr>
        <w:t xml:space="preserve">#&gt;  [1] tidyselect_0.2.5   xfun_0.4           Rook_1.1-1        </w:t>
      </w:r>
      <w:r>
        <w:br w:type="textWrapping"/>
      </w:r>
      <w:r>
        <w:rPr>
          <w:rStyle w:val="VerbatimChar"/>
        </w:rPr>
        <w:t xml:space="preserve">#&gt;  [4] purrr_0.3.0        V8_2.0             colorspace_1.4-0  </w:t>
      </w:r>
      <w:r>
        <w:br w:type="textWrapping"/>
      </w:r>
      <w:r>
        <w:rPr>
          <w:rStyle w:val="VerbatimChar"/>
        </w:rPr>
        <w:t xml:space="preserve">#&gt;  [7] htmltools_0.3.6    viridisLite_0.3.0  yaml_2.2.0        </w:t>
      </w:r>
      <w:r>
        <w:br w:type="textWrapping"/>
      </w:r>
      <w:r>
        <w:rPr>
          <w:rStyle w:val="VerbatimChar"/>
        </w:rPr>
        <w:t xml:space="preserve">#&gt; [10] XML_3.98-1.17      rlang_0.3.1        pillar_1.3.1      </w:t>
      </w:r>
      <w:r>
        <w:br w:type="textWrapping"/>
      </w:r>
      <w:r>
        <w:rPr>
          <w:rStyle w:val="VerbatimChar"/>
        </w:rPr>
        <w:t xml:space="preserve">#&gt; [13] glue_1.3.0         RColorBrewer_1.1-2 bindrcpp_0.2.2    </w:t>
      </w:r>
      <w:r>
        <w:br w:type="textWrapping"/>
      </w:r>
      <w:r>
        <w:rPr>
          <w:rStyle w:val="VerbatimChar"/>
        </w:rPr>
        <w:t xml:space="preserve">#&gt; [16] bindr_0.1.1        plyr_1.8.4         stringr_1.4.0     </w:t>
      </w:r>
      <w:r>
        <w:br w:type="textWrapping"/>
      </w:r>
      <w:r>
        <w:rPr>
          <w:rStyle w:val="VerbatimChar"/>
        </w:rPr>
        <w:t xml:space="preserve">#&gt; [19] munsell_0.5.0      gtable_0.2.0       visNetwork_2.0.5  </w:t>
      </w:r>
      <w:r>
        <w:br w:type="textWrapping"/>
      </w:r>
      <w:r>
        <w:rPr>
          <w:rStyle w:val="VerbatimChar"/>
        </w:rPr>
        <w:t xml:space="preserve">#&gt; [22] htmlwidgets_1.3    evaluate_0.13      knitr_1.21        </w:t>
      </w:r>
      <w:r>
        <w:br w:type="textWrapping"/>
      </w:r>
      <w:r>
        <w:rPr>
          <w:rStyle w:val="VerbatimChar"/>
        </w:rPr>
        <w:t xml:space="preserve">#&gt; [25] curl_3.3           highr_0.7          Rcpp_1.0.0        </w:t>
      </w:r>
      <w:r>
        <w:br w:type="textWrapping"/>
      </w:r>
      <w:r>
        <w:rPr>
          <w:rStyle w:val="VerbatimChar"/>
        </w:rPr>
        <w:t xml:space="preserve">#&gt; [28] readr_1.3.1        scales_1.0.0       jsonlite_1.6      </w:t>
      </w:r>
      <w:r>
        <w:br w:type="textWrapping"/>
      </w:r>
      <w:r>
        <w:rPr>
          <w:rStyle w:val="VerbatimChar"/>
        </w:rPr>
        <w:t xml:space="preserve">#&gt; [31] rgexf_0.15.3       gridExtra_2.3      brew_1.0-6        </w:t>
      </w:r>
      <w:r>
        <w:br w:type="textWrapping"/>
      </w:r>
      <w:r>
        <w:rPr>
          <w:rStyle w:val="VerbatimChar"/>
        </w:rPr>
        <w:t xml:space="preserve">#&gt; [34] ggplot2_3.1.0      hms_0.4.2          digest_0.6.18     </w:t>
      </w:r>
      <w:r>
        <w:br w:type="textWrapping"/>
      </w:r>
      <w:r>
        <w:rPr>
          <w:rStyle w:val="VerbatimChar"/>
        </w:rPr>
        <w:t xml:space="preserve">#&gt; [37] stringi_1.3.1      bookdown_0.9       dplyr_0.7.8       </w:t>
      </w:r>
      <w:r>
        <w:br w:type="textWrapping"/>
      </w:r>
      <w:r>
        <w:rPr>
          <w:rStyle w:val="VerbatimChar"/>
        </w:rPr>
        <w:t xml:space="preserve">#&gt; [40] grid_3.5.2         influenceR_0.1.0   tools_3.5.2       </w:t>
      </w:r>
      <w:r>
        <w:br w:type="textWrapping"/>
      </w:r>
      <w:r>
        <w:rPr>
          <w:rStyle w:val="VerbatimChar"/>
        </w:rPr>
        <w:t xml:space="preserve">#&gt; [43] magrittr_1.5       lazyeval_0.2.1     tibble_2.0.1      </w:t>
      </w:r>
      <w:r>
        <w:br w:type="textWrapping"/>
      </w:r>
      <w:r>
        <w:rPr>
          <w:rStyle w:val="VerbatimChar"/>
        </w:rPr>
        <w:t xml:space="preserve">#&gt; [46] crayon_1.3.4       tidyr_0.8.2        pkgconfig_2.0.2   </w:t>
      </w:r>
      <w:r>
        <w:br w:type="textWrapping"/>
      </w:r>
      <w:r>
        <w:rPr>
          <w:rStyle w:val="VerbatimChar"/>
        </w:rPr>
        <w:t xml:space="preserve">#&gt; [49] downloader_0.4     assertthat_0.2.0   rmarkdown_1.11    </w:t>
      </w:r>
      <w:r>
        <w:br w:type="textWrapping"/>
      </w:r>
      <w:r>
        <w:rPr>
          <w:rStyle w:val="VerbatimChar"/>
        </w:rPr>
        <w:t xml:space="preserve">#&gt; [52] rstudioapi_0.9.0   viridis_0.5.1      R6_2.3.0          </w:t>
      </w:r>
      <w:r>
        <w:br w:type="textWrapping"/>
      </w:r>
      <w:r>
        <w:rPr>
          <w:rStyle w:val="VerbatimChar"/>
        </w:rPr>
        <w:t xml:space="preserve">#&gt; [55] igraph_1.2.4       compiler_3.5.2</w:t>
      </w:r>
    </w:p>
    <w:p>
      <w:pPr>
        <w:pStyle w:val="FirstParagraph"/>
      </w:pPr>
      <w:r>
        <w:t xml:space="preserve">The current Git commit details are:</w:t>
      </w:r>
    </w:p>
    <w:p>
      <w:pPr>
        <w:pStyle w:val="SourceCode"/>
      </w:pPr>
      <w:r>
        <w:rPr>
          <w:rStyle w:val="VerbatimChar"/>
        </w:rPr>
        <w:t xml:space="preserve">#&gt; Local:    master /Users/adamsparks/Development/Reproducibility_in_Plant_Pathology</w:t>
      </w:r>
      <w:r>
        <w:br w:type="textWrapping"/>
      </w:r>
      <w:r>
        <w:rPr>
          <w:rStyle w:val="VerbatimChar"/>
        </w:rPr>
        <w:t xml:space="preserve">#&gt; Remote:   master @ origin (git@github.com:adamhsparks/Reproducibility_in_Plant_Pathology.git)</w:t>
      </w:r>
      <w:r>
        <w:br w:type="textWrapping"/>
      </w:r>
      <w:r>
        <w:rPr>
          <w:rStyle w:val="VerbatimChar"/>
        </w:rPr>
        <w:t xml:space="preserve">#&gt; Head:     [6fcff63] 2019-02-16: Add Peng's definition of reproducibility, which we'll use for this manuscript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df" /><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50" Target="http://biorxiv.org/content/early/2016/07/29/066803" TargetMode="External" /><Relationship Type="http://schemas.openxmlformats.org/officeDocument/2006/relationships/hyperlink" Id="rId41" Target="http://phys.org/news/2013-09-science-crisis.html?utm{\_}content=bufferde383{\{}{\&amp;}{\}}utm{\_}source=buffer{\{}{\&amp;}{\}}utm{\_}medium=twitter{\{}{\&amp;}{\}}utm{\_}campaign=Buffer{\{}{\#}{\}}ajTabs"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3" Target="http://ropensci.org/blog/2014/06/09/reproducibility/" TargetMode="External" /><Relationship Type="http://schemas.openxmlformats.org/officeDocument/2006/relationships/hyperlink" Id="rId52" Target="https://dx.doi.org/10.1093/biostatistics/kxp014" TargetMode="External" /><Relationship Type="http://schemas.openxmlformats.org/officeDocument/2006/relationships/hyperlink" Id="rId5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50" Target="http://biorxiv.org/content/early/2016/07/29/066803" TargetMode="External" /><Relationship Type="http://schemas.openxmlformats.org/officeDocument/2006/relationships/hyperlink" Id="rId41" Target="http://phys.org/news/2013-09-science-crisis.html?utm{\_}content=bufferde383{\{}{\&amp;}{\}}utm{\_}source=buffer{\{}{\&amp;}{\}}utm{\_}medium=twitter{\{}{\&amp;}{\}}utm{\_}campaign=Buffer{\{}{\#}{\}}ajTabs"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3" Target="http://ropensci.org/blog/2014/06/09/reproducibility/" TargetMode="External" /><Relationship Type="http://schemas.openxmlformats.org/officeDocument/2006/relationships/hyperlink" Id="rId52" Target="https://dx.doi.org/10.1093/biostatistics/kxp014" TargetMode="External" /><Relationship Type="http://schemas.openxmlformats.org/officeDocument/2006/relationships/hyperlink" Id="rId5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 Emerson Del Ponte; Sydney Everhart; Zachary Foster; Niklaus J Grünwald</dc:creator>
  <cp:keywords/>
  <dcterms:created xsi:type="dcterms:W3CDTF">2019-02-15T22:32:23Z</dcterms:created>
  <dcterms:modified xsi:type="dcterms:W3CDTF">2019-02-15T22:32:23Z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200 articles published from 2012 to 2016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16 February, 2019</vt:lpwstr>
  </property>
  <property fmtid="{D5CDD505-2E9C-101B-9397-08002B2CF9AE}" pid="6" name="highlights">
    <vt:lpwstr>Open research practices are highlighted extensively in the broader scientific community. Our survey of 200 randomly selected articles from 2012 to 2016 indicates that we have work to do in this area as plant pathologists with most articles scoring low in openness and reproducibility.</vt:lpwstr>
  </property>
  <property fmtid="{D5CDD505-2E9C-101B-9397-08002B2CF9AE}" pid="7" name="output">
    <vt:lpwstr/>
  </property>
</Properties>
</file>