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5.ps" ContentType="application/postscript"/>
  <Override PartName="/word/media/rId83.ps" ContentType="application/postscript"/>
  <Override PartName="/word/media/rId81.ps" ContentType="application/postscript"/>
  <Override PartName="/word/media/rId79.ps" ContentType="application/postscript"/>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anastamosis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w:t>
      </w:r>
      <w:r>
        <w:t xml:space="preserve"> </w:t>
      </w:r>
      <w:r>
        <w:t xml:space="preserve">Srinivasachary et al. (2011)</w:t>
      </w:r>
      <w:r>
        <w:t xml:space="preserve">)</w:t>
      </w:r>
      <w:r>
        <w:t xml:space="preserve"> </w:t>
      </w:r>
      <w:r>
        <w:t xml:space="preserve">fungicide applications where affordable</w:t>
      </w:r>
      <w:r>
        <w:t xml:space="preserve"> </w:t>
      </w:r>
      <w:r>
        <w:t xml:space="preserve">(Groth 2008; Rush and Lee 1983)</w:t>
      </w:r>
      <w:r>
        <w:t xml:space="preserve">, nitrogen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nitrogen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nitrogen were N0 (no nitrogen supply), N100 (100 kg per ha applied as urea in three splits at final harrowing, active tillering and panicle initiation) and N120 (120 kg per ha applied as urea in three splits at final harrowing, active tillering and panicle initiation) (Table</w:t>
      </w:r>
      <w:r>
        <w:t xml:space="preserve"> </w:t>
      </w:r>
      <w:r>
        <w:t xml:space="preserve">1</w:t>
      </w:r>
      <w:r>
        <w:t xml:space="preserve">).</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nitrogen treatments, N60 (60 kg per ha as urea split into two applications) and N180 (180 kg per ha in three splits) being applied (Table</w:t>
      </w:r>
      <w:r>
        <w:t xml:space="preserve"> </w:t>
      </w:r>
      <w:r>
        <w:t xml:space="preserve">1</w:t>
      </w:r>
      <w:r>
        <w:t xml:space="preserve">).</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3"/>
      </w:pPr>
      <w:bookmarkStart w:id="30" w:name="data-collection"/>
      <w:r>
        <w:t xml:space="preserve">Data Collection</w:t>
      </w:r>
      <w:bookmarkEnd w:id="30"/>
    </w:p>
    <w:p>
      <w:pPr>
        <w:pStyle w:val="FirstParagraph"/>
      </w:pPr>
      <w:r>
        <w:t xml:space="preserve">Two sample areas per plot (1m x 1m) were assessed. For nine hills per sample, the total number of tillers per hill and number of tillers with ShB (incidence) were measured. Tiller ShB severity was measured for four tillers per hill and six leaves tiller using the rating scale. Leaves were rated as green (living) having at least XXX% living tissue or dead, defined as having less than XXX% living tissue. Five disease assessments were made in the 2015 experiment and four disease assessments were made in the 2016 experiment, respectively.</w:t>
      </w:r>
    </w:p>
    <w:p>
      <w:pPr>
        <w:pStyle w:val="BodyText"/>
      </w:pPr>
      <w:r>
        <w:t xml:space="preserve">Disease rating was the same in both experiments using the same disease assessment scale for field evaluation developed at IRRI where 0 - no disease; 1 - trace to 1% severity; 2 - 1 to 5%; 3 - 5 to 15%; 4 - 15 to 50%; 5 - 50 to 100%. Where severity was considered to be the amount of leaf or sheath tissue covered by ShB lesions.</w:t>
      </w:r>
    </w:p>
    <w:p>
      <w:pPr>
        <w:pStyle w:val="Heading3"/>
      </w:pPr>
      <w:bookmarkStart w:id="31" w:name="statistical-analysis"/>
      <w:r>
        <w:t xml:space="preserve">Statistical Analysis</w:t>
      </w:r>
      <w:bookmarkEnd w:id="31"/>
    </w:p>
    <w:p>
      <w:pPr>
        <w:pStyle w:val="FirstParagraph"/>
      </w:pPr>
      <w:r>
        <w:t xml:space="preserve">Because the severity data were collected on an unevenly spaced categorical scale, they were converted to the midpoint value of the percent range for severity. Area under the disease progress stairs (AUDPS)</w:t>
      </w:r>
      <w:r>
        <w:t xml:space="preserve"> </w:t>
      </w:r>
      <w:r>
        <w:t xml:space="preserve">(Simko and Piepho 2012)</w:t>
      </w:r>
      <w:r>
        <w:t xml:space="preserve"> </w:t>
      </w:r>
      <w:r>
        <w:t xml:space="preserve">was calculated for both disease incidence and severity.</w:t>
      </w:r>
    </w:p>
    <w:p>
      <w:pPr>
        <w:pStyle w:val="BodyText"/>
      </w:pPr>
      <w:r>
        <w:t xml:space="preserve">As most of the data’s residuals did not meet assumptions for normality, the analysis was carried out using multivariate generalised linear mixed models implemented in the</w:t>
      </w:r>
      <w:r>
        <w:t xml:space="preserve"> </w:t>
      </w:r>
      <w:r>
        <w:rPr>
          <w:rStyle w:val="VerbatimChar"/>
        </w:rPr>
        <w:t xml:space="preserve">MCMCglmm</w:t>
      </w:r>
      <w:r>
        <w:t xml:space="preserve"> </w:t>
      </w:r>
      <w:r>
        <w:t xml:space="preserve">package</w:t>
      </w:r>
      <w:r>
        <w:t xml:space="preserve"> </w:t>
      </w:r>
      <w:r>
        <w:t xml:space="preserve">(Hadfield 2010)</w:t>
      </w:r>
      <w:r>
        <w:t xml:space="preserve"> </w:t>
      </w:r>
      <w:r>
        <w:t xml:space="preserve">in the R programming environment</w:t>
      </w:r>
      <w:r>
        <w:t xml:space="preserve"> </w:t>
      </w:r>
      <w:r>
        <w:t xml:space="preserve">(R Core Team 2018)</w:t>
      </w:r>
      <w:r>
        <w:t xml:space="preserve">.</w:t>
      </w:r>
    </w:p>
    <w:p>
      <w:pPr>
        <w:pStyle w:val="BodyText"/>
      </w:pPr>
      <w:r>
        <w:t xml:space="preserve">For each measurement, e.g. 2015 tiller incidence, 2016 tiller incidence, a single MCMC chain was run for 55,000 steps, with the first 5000 discarded as burn in. The remaining 50,000 samples were thinned by taking every tenth sample, resulting in 5000 independent draws from the posterior distribution of the parameters of the model. The model</w:t>
      </w:r>
    </w:p>
    <w:p>
      <w:pPr>
        <w:pStyle w:val="Heading1"/>
      </w:pPr>
      <w:bookmarkStart w:id="32" w:name="results"/>
      <w:r>
        <w:t xml:space="preserve">Results</w:t>
      </w:r>
      <w:bookmarkEnd w:id="32"/>
    </w:p>
    <w:p>
      <w:pPr>
        <w:pStyle w:val="Heading2"/>
      </w:pPr>
      <w:bookmarkStart w:id="33" w:name="experiment-2"/>
      <w:r>
        <w:t xml:space="preserve">2015 Experiment</w:t>
      </w:r>
      <w:bookmarkEnd w:id="33"/>
    </w:p>
    <w:p>
      <w:pPr>
        <w:pStyle w:val="Heading3"/>
      </w:pPr>
      <w:bookmarkStart w:id="34" w:name="tiller-sheath-blight-incidence"/>
      <w:r>
        <w:t xml:space="preserve">Tiller Sheath Blight Incidence</w:t>
      </w:r>
      <w:bookmarkEnd w:id="34"/>
    </w:p>
    <w:p>
      <w:pPr>
        <w:pStyle w:val="FirstParagraph"/>
      </w:pPr>
      <w:r>
        <w:t xml:space="preserve">In 2015 the incidence of tiller ShB remained low throughout the growing season only reaching 15% in 2015 in the N120, flooded treatment (Figure</w:t>
      </w:r>
      <w:r>
        <w:t xml:space="preserve"> </w:t>
      </w:r>
      <w:r>
        <w:t xml:space="preserve">??</w:t>
      </w:r>
      <w:r>
        <w:t xml:space="preserve">). The nitrogen treatments, N100 and N120, were both significantly different when compared with the control N0 treatment (Figure</w:t>
      </w:r>
      <w:r>
        <w:t xml:space="preserve"> </w:t>
      </w:r>
      <w:r>
        <w:t xml:space="preserve">??</w:t>
      </w:r>
      <w:r>
        <w:t xml:space="preserve">). However, water management was not significantly different (Figure</w:t>
      </w:r>
      <w:r>
        <w:t xml:space="preserve"> </w:t>
      </w:r>
      <w:r>
        <w:t xml:space="preserve">3</w:t>
      </w:r>
      <w:r>
        <w:t xml:space="preserve">).</w:t>
      </w:r>
    </w:p>
    <w:p>
      <w:pPr>
        <w:pStyle w:val="Heading3"/>
      </w:pPr>
      <w:bookmarkStart w:id="35" w:name="tiller-sheath-blight-severity"/>
      <w:r>
        <w:t xml:space="preserve">Tiller Sheath Blight Severity</w:t>
      </w:r>
      <w:bookmarkEnd w:id="35"/>
    </w:p>
    <w:p>
      <w:pPr>
        <w:pStyle w:val="FirstParagraph"/>
      </w:pPr>
      <w:r>
        <w:t xml:space="preserve">Tiller ShB severity remained below 2% (Figure</w:t>
      </w:r>
      <w:r>
        <w:t xml:space="preserve"> </w:t>
      </w:r>
      <w:r>
        <w:t xml:space="preserve">??</w:t>
      </w:r>
      <w:r>
        <w:t xml:space="preserve">). Both the N100 and N120 treatments were significantly different than the control N0 treatment (Figure</w:t>
      </w:r>
      <w:r>
        <w:t xml:space="preserve"> </w:t>
      </w:r>
      <w:r>
        <w:t xml:space="preserve">4</w:t>
      </w:r>
      <w:r>
        <w:t xml:space="preserve">). However, the AWD water management was not significantly different from the FLD treatment (Figure</w:t>
      </w:r>
      <w:r>
        <w:t xml:space="preserve"> </w:t>
      </w:r>
      <w:r>
        <w:t xml:space="preserve">??</w:t>
      </w:r>
      <w:r>
        <w:t xml:space="preserve">).</w:t>
      </w:r>
    </w:p>
    <w:p>
      <w:pPr>
        <w:pStyle w:val="Heading3"/>
      </w:pPr>
      <w:bookmarkStart w:id="36" w:name="leaf-sheath-blight-severity"/>
      <w:r>
        <w:t xml:space="preserve">Leaf Sheath Blight Severity</w:t>
      </w:r>
      <w:bookmarkEnd w:id="36"/>
    </w:p>
    <w:p>
      <w:pPr>
        <w:pStyle w:val="FirstParagraph"/>
      </w:pPr>
      <w:r>
        <w:t xml:space="preserve">Severity of leaf ShB remained low, less than 0.4% across all treatments (Figure</w:t>
      </w:r>
      <w:r>
        <w:t xml:space="preserve"> </w:t>
      </w:r>
      <w:r>
        <w:t xml:space="preserve">??</w:t>
      </w:r>
      <w:r>
        <w:t xml:space="preserve">)). Both the N100 and N120 treatments were significantly different than the N0 treatment (Figure</w:t>
      </w:r>
      <w:r>
        <w:t xml:space="preserve"> </w:t>
      </w:r>
      <w:r>
        <w:t xml:space="preserve">??</w:t>
      </w:r>
      <w:r>
        <w:t xml:space="preserve">). However, the AWD water management was not significantly different from the FLD treatment (Figure</w:t>
      </w:r>
      <w:r>
        <w:t xml:space="preserve"> </w:t>
      </w:r>
      <w:r>
        <w:t xml:space="preserve">??</w:t>
      </w:r>
      <w:r>
        <w:t xml:space="preserve">).</w:t>
      </w:r>
    </w:p>
    <w:p>
      <w:pPr>
        <w:pStyle w:val="Heading2"/>
      </w:pPr>
      <w:bookmarkStart w:id="37" w:name="experiment-3"/>
      <w:r>
        <w:t xml:space="preserve">2016 Experiment</w:t>
      </w:r>
      <w:bookmarkEnd w:id="37"/>
    </w:p>
    <w:p>
      <w:pPr>
        <w:pStyle w:val="Heading3"/>
      </w:pPr>
      <w:bookmarkStart w:id="38" w:name="tiller-sheath-blight-incidence-1"/>
      <w:r>
        <w:t xml:space="preserve">Tiller Sheath Blight Incidence</w:t>
      </w:r>
      <w:bookmarkEnd w:id="38"/>
    </w:p>
    <w:p>
      <w:pPr>
        <w:pStyle w:val="FirstParagraph"/>
      </w:pPr>
      <w:r>
        <w:t xml:space="preserve">The changes to the inoculation methodology resulted in a higher rate of infection in 2016, with the N180, flooded treatment reaching a maximum value of 98% incidence at the third observation (Figure</w:t>
      </w:r>
      <w:r>
        <w:t xml:space="preserve"> </w:t>
      </w:r>
      <w:r>
        <w:t xml:space="preserve">??</w:t>
      </w:r>
      <w:r>
        <w:t xml:space="preserve">). The nitrogen treatment N180, was significantly different than the control N60 treatment (Figure</w:t>
      </w:r>
      <w:r>
        <w:t xml:space="preserve"> </w:t>
      </w:r>
      <w:r>
        <w:t xml:space="preserve">??</w:t>
      </w:r>
      <w:r>
        <w:t xml:space="preserve">). As in the 2015 study, water management did not significantly differ</w:t>
      </w:r>
      <w:r>
        <w:t xml:space="preserve"> </w:t>
      </w:r>
      <w:r>
        <w:t xml:space="preserve">3</w:t>
      </w:r>
      <w:r>
        <w:t xml:space="preserve">).</w:t>
      </w:r>
    </w:p>
    <w:p>
      <w:pPr>
        <w:pStyle w:val="Heading3"/>
      </w:pPr>
      <w:bookmarkStart w:id="39" w:name="tiller-sheath-blight-severity-1"/>
      <w:r>
        <w:t xml:space="preserve">Tiller Sheath Blight Severity</w:t>
      </w:r>
      <w:bookmarkEnd w:id="39"/>
    </w:p>
    <w:p>
      <w:pPr>
        <w:pStyle w:val="FirstParagraph"/>
      </w:pPr>
      <w:r>
        <w:t xml:space="preserve">As with the tiller incidence, the tiller severity increased with the changed inoculation methods with a maximum of 7.6% for the flooded</w:t>
      </w:r>
      <w:r>
        <w:t xml:space="preserve"> </w:t>
      </w:r>
      <w:r>
        <w:t xml:space="preserve">In 2016 the N180 treatment was significantly different from the N60 treatment, with N180 severity being higher (Figure</w:t>
      </w:r>
      <w:r>
        <w:t xml:space="preserve"> </w:t>
      </w:r>
      <w:r>
        <w:t xml:space="preserve">4</w:t>
      </w:r>
      <w:r>
        <w:t xml:space="preserve">). The AWD water management, which was lower than the FLD treatment, was also significantly different (Figure</w:t>
      </w:r>
      <w:r>
        <w:t xml:space="preserve"> </w:t>
      </w:r>
      <w:r>
        <w:t xml:space="preserve">??</w:t>
      </w:r>
      <w:r>
        <w:t xml:space="preserve">).</w:t>
      </w:r>
    </w:p>
    <w:p>
      <w:pPr>
        <w:pStyle w:val="Heading3"/>
      </w:pPr>
      <w:bookmarkStart w:id="40" w:name="leaf-sheath-blight-severity-1"/>
      <w:r>
        <w:t xml:space="preserve">Leaf Sheath Blight Severity</w:t>
      </w:r>
      <w:bookmarkEnd w:id="40"/>
    </w:p>
    <w:p>
      <w:pPr>
        <w:pStyle w:val="FirstParagraph"/>
      </w:pPr>
      <w:r>
        <w:t xml:space="preserve">In 2016 the neither of the treatments, nitrogen rate or water management, were significantly different from the control treatments for leaf ShB severity (Figures</w:t>
      </w:r>
      <w:r>
        <w:t xml:space="preserve"> </w:t>
      </w:r>
      <w:r>
        <w:t xml:space="preserve">??</w:t>
      </w:r>
      <w:r>
        <w:t xml:space="preserve">,</w:t>
      </w:r>
      <w:r>
        <w:t xml:space="preserve"> </w:t>
      </w:r>
      <w:r>
        <w:t xml:space="preserve">??</w:t>
      </w:r>
      <w:r>
        <w:t xml:space="preserve">).</w:t>
      </w:r>
    </w:p>
    <w:p>
      <w:pPr>
        <w:pStyle w:val="Heading1"/>
      </w:pPr>
      <w:bookmarkStart w:id="41" w:name="discussion"/>
      <w:r>
        <w:t xml:space="preserve">Discussion</w:t>
      </w:r>
      <w:bookmarkEnd w:id="41"/>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(Figure</w:t>
      </w:r>
      <w:r>
        <w:t xml:space="preserve"> </w:t>
      </w:r>
      <w:r>
        <w:t xml:space="preserve">??</w:t>
      </w:r>
      <w:r>
        <w:t xml:space="preserve">). In the 2016 experiment the tiller ShB severity was significantly lower for AWD than the traditional FLD treatment, which may indicate a possible adverse effect of using AWD on tiller ShB severity.</w:t>
      </w:r>
    </w:p>
    <w:p>
      <w:pPr>
        <w:pStyle w:val="BodyText"/>
      </w:pPr>
      <w:r>
        <w:t xml:space="preserve">The changes made for the 2016 experiment appear to have improved the experiment, increasing the incidence and decreased variability of sheath blight in the plots (Figure</w:t>
      </w:r>
      <w:r>
        <w:t xml:space="preserve"> </w:t>
      </w:r>
      <w:r>
        <w:t xml:space="preserve">??</w:t>
      </w:r>
      <w:r>
        <w:t xml:space="preserve">).</w:t>
      </w:r>
    </w:p>
    <w:p>
      <w:pPr>
        <w:pStyle w:val="Heading1"/>
      </w:pPr>
      <w:bookmarkStart w:id="42" w:name="notes"/>
      <w:r>
        <w:t xml:space="preserve">Notes</w:t>
      </w:r>
      <w:bookmarkEnd w:id="42"/>
    </w:p>
    <w:p>
      <w:pPr>
        <w:pStyle w:val="Heading2"/>
      </w:pPr>
      <w:bookmarkStart w:id="43" w:name="data-and-code-availability"/>
      <w:r>
        <w:t xml:space="preserve">Data and Code Availability</w:t>
      </w:r>
      <w:bookmarkEnd w:id="43"/>
    </w:p>
    <w:p>
      <w:pPr>
        <w:pStyle w:val="FirstParagraph"/>
      </w:pPr>
      <w:r>
        <w:t xml:space="preserve">All data generated from this project and code used for analysis are available as a reproducible research compendium from</w:t>
      </w:r>
      <w:r>
        <w:t xml:space="preserve"> </w:t>
      </w:r>
      <w:hyperlink r:id="rId44">
        <w:r>
          <w:rPr>
            <w:rStyle w:val="Hyperlink"/>
          </w:rPr>
          <w:t xml:space="preserve">https://github.com/openplantpathology/rice_awd_pests</w:t>
        </w:r>
      </w:hyperlink>
      <w:r>
        <w:t xml:space="preserve"> </w:t>
      </w:r>
      <w:r>
        <w:t xml:space="preserve">(Sparks et al. 2018)</w:t>
      </w:r>
      <w:r>
        <w:t xml:space="preserve">.</w:t>
      </w:r>
    </w:p>
    <w:p>
      <w:pPr>
        <w:pStyle w:val="Heading2"/>
      </w:pPr>
      <w:bookmarkStart w:id="45" w:name="acknowledgments"/>
      <w:r>
        <w:t xml:space="preserve">Acknowledgments</w:t>
      </w:r>
      <w:bookmarkEnd w:id="45"/>
    </w:p>
    <w:p>
      <w:pPr>
        <w:pStyle w:val="FirstParagraph"/>
      </w:pPr>
      <w:r>
        <w:t xml:space="preserve">The authors wish to thank Rachel King of the University of Southern Queensland Statistical Consulting Unit for her insightful comments on the analysis of this paper. We would also like to thank Dale Amozola, Paul Escandor and P. Lapis for their technical support in the field. Lastly, Michael Noel, who helped design and manage the first year of the project but passed away in September 2016.</w:t>
      </w:r>
    </w:p>
    <w:p>
      <w:pPr>
        <w:pStyle w:val="Heading5"/>
      </w:pPr>
      <w:bookmarkStart w:id="46" w:name="pagebreak"/>
      <w:r>
        <w:t xml:space="preserve">pagebreak</w:t>
      </w:r>
      <w:bookmarkEnd w:id="46"/>
    </w:p>
    <w:p>
      <w:pPr>
        <w:pStyle w:val="Heading1"/>
      </w:pPr>
      <w:bookmarkStart w:id="47" w:name="references"/>
      <w:r>
        <w:t xml:space="preserve">References</w:t>
      </w:r>
      <w:bookmarkEnd w:id="47"/>
    </w:p>
    <w:bookmarkStart w:id="74" w:name="refs"/>
    <w:bookmarkStart w:id="49"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8">
        <w:r>
          <w:rPr>
            <w:rStyle w:val="Hyperlink"/>
          </w:rPr>
          <w:t xml:space="preserve">10.1016/S0378-3774(00)00128-1</w:t>
        </w:r>
      </w:hyperlink>
    </w:p>
    <w:bookmarkEnd w:id="49"/>
    <w:bookmarkStart w:id="50"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0"/>
    <w:bookmarkStart w:id="51"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1"/>
    <w:bookmarkStart w:id="53"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2">
        <w:r>
          <w:rPr>
            <w:rStyle w:val="Hyperlink"/>
          </w:rPr>
          <w:t xml:space="preserve">http://www.jstatsoft.org/v33/i02/</w:t>
        </w:r>
      </w:hyperlink>
    </w:p>
    <w:bookmarkEnd w:id="53"/>
    <w:bookmarkStart w:id="54"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4"/>
    <w:bookmarkStart w:id="56"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5">
        <w:r>
          <w:rPr>
            <w:rStyle w:val="Hyperlink"/>
          </w:rPr>
          <w:t xml:space="preserve">10.1016/j.agwat.2006.10.006</w:t>
        </w:r>
      </w:hyperlink>
    </w:p>
    <w:bookmarkEnd w:id="56"/>
    <w:bookmarkStart w:id="57"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7"/>
    <w:bookmarkStart w:id="59" w:name="ref-MOEF2015"/>
    <w:p>
      <w:pPr>
        <w:pStyle w:val="BodyText"/>
      </w:pPr>
      <w:r>
        <w:t xml:space="preserve">Ministry of Environment and Forests (MOEF) Government of the People’s Republic of Bangladesh. (2015). Intended nationally determined contributions (INDC).</w:t>
      </w:r>
      <w:r>
        <w:t xml:space="preserve"> </w:t>
      </w:r>
      <w:hyperlink r:id="rId58">
        <w:r>
          <w:rPr>
            <w:rStyle w:val="Hyperlink"/>
          </w:rPr>
          <w:t xml:space="preserve">http://www4.unfccc.int/ndcregistry/PublishedDocuments/Bangladesh%20First/INDC_2015_of_Bangladesh.pdf</w:t>
        </w:r>
      </w:hyperlink>
    </w:p>
    <w:bookmarkEnd w:id="59"/>
    <w:bookmarkStart w:id="61"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0">
        <w:r>
          <w:rPr>
            <w:rStyle w:val="Hyperlink"/>
          </w:rPr>
          <w:t xml:space="preserve">https://www.R-project.org/</w:t>
        </w:r>
      </w:hyperlink>
    </w:p>
    <w:bookmarkEnd w:id="61"/>
    <w:bookmarkStart w:id="62"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2"/>
    <w:bookmarkStart w:id="63"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3"/>
    <w:bookmarkStart w:id="64"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4"/>
    <w:bookmarkStart w:id="65"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5"/>
    <w:bookmarkStart w:id="66"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6"/>
    <w:bookmarkStart w:id="67"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67"/>
    <w:bookmarkStart w:id="68"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68"/>
    <w:bookmarkStart w:id="70"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69">
        <w:r>
          <w:rPr>
            <w:rStyle w:val="Hyperlink"/>
          </w:rPr>
          <w:t xml:space="preserve">10.1007/s10681-010-0296-7</w:t>
        </w:r>
      </w:hyperlink>
    </w:p>
    <w:bookmarkEnd w:id="70"/>
    <w:bookmarkStart w:id="71"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1"/>
    <w:bookmarkStart w:id="7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2">
        <w:r>
          <w:rPr>
            <w:rStyle w:val="Hyperlink"/>
          </w:rPr>
          <w:t xml:space="preserve">10.1111/j.1365-2486.2005.00976.x</w:t>
        </w:r>
      </w:hyperlink>
    </w:p>
    <w:bookmarkEnd w:id="73"/>
    <w:bookmarkEnd w:id="74"/>
    <w:p>
      <w:pPr>
        <w:pStyle w:val="Heading5"/>
      </w:pPr>
      <w:bookmarkStart w:id="75" w:name="pagebreak-1"/>
      <w:r>
        <w:t xml:space="preserve">pagebreak</w:t>
      </w:r>
      <w:bookmarkEnd w:id="75"/>
    </w:p>
    <w:p>
      <w:pPr>
        <w:pStyle w:val="Heading1"/>
      </w:pPr>
      <w:bookmarkStart w:id="76" w:name="tables"/>
      <w:r>
        <w:t xml:space="preserve">Tables</w:t>
      </w:r>
      <w:bookmarkEnd w:id="76"/>
    </w:p>
    <w:p>
      <w:pPr>
        <w:pStyle w:val="TableCaption"/>
      </w:pPr>
      <w:r>
        <w:t xml:space="preserve">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TableCaption"/>
      </w:pPr>
      <w:r>
        <w:t xml:space="preserve">Table 2 MCMC fit</w:t>
      </w:r>
    </w:p>
    <w:tbl>
      <w:tblPr>
        <w:tblStyle w:val="Table"/>
        <w:tblW w:type="pct" w:w="0.0"/>
        <w:tblLook w:firstRow="1"/>
        <w:tblCaption w:val="Table 2 MCMC fit"/>
      </w:tblPr>
      <w:tblGrid/>
      <w:tr>
        <w:trPr>
          <w:cnfStyle w:firstRow="1"/>
        </w:trPr>
        <w:tc>
          <w:tcPr>
            <w:tcBorders>
              <w:bottom w:val="single"/>
            </w:tcBorders>
            <w:vAlign w:val="bottom"/>
          </w:tcPr>
          <w:p>
            <w:pPr>
              <w:pStyle w:val="Compact"/>
              <w:jc w:val="left"/>
            </w:pPr>
            <w:r>
              <w:t xml:space="preserve">Dependent Variable</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Predictors</w:t>
            </w:r>
          </w:p>
        </w:tc>
        <w:tc>
          <w:tcPr>
            <w:tcBorders>
              <w:bottom w:val="single"/>
            </w:tcBorders>
            <w:vAlign w:val="bottom"/>
          </w:tcPr>
          <w:p>
            <w:pPr>
              <w:pStyle w:val="Compact"/>
              <w:jc w:val="right"/>
            </w:pPr>
            <w:r>
              <w:t xml:space="preserve">Post Mean</w:t>
            </w:r>
          </w:p>
        </w:tc>
        <w:tc>
          <w:tcPr>
            <w:tcBorders>
              <w:bottom w:val="single"/>
            </w:tcBorders>
            <w:vAlign w:val="bottom"/>
          </w:tcPr>
          <w:p>
            <w:pPr>
              <w:pStyle w:val="Compact"/>
              <w:jc w:val="right"/>
            </w:pPr>
            <w:r>
              <w:t xml:space="preserve">Lower 95% CI</w:t>
            </w:r>
          </w:p>
        </w:tc>
        <w:tc>
          <w:tcPr>
            <w:tcBorders>
              <w:bottom w:val="single"/>
            </w:tcBorders>
            <w:vAlign w:val="bottom"/>
          </w:tcPr>
          <w:p>
            <w:pPr>
              <w:pStyle w:val="Compact"/>
              <w:jc w:val="right"/>
            </w:pPr>
            <w:r>
              <w:t xml:space="preserve">Upper 95% CI</w:t>
            </w:r>
          </w:p>
        </w:tc>
        <w:tc>
          <w:tcPr>
            <w:tcBorders>
              <w:bottom w:val="single"/>
            </w:tcBorders>
            <w:vAlign w:val="bottom"/>
          </w:tcPr>
          <w:p>
            <w:pPr>
              <w:pStyle w:val="Compact"/>
              <w:jc w:val="right"/>
            </w:pPr>
            <w:r>
              <w:t xml:space="preserve">P MCMC</w:t>
            </w:r>
          </w:p>
        </w:tc>
        <w:tc>
          <w:tcPr>
            <w:tcBorders>
              <w:bottom w:val="single"/>
            </w:tcBorders>
            <w:vAlign w:val="bottom"/>
          </w:tcPr>
          <w:p>
            <w:pPr>
              <w:pStyle w:val="Compact"/>
              <w:jc w:val="left"/>
            </w:pPr>
            <w:r>
              <w:t xml:space="preserve">DIC</w:t>
            </w:r>
          </w:p>
        </w:tc>
      </w:tr>
      <w:tr>
        <w:tc>
          <w:p>
            <w:pPr>
              <w:pStyle w:val="Compact"/>
              <w:jc w:val="left"/>
            </w:pPr>
            <w:r>
              <w:t xml:space="preserve">Tiller Incidence</w:t>
            </w:r>
          </w:p>
        </w:tc>
        <w:tc>
          <w:p>
            <w:pPr>
              <w:pStyle w:val="Compact"/>
              <w:jc w:val="left"/>
            </w:pPr>
            <w:r>
              <w:t xml:space="preserve">2015</w:t>
            </w:r>
          </w:p>
        </w:tc>
        <w:tc>
          <w:p>
            <w:pPr>
              <w:pStyle w:val="Compact"/>
              <w:jc w:val="left"/>
            </w:pPr>
            <w:r>
              <w:t xml:space="preserve">WMGTAWD</w:t>
            </w:r>
          </w:p>
        </w:tc>
        <w:tc>
          <w:p>
            <w:pPr>
              <w:pStyle w:val="Compact"/>
              <w:jc w:val="right"/>
            </w:pPr>
            <w:r>
              <w:t xml:space="preserve">0.127</w:t>
            </w:r>
          </w:p>
        </w:tc>
        <w:tc>
          <w:p>
            <w:pPr>
              <w:pStyle w:val="Compact"/>
              <w:jc w:val="right"/>
            </w:pPr>
            <w:r>
              <w:t xml:space="preserve">-0.210</w:t>
            </w:r>
          </w:p>
        </w:tc>
        <w:tc>
          <w:p>
            <w:pPr>
              <w:pStyle w:val="Compact"/>
              <w:jc w:val="right"/>
            </w:pPr>
            <w:r>
              <w:t xml:space="preserve">0.462</w:t>
            </w:r>
          </w:p>
        </w:tc>
        <w:tc>
          <w:p>
            <w:pPr>
              <w:pStyle w:val="Compact"/>
              <w:jc w:val="right"/>
            </w:pPr>
            <w:r>
              <w:t xml:space="preserve">0.4644</w:t>
            </w:r>
          </w:p>
        </w:tc>
        <w:tc>
          <w:p>
            <w:pPr>
              <w:pStyle w:val="Compact"/>
              <w:jc w:val="left"/>
            </w:pPr>
            <w:r>
              <w:t xml:space="preserve">332.82</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0.623</w:t>
            </w:r>
          </w:p>
        </w:tc>
        <w:tc>
          <w:p>
            <w:pPr>
              <w:pStyle w:val="Compact"/>
              <w:jc w:val="right"/>
            </w:pPr>
            <w:r>
              <w:t xml:space="preserve">0.222</w:t>
            </w:r>
          </w:p>
        </w:tc>
        <w:tc>
          <w:p>
            <w:pPr>
              <w:pStyle w:val="Compact"/>
              <w:jc w:val="right"/>
            </w:pPr>
            <w:r>
              <w:t xml:space="preserve">1.032</w:t>
            </w:r>
          </w:p>
        </w:tc>
        <w:tc>
          <w:p>
            <w:pPr>
              <w:pStyle w:val="Compact"/>
              <w:jc w:val="right"/>
            </w:pPr>
            <w:r>
              <w:t xml:space="preserve">0.0028</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1.000</w:t>
            </w:r>
          </w:p>
        </w:tc>
        <w:tc>
          <w:p>
            <w:pPr>
              <w:pStyle w:val="Compact"/>
              <w:jc w:val="right"/>
            </w:pPr>
            <w:r>
              <w:t xml:space="preserve">0.599</w:t>
            </w:r>
          </w:p>
        </w:tc>
        <w:tc>
          <w:p>
            <w:pPr>
              <w:pStyle w:val="Compact"/>
              <w:jc w:val="right"/>
            </w:pPr>
            <w:r>
              <w:t xml:space="preserve">1.400</w:t>
            </w:r>
          </w:p>
        </w:tc>
        <w:tc>
          <w:p>
            <w:pPr>
              <w:pStyle w:val="Compact"/>
              <w:jc w:val="right"/>
            </w:pPr>
            <w:r>
              <w:t xml:space="preserve">0.0002</w:t>
            </w:r>
          </w:p>
        </w:tc>
        <w:tc>
          <w:p>
            <w:pPr>
              <w:pStyle w:val="Compact"/>
            </w:pPr>
          </w:p>
        </w:tc>
      </w:tr>
      <w:tr>
        <w:tc>
          <w:p>
            <w:pPr>
              <w:pStyle w:val="Compact"/>
              <w:jc w:val="left"/>
            </w:pPr>
            <w:r>
              <w:t xml:space="preserve">Tiller Severity</w:t>
            </w:r>
          </w:p>
        </w:tc>
        <w:tc>
          <w:p>
            <w:pPr>
              <w:pStyle w:val="Compact"/>
              <w:jc w:val="left"/>
            </w:pPr>
            <w:r>
              <w:t xml:space="preserve">2015</w:t>
            </w:r>
          </w:p>
        </w:tc>
        <w:tc>
          <w:p>
            <w:pPr>
              <w:pStyle w:val="Compact"/>
              <w:jc w:val="left"/>
            </w:pPr>
            <w:r>
              <w:t xml:space="preserve">WMGTAWD</w:t>
            </w:r>
          </w:p>
        </w:tc>
        <w:tc>
          <w:p>
            <w:pPr>
              <w:pStyle w:val="Compact"/>
              <w:jc w:val="right"/>
            </w:pPr>
            <w:r>
              <w:t xml:space="preserve">4.769</w:t>
            </w:r>
          </w:p>
        </w:tc>
        <w:tc>
          <w:p>
            <w:pPr>
              <w:pStyle w:val="Compact"/>
              <w:jc w:val="right"/>
            </w:pPr>
            <w:r>
              <w:t xml:space="preserve">-3.661</w:t>
            </w:r>
          </w:p>
        </w:tc>
        <w:tc>
          <w:p>
            <w:pPr>
              <w:pStyle w:val="Compact"/>
              <w:jc w:val="right"/>
            </w:pPr>
            <w:r>
              <w:t xml:space="preserve">13.674</w:t>
            </w:r>
          </w:p>
        </w:tc>
        <w:tc>
          <w:p>
            <w:pPr>
              <w:pStyle w:val="Compact"/>
              <w:jc w:val="right"/>
            </w:pPr>
            <w:r>
              <w:t xml:space="preserve">0.2716</w:t>
            </w:r>
          </w:p>
        </w:tc>
        <w:tc>
          <w:p>
            <w:pPr>
              <w:pStyle w:val="Compact"/>
              <w:jc w:val="left"/>
            </w:pPr>
            <w:r>
              <w:t xml:space="preserve">1114.37</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26.214</w:t>
            </w:r>
          </w:p>
        </w:tc>
        <w:tc>
          <w:p>
            <w:pPr>
              <w:pStyle w:val="Compact"/>
              <w:jc w:val="right"/>
            </w:pPr>
            <w:r>
              <w:t xml:space="preserve">15.868</w:t>
            </w:r>
          </w:p>
        </w:tc>
        <w:tc>
          <w:p>
            <w:pPr>
              <w:pStyle w:val="Compact"/>
              <w:jc w:val="right"/>
            </w:pPr>
            <w:r>
              <w:t xml:space="preserve">37.041</w:t>
            </w:r>
          </w:p>
        </w:tc>
        <w:tc>
          <w:p>
            <w:pPr>
              <w:pStyle w:val="Compact"/>
              <w:jc w:val="right"/>
            </w:pPr>
            <w:r>
              <w:t xml:space="preserve">0.0002</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41.113</w:t>
            </w:r>
          </w:p>
        </w:tc>
        <w:tc>
          <w:p>
            <w:pPr>
              <w:pStyle w:val="Compact"/>
              <w:jc w:val="right"/>
            </w:pPr>
            <w:r>
              <w:t xml:space="preserve">31.312</w:t>
            </w:r>
          </w:p>
        </w:tc>
        <w:tc>
          <w:p>
            <w:pPr>
              <w:pStyle w:val="Compact"/>
              <w:jc w:val="right"/>
            </w:pPr>
            <w:r>
              <w:t xml:space="preserve">52.316</w:t>
            </w:r>
          </w:p>
        </w:tc>
        <w:tc>
          <w:p>
            <w:pPr>
              <w:pStyle w:val="Compact"/>
              <w:jc w:val="right"/>
            </w:pPr>
            <w:r>
              <w:t xml:space="preserve">0.0002</w:t>
            </w:r>
          </w:p>
        </w:tc>
        <w:tc>
          <w:p>
            <w:pPr>
              <w:pStyle w:val="Compact"/>
            </w:pPr>
          </w:p>
        </w:tc>
      </w:tr>
      <w:tr>
        <w:tc>
          <w:p>
            <w:pPr>
              <w:pStyle w:val="Compact"/>
              <w:jc w:val="left"/>
            </w:pPr>
            <w:r>
              <w:t xml:space="preserve">Leaf Severity</w:t>
            </w:r>
          </w:p>
        </w:tc>
        <w:tc>
          <w:p>
            <w:pPr>
              <w:pStyle w:val="Compact"/>
              <w:jc w:val="left"/>
            </w:pPr>
            <w:r>
              <w:t xml:space="preserve">2015</w:t>
            </w:r>
          </w:p>
        </w:tc>
        <w:tc>
          <w:p>
            <w:pPr>
              <w:pStyle w:val="Compact"/>
              <w:jc w:val="left"/>
            </w:pPr>
            <w:r>
              <w:t xml:space="preserve">WMGTAWD</w:t>
            </w:r>
          </w:p>
        </w:tc>
        <w:tc>
          <w:p>
            <w:pPr>
              <w:pStyle w:val="Compact"/>
              <w:jc w:val="right"/>
            </w:pPr>
            <w:r>
              <w:t xml:space="preserve">0.038</w:t>
            </w:r>
          </w:p>
        </w:tc>
        <w:tc>
          <w:p>
            <w:pPr>
              <w:pStyle w:val="Compact"/>
              <w:jc w:val="right"/>
            </w:pPr>
            <w:r>
              <w:t xml:space="preserve">-1.152</w:t>
            </w:r>
          </w:p>
        </w:tc>
        <w:tc>
          <w:p>
            <w:pPr>
              <w:pStyle w:val="Compact"/>
              <w:jc w:val="right"/>
            </w:pPr>
            <w:r>
              <w:t xml:space="preserve">1.298</w:t>
            </w:r>
          </w:p>
        </w:tc>
        <w:tc>
          <w:p>
            <w:pPr>
              <w:pStyle w:val="Compact"/>
              <w:jc w:val="right"/>
            </w:pPr>
            <w:r>
              <w:t xml:space="preserve">0.9580</w:t>
            </w:r>
          </w:p>
        </w:tc>
        <w:tc>
          <w:p>
            <w:pPr>
              <w:pStyle w:val="Compact"/>
              <w:jc w:val="left"/>
            </w:pPr>
            <w:r>
              <w:t xml:space="preserve">636.41</w:t>
            </w:r>
          </w:p>
        </w:tc>
      </w:tr>
      <w:tr>
        <w:tc>
          <w:p>
            <w:pPr>
              <w:pStyle w:val="Compact"/>
            </w:pPr>
          </w:p>
        </w:tc>
        <w:tc>
          <w:p>
            <w:pPr>
              <w:pStyle w:val="Compact"/>
              <w:jc w:val="left"/>
            </w:pPr>
            <w:r>
              <w:t xml:space="preserve">2015</w:t>
            </w:r>
          </w:p>
        </w:tc>
        <w:tc>
          <w:p>
            <w:pPr>
              <w:pStyle w:val="Compact"/>
              <w:jc w:val="left"/>
            </w:pPr>
            <w:r>
              <w:t xml:space="preserve">NRTEN100</w:t>
            </w:r>
          </w:p>
        </w:tc>
        <w:tc>
          <w:p>
            <w:pPr>
              <w:pStyle w:val="Compact"/>
              <w:jc w:val="right"/>
            </w:pPr>
            <w:r>
              <w:t xml:space="preserve">4.548</w:t>
            </w:r>
          </w:p>
        </w:tc>
        <w:tc>
          <w:p>
            <w:pPr>
              <w:pStyle w:val="Compact"/>
              <w:jc w:val="right"/>
            </w:pPr>
            <w:r>
              <w:t xml:space="preserve">3.026</w:t>
            </w:r>
          </w:p>
        </w:tc>
        <w:tc>
          <w:p>
            <w:pPr>
              <w:pStyle w:val="Compact"/>
              <w:jc w:val="right"/>
            </w:pPr>
            <w:r>
              <w:t xml:space="preserve">6.015</w:t>
            </w:r>
          </w:p>
        </w:tc>
        <w:tc>
          <w:p>
            <w:pPr>
              <w:pStyle w:val="Compact"/>
              <w:jc w:val="right"/>
            </w:pPr>
            <w:r>
              <w:t xml:space="preserve">0.0002</w:t>
            </w:r>
          </w:p>
        </w:tc>
        <w:tc>
          <w:p>
            <w:pPr>
              <w:pStyle w:val="Compact"/>
            </w:pPr>
          </w:p>
        </w:tc>
      </w:tr>
      <w:tr>
        <w:tc>
          <w:p>
            <w:pPr>
              <w:pStyle w:val="Compact"/>
            </w:pPr>
          </w:p>
        </w:tc>
        <w:tc>
          <w:p>
            <w:pPr>
              <w:pStyle w:val="Compact"/>
              <w:jc w:val="left"/>
            </w:pPr>
            <w:r>
              <w:t xml:space="preserve">2015</w:t>
            </w:r>
          </w:p>
        </w:tc>
        <w:tc>
          <w:p>
            <w:pPr>
              <w:pStyle w:val="Compact"/>
              <w:jc w:val="left"/>
            </w:pPr>
            <w:r>
              <w:t xml:space="preserve">NRTEN120</w:t>
            </w:r>
          </w:p>
        </w:tc>
        <w:tc>
          <w:p>
            <w:pPr>
              <w:pStyle w:val="Compact"/>
              <w:jc w:val="right"/>
            </w:pPr>
            <w:r>
              <w:t xml:space="preserve">4.985</w:t>
            </w:r>
          </w:p>
        </w:tc>
        <w:tc>
          <w:p>
            <w:pPr>
              <w:pStyle w:val="Compact"/>
              <w:jc w:val="right"/>
            </w:pPr>
            <w:r>
              <w:t xml:space="preserve">3.540</w:t>
            </w:r>
          </w:p>
        </w:tc>
        <w:tc>
          <w:p>
            <w:pPr>
              <w:pStyle w:val="Compact"/>
              <w:jc w:val="right"/>
            </w:pPr>
            <w:r>
              <w:t xml:space="preserve">6.457</w:t>
            </w:r>
          </w:p>
        </w:tc>
        <w:tc>
          <w:p>
            <w:pPr>
              <w:pStyle w:val="Compact"/>
              <w:jc w:val="right"/>
            </w:pPr>
            <w:r>
              <w:t xml:space="preserve">0.0002</w:t>
            </w:r>
          </w:p>
        </w:tc>
        <w:tc>
          <w:p>
            <w:pPr>
              <w:pStyle w:val="Compact"/>
            </w:pPr>
          </w:p>
        </w:tc>
      </w:tr>
      <w:tr>
        <w:tc>
          <w:p>
            <w:pPr>
              <w:pStyle w:val="Compact"/>
              <w:jc w:val="left"/>
            </w:pPr>
            <w:r>
              <w:t xml:space="preserve">Tiller Incidence</w:t>
            </w:r>
          </w:p>
        </w:tc>
        <w:tc>
          <w:p>
            <w:pPr>
              <w:pStyle w:val="Compact"/>
              <w:jc w:val="left"/>
            </w:pPr>
            <w:r>
              <w:t xml:space="preserve">2016</w:t>
            </w:r>
          </w:p>
        </w:tc>
        <w:tc>
          <w:p>
            <w:pPr>
              <w:pStyle w:val="Compact"/>
              <w:jc w:val="left"/>
            </w:pPr>
            <w:r>
              <w:t xml:space="preserve">WMGTAWD</w:t>
            </w:r>
          </w:p>
        </w:tc>
        <w:tc>
          <w:p>
            <w:pPr>
              <w:pStyle w:val="Compact"/>
              <w:jc w:val="right"/>
            </w:pPr>
            <w:r>
              <w:t xml:space="preserve">0.369</w:t>
            </w:r>
          </w:p>
        </w:tc>
        <w:tc>
          <w:p>
            <w:pPr>
              <w:pStyle w:val="Compact"/>
              <w:jc w:val="right"/>
            </w:pPr>
            <w:r>
              <w:t xml:space="preserve">-0.107</w:t>
            </w:r>
          </w:p>
        </w:tc>
        <w:tc>
          <w:p>
            <w:pPr>
              <w:pStyle w:val="Compact"/>
              <w:jc w:val="right"/>
            </w:pPr>
            <w:r>
              <w:t xml:space="preserve">0.857</w:t>
            </w:r>
          </w:p>
        </w:tc>
        <w:tc>
          <w:p>
            <w:pPr>
              <w:pStyle w:val="Compact"/>
              <w:jc w:val="right"/>
            </w:pPr>
            <w:r>
              <w:t xml:space="preserve">0.1408</w:t>
            </w:r>
          </w:p>
        </w:tc>
        <w:tc>
          <w:p>
            <w:pPr>
              <w:pStyle w:val="Compact"/>
              <w:jc w:val="left"/>
            </w:pPr>
            <w:r>
              <w:t xml:space="preserve">185.92</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1.963</w:t>
            </w:r>
          </w:p>
        </w:tc>
        <w:tc>
          <w:p>
            <w:pPr>
              <w:pStyle w:val="Compact"/>
              <w:jc w:val="right"/>
            </w:pPr>
            <w:r>
              <w:t xml:space="preserve">1.476</w:t>
            </w:r>
          </w:p>
        </w:tc>
        <w:tc>
          <w:p>
            <w:pPr>
              <w:pStyle w:val="Compact"/>
              <w:jc w:val="right"/>
            </w:pPr>
            <w:r>
              <w:t xml:space="preserve">2.461</w:t>
            </w:r>
          </w:p>
        </w:tc>
        <w:tc>
          <w:p>
            <w:pPr>
              <w:pStyle w:val="Compact"/>
              <w:jc w:val="right"/>
            </w:pPr>
            <w:r>
              <w:t xml:space="preserve">0.0002</w:t>
            </w:r>
          </w:p>
        </w:tc>
        <w:tc>
          <w:p>
            <w:pPr>
              <w:pStyle w:val="Compact"/>
            </w:pPr>
          </w:p>
        </w:tc>
      </w:tr>
      <w:tr>
        <w:tc>
          <w:p>
            <w:pPr>
              <w:pStyle w:val="Compact"/>
              <w:jc w:val="left"/>
            </w:pPr>
            <w:r>
              <w:t xml:space="preserve">Tiller Severity</w:t>
            </w:r>
          </w:p>
        </w:tc>
        <w:tc>
          <w:p>
            <w:pPr>
              <w:pStyle w:val="Compact"/>
              <w:jc w:val="left"/>
            </w:pPr>
            <w:r>
              <w:t xml:space="preserve">2016</w:t>
            </w:r>
          </w:p>
        </w:tc>
        <w:tc>
          <w:p>
            <w:pPr>
              <w:pStyle w:val="Compact"/>
              <w:jc w:val="left"/>
            </w:pPr>
            <w:r>
              <w:t xml:space="preserve">WMGTAWD</w:t>
            </w:r>
          </w:p>
        </w:tc>
        <w:tc>
          <w:p>
            <w:pPr>
              <w:pStyle w:val="Compact"/>
              <w:jc w:val="right"/>
            </w:pPr>
            <w:r>
              <w:t xml:space="preserve">-8.236</w:t>
            </w:r>
          </w:p>
        </w:tc>
        <w:tc>
          <w:p>
            <w:pPr>
              <w:pStyle w:val="Compact"/>
              <w:jc w:val="right"/>
            </w:pPr>
            <w:r>
              <w:t xml:space="preserve">-12.449</w:t>
            </w:r>
          </w:p>
        </w:tc>
        <w:tc>
          <w:p>
            <w:pPr>
              <w:pStyle w:val="Compact"/>
              <w:jc w:val="right"/>
            </w:pPr>
            <w:r>
              <w:t xml:space="preserve">-3.905</w:t>
            </w:r>
          </w:p>
        </w:tc>
        <w:tc>
          <w:p>
            <w:pPr>
              <w:pStyle w:val="Compact"/>
              <w:jc w:val="right"/>
            </w:pPr>
            <w:r>
              <w:t xml:space="preserve">0.0012</w:t>
            </w:r>
          </w:p>
        </w:tc>
        <w:tc>
          <w:p>
            <w:pPr>
              <w:pStyle w:val="Compact"/>
              <w:jc w:val="left"/>
            </w:pPr>
            <w:r>
              <w:t xml:space="preserve">465.9</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4.736</w:t>
            </w:r>
          </w:p>
        </w:tc>
        <w:tc>
          <w:p>
            <w:pPr>
              <w:pStyle w:val="Compact"/>
              <w:jc w:val="right"/>
            </w:pPr>
            <w:r>
              <w:t xml:space="preserve">0.538</w:t>
            </w:r>
          </w:p>
        </w:tc>
        <w:tc>
          <w:p>
            <w:pPr>
              <w:pStyle w:val="Compact"/>
              <w:jc w:val="right"/>
            </w:pPr>
            <w:r>
              <w:t xml:space="preserve">9.157</w:t>
            </w:r>
          </w:p>
        </w:tc>
        <w:tc>
          <w:p>
            <w:pPr>
              <w:pStyle w:val="Compact"/>
              <w:jc w:val="right"/>
            </w:pPr>
            <w:r>
              <w:t xml:space="preserve">0.0288</w:t>
            </w:r>
          </w:p>
        </w:tc>
        <w:tc>
          <w:p>
            <w:pPr>
              <w:pStyle w:val="Compact"/>
            </w:pPr>
          </w:p>
        </w:tc>
      </w:tr>
      <w:tr>
        <w:tc>
          <w:p>
            <w:pPr>
              <w:pStyle w:val="Compact"/>
              <w:jc w:val="left"/>
            </w:pPr>
            <w:r>
              <w:t xml:space="preserve">Leaf Severity</w:t>
            </w:r>
          </w:p>
        </w:tc>
        <w:tc>
          <w:p>
            <w:pPr>
              <w:pStyle w:val="Compact"/>
              <w:jc w:val="left"/>
            </w:pPr>
            <w:r>
              <w:t xml:space="preserve">2016</w:t>
            </w:r>
          </w:p>
        </w:tc>
        <w:tc>
          <w:p>
            <w:pPr>
              <w:pStyle w:val="Compact"/>
              <w:jc w:val="left"/>
            </w:pPr>
            <w:r>
              <w:t xml:space="preserve">WMGTAWD</w:t>
            </w:r>
          </w:p>
        </w:tc>
        <w:tc>
          <w:p>
            <w:pPr>
              <w:pStyle w:val="Compact"/>
              <w:jc w:val="right"/>
            </w:pPr>
            <w:r>
              <w:t xml:space="preserve">0.132</w:t>
            </w:r>
          </w:p>
        </w:tc>
        <w:tc>
          <w:p>
            <w:pPr>
              <w:pStyle w:val="Compact"/>
              <w:jc w:val="right"/>
            </w:pPr>
            <w:r>
              <w:t xml:space="preserve">-0.118</w:t>
            </w:r>
          </w:p>
        </w:tc>
        <w:tc>
          <w:p>
            <w:pPr>
              <w:pStyle w:val="Compact"/>
              <w:jc w:val="right"/>
            </w:pPr>
            <w:r>
              <w:t xml:space="preserve">0.377</w:t>
            </w:r>
          </w:p>
        </w:tc>
        <w:tc>
          <w:p>
            <w:pPr>
              <w:pStyle w:val="Compact"/>
              <w:jc w:val="right"/>
            </w:pPr>
            <w:r>
              <w:t xml:space="preserve">0.2932</w:t>
            </w:r>
          </w:p>
        </w:tc>
        <w:tc>
          <w:p>
            <w:pPr>
              <w:pStyle w:val="Compact"/>
              <w:jc w:val="left"/>
            </w:pPr>
            <w:r>
              <w:t xml:space="preserve">99.2</w:t>
            </w:r>
          </w:p>
        </w:tc>
      </w:tr>
      <w:tr>
        <w:tc>
          <w:p>
            <w:pPr>
              <w:pStyle w:val="Compact"/>
            </w:pPr>
          </w:p>
        </w:tc>
        <w:tc>
          <w:p>
            <w:pPr>
              <w:pStyle w:val="Compact"/>
              <w:jc w:val="left"/>
            </w:pPr>
            <w:r>
              <w:t xml:space="preserve">2016</w:t>
            </w:r>
          </w:p>
        </w:tc>
        <w:tc>
          <w:p>
            <w:pPr>
              <w:pStyle w:val="Compact"/>
              <w:jc w:val="left"/>
            </w:pPr>
            <w:r>
              <w:t xml:space="preserve">NRTEN180</w:t>
            </w:r>
          </w:p>
        </w:tc>
        <w:tc>
          <w:p>
            <w:pPr>
              <w:pStyle w:val="Compact"/>
              <w:jc w:val="right"/>
            </w:pPr>
            <w:r>
              <w:t xml:space="preserve">0.159</w:t>
            </w:r>
          </w:p>
        </w:tc>
        <w:tc>
          <w:p>
            <w:pPr>
              <w:pStyle w:val="Compact"/>
              <w:jc w:val="right"/>
            </w:pPr>
            <w:r>
              <w:t xml:space="preserve">-0.084</w:t>
            </w:r>
          </w:p>
        </w:tc>
        <w:tc>
          <w:p>
            <w:pPr>
              <w:pStyle w:val="Compact"/>
              <w:jc w:val="right"/>
            </w:pPr>
            <w:r>
              <w:t xml:space="preserve">0.399</w:t>
            </w:r>
          </w:p>
        </w:tc>
        <w:tc>
          <w:p>
            <w:pPr>
              <w:pStyle w:val="Compact"/>
              <w:jc w:val="right"/>
            </w:pPr>
            <w:r>
              <w:t xml:space="preserve">0.1964</w:t>
            </w:r>
          </w:p>
        </w:tc>
        <w:tc>
          <w:p>
            <w:pPr>
              <w:pStyle w:val="Compact"/>
            </w:pPr>
          </w:p>
        </w:tc>
      </w:tr>
    </w:tbl>
    <w:p>
      <w:pPr>
        <w:pStyle w:val="Heading5"/>
      </w:pPr>
      <w:bookmarkStart w:id="77" w:name="pagebreak-2"/>
      <w:r>
        <w:t xml:space="preserve">pagebreak</w:t>
      </w:r>
      <w:bookmarkEnd w:id="77"/>
    </w:p>
    <w:p>
      <w:pPr>
        <w:pStyle w:val="Heading1"/>
      </w:pPr>
      <w:bookmarkStart w:id="78" w:name="figures"/>
      <w:r>
        <w:t xml:space="preserve">Figures</w:t>
      </w:r>
      <w:bookmarkEnd w:id="78"/>
    </w:p>
    <w:p>
      <w:pPr>
        <w:pStyle w:val="CaptionedFigure"/>
      </w:pPr>
      <w:r>
        <w:drawing>
          <wp:inline>
            <wp:extent cx="5943600" cy="5943600"/>
            <wp:effectExtent b="0" l="0" r="0" t="0"/>
            <wp:docPr descr="Figure 1 Tiller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 title="" id="1" name="Picture"/>
            <a:graphic>
              <a:graphicData uri="http://schemas.openxmlformats.org/drawingml/2006/picture">
                <pic:pic>
                  <pic:nvPicPr>
                    <pic:cNvPr descr="../figures/tiller-ShB-w-progress-1.eps" id="0" name="Picture"/>
                    <pic:cNvPicPr>
                      <a:picLocks noChangeArrowheads="1" noChangeAspect="1"/>
                    </pic:cNvPicPr>
                  </pic:nvPicPr>
                  <pic:blipFill>
                    <a:blip r:embed="rId7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Tiller sheath blight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p>
    <w:p>
      <w:pPr>
        <w:pStyle w:val="Heading5"/>
      </w:pPr>
      <w:bookmarkStart w:id="80" w:name="tiller-shb-n-progress"/>
      <w:r>
        <w:t xml:space="preserve">Tiller ShB N progress</w:t>
      </w:r>
      <w:bookmarkEnd w:id="80"/>
    </w:p>
    <w:p>
      <w:pPr>
        <w:pStyle w:val="CaptionedFigure"/>
      </w:pPr>
      <w:r>
        <w:drawing>
          <wp:inline>
            <wp:extent cx="5943600" cy="5943600"/>
            <wp:effectExtent b="0" l="0" r="0" t="0"/>
            <wp:docPr descr="Figure 2 Tiller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 title="" id="1" name="Picture"/>
            <a:graphic>
              <a:graphicData uri="http://schemas.openxmlformats.org/drawingml/2006/picture">
                <pic:pic>
                  <pic:nvPicPr>
                    <pic:cNvPr descr="../figures/tiller-ShB-N-progress-1.eps" id="0" name="Picture"/>
                    <pic:cNvPicPr>
                      <a:picLocks noChangeArrowheads="1" noChangeAspect="1"/>
                    </pic:cNvPicPr>
                  </pic:nvPicPr>
                  <pic:blipFill>
                    <a:blip r:embed="rId81"/>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Tiller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p>
    <w:p>
      <w:pPr>
        <w:pStyle w:val="Heading5"/>
      </w:pPr>
      <w:bookmarkStart w:id="82" w:name="shb-boxplot---wmgt"/>
      <w:r>
        <w:t xml:space="preserve">ShB boxplot - WMGT</w:t>
      </w:r>
      <w:bookmarkEnd w:id="82"/>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 title="" id="1" name="Picture"/>
            <a:graphic>
              <a:graphicData uri="http://schemas.openxmlformats.org/drawingml/2006/picture">
                <pic:pic>
                  <pic:nvPicPr>
                    <pic:cNvPr descr="../figures/TShB-W-inc-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p>
    <w:p>
      <w:pPr>
        <w:pStyle w:val="Heading5"/>
      </w:pPr>
      <w:bookmarkStart w:id="84" w:name="shb-boxplot---nrte"/>
      <w:r>
        <w:t xml:space="preserve">ShB boxplot - NRTE</w:t>
      </w:r>
      <w:bookmarkEnd w:id="84"/>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title="" id="1" name="Picture"/>
            <a:graphic>
              <a:graphicData uri="http://schemas.openxmlformats.org/drawingml/2006/picture">
                <pic:pic>
                  <pic:nvPicPr>
                    <pic:cNvPr descr="../figures/TShB-N-sev-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p>
    <w:p>
      <w:pPr>
        <w:pStyle w:val="Heading5"/>
      </w:pPr>
      <w:bookmarkStart w:id="86" w:name="pagebreak-3"/>
      <w:r>
        <w:t xml:space="preserve">pagebreak</w:t>
      </w:r>
      <w:bookmarkEnd w:id="86"/>
    </w:p>
    <w:p>
      <w:pPr>
        <w:pStyle w:val="Heading3"/>
      </w:pPr>
      <w:bookmarkStart w:id="87" w:name="colophon"/>
      <w:r>
        <w:t xml:space="preserve">Colophon</w:t>
      </w:r>
      <w:bookmarkEnd w:id="87"/>
    </w:p>
    <w:p>
      <w:pPr>
        <w:pStyle w:val="FirstParagraph"/>
      </w:pPr>
      <w:r>
        <w:t xml:space="preserve">This report was generated on 2018-04-27 19:58:03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2018-04-27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2018-04-27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2.1.18     2018-03-08 CRAN (R 3.5.0)</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[e54e0bd] 2018-04-27: Clean up figures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5" Target="media/rId85.ps" /><Relationship Type="http://schemas.openxmlformats.org/officeDocument/2006/relationships/image" Id="rId83" Target="media/rId83.ps" /><Relationship Type="http://schemas.openxmlformats.org/officeDocument/2006/relationships/image" Id="rId81" Target="media/rId81.ps" /><Relationship Type="http://schemas.openxmlformats.org/officeDocument/2006/relationships/image" Id="rId79" Target="media/rId79.ps" /><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www.jstatsoft.org/v33/i02/" TargetMode="External" /><Relationship Type="http://schemas.openxmlformats.org/officeDocument/2006/relationships/hyperlink" Id="rId58" Target="http://www4.unfccc.int/ndcregistry/PublishedDocuments/Bangladesh%20First/INDC_2015_of_Bangladesh.pdf" TargetMode="External" /><Relationship Type="http://schemas.openxmlformats.org/officeDocument/2006/relationships/hyperlink" Id="rId69" Target="https://doi.org/10.1007/s10681-010-0296-7" TargetMode="External" /><Relationship Type="http://schemas.openxmlformats.org/officeDocument/2006/relationships/hyperlink" Id="rId48" Target="https://doi.org/10.1016/S0378-3774(00)00128-1" TargetMode="External" /><Relationship Type="http://schemas.openxmlformats.org/officeDocument/2006/relationships/hyperlink" Id="rId55" Target="https://doi.org/10.1016/j.agwat.2006.10.006" TargetMode="External" /><Relationship Type="http://schemas.openxmlformats.org/officeDocument/2006/relationships/hyperlink" Id="rId72" Target="https://doi.org/10.1111/j.1365-2486.2005.00976.x" TargetMode="External" /><Relationship Type="http://schemas.openxmlformats.org/officeDocument/2006/relationships/hyperlink" Id="rId44" Target="https://github.com/openplantpathology/rice_awd_pests" TargetMode="External" /><Relationship Type="http://schemas.openxmlformats.org/officeDocument/2006/relationships/hyperlink" Id="rId60"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2018-04-27T09:58:10Z</dcterms:created>
  <dcterms:modified xsi:type="dcterms:W3CDTF">2018-04-27T09:58:10Z</dcterms:modified>
</cp:coreProperties>
</file>