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eps" ContentType="application/eps"/>
  <Override PartName="/word/media/rId85.eps" ContentType="application/eps"/>
  <Override PartName="/word/media/rId87.eps" ContentType="application/eps"/>
  <Override PartName="/word/media/rId83.eps" ContentType="application/eps"/>
  <Override PartName="/word/media/rId91.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w:t>
      </w:r>
      <w:r>
        <w:t xml:space="preserve"> </w:t>
      </w:r>
      <w:r>
        <w:t xml:space="preserve">??</w:t>
      </w:r>
      <w:r>
        <w:t xml:space="preserve">).</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w:t>
      </w:r>
      <w:r>
        <w:t xml:space="preserve"> </w:t>
      </w:r>
      <w:r>
        <w:t xml:space="preserve">??</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
      <w:r>
        <w:t xml:space="preserve">Data Collection</w:t>
      </w:r>
      <w:bookmarkEnd w:id="30"/>
    </w:p>
    <w:p>
      <w:pPr>
        <w:pStyle w:val="FirstParagraph"/>
      </w:pPr>
      <w:r>
        <w:t xml:space="preserve">In both experiments, two sample areas, sized 1m x 1m, per plot were assessed. the total number of tillers per hill and number of tillers with ShB (incidence) were measured for nine hills per sample area. Tiller ShB severity was measured for four tillers per hill and six leaves tiller using a disease assessment rating scale for field evaluation developed at IRRI. The scale is an unequally spaced categorical scale where 0 - no disease; 1 - trace to 1% severity; 2 - 1 to 5%; 3 - 5 to 15%; 4 - 15 to 50%; 5 - 50 to 100%. Severity was considered to be the amount of leaf or sheath tissue covered by ShB lesions. Leaves were rated as green (living) having at least XXX% living tissue or dead, defined as having less than XXX% living tissue. The same rating methodology was used in both experiments. Five disease assessments were made in the 2015 experiment and four disease assessments were made in the 2016 experiment, respectively.</w:t>
      </w:r>
    </w:p>
    <w:p>
      <w:pPr>
        <w:pStyle w:val="Heading2"/>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The severity data were converted to the midpoint percent value of the scale range.</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 rate with replicate treated as a random variable. The base levels (control treatments) for the analyses for 2015 were N rate - N0; irrigation management - FLD and for 2016, N rate - N60; irrigation management - FLD.</w:t>
      </w:r>
    </w:p>
    <w:p>
      <w:pPr>
        <w:pStyle w:val="BodyText"/>
      </w:pPr>
      <w:r>
        <w:t xml:space="preserve">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convergence using visual inspection of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(Fig.</w:t>
      </w:r>
      <w:r>
        <w:t xml:space="preserve"> </w:t>
      </w:r>
      <w:r>
        <w:t xml:space="preserve">??</w:t>
      </w:r>
      <w:r>
        <w:t xml:space="preserve">a,</w:t>
      </w:r>
      <w:r>
        <w:t xml:space="preserve"> </w:t>
      </w:r>
      <w:r>
        <w:t xml:space="preserve">??</w:t>
      </w:r>
      <w:r>
        <w:t xml:space="preserve">a). Water management was not significantly different (Fig.</w:t>
      </w:r>
      <w:r>
        <w:t xml:space="preserve"> </w:t>
      </w:r>
      <w:r>
        <w:t xml:space="preserve">??</w:t>
      </w:r>
      <w:r>
        <w:t xml:space="preserve">a,</w:t>
      </w:r>
      <w:r>
        <w:t xml:space="preserve"> </w:t>
      </w:r>
      <w:r>
        <w:t xml:space="preserve">??</w:t>
      </w:r>
      <w:r>
        <w:t xml:space="preserve">a). However, the N treatments, N100 and N120, were both significantly different when compared with the control N0 treatment (Fig.</w:t>
      </w:r>
      <w:r>
        <w:t xml:space="preserve"> </w:t>
      </w:r>
      <w:r>
        <w:t xml:space="preserve">??</w:t>
      </w:r>
      <w:r>
        <w:t xml:space="preserve">a,</w:t>
      </w:r>
      <w:r>
        <w:t xml:space="preserve"> </w:t>
      </w:r>
      <w:r>
        <w:t xml:space="preserve">??</w:t>
      </w:r>
      <w:r>
        <w:t xml:space="preserve">a).</w:t>
      </w:r>
    </w:p>
    <w:p>
      <w:pPr>
        <w:pStyle w:val="Heading3"/>
      </w:pPr>
      <w:bookmarkStart w:id="36" w:name="tiller-sheath-blight-severity"/>
      <w:r>
        <w:t xml:space="preserve">Tiller Sheath Blight Severity</w:t>
      </w:r>
      <w:bookmarkEnd w:id="36"/>
    </w:p>
    <w:p>
      <w:pPr>
        <w:pStyle w:val="FirstParagraph"/>
      </w:pPr>
      <w:r>
        <w:t xml:space="preserve">Tiller ShB severity remained below 2% (Fig.</w:t>
      </w:r>
      <w:r>
        <w:t xml:space="preserve"> </w:t>
      </w:r>
      <w:r>
        <w:t xml:space="preserve">??</w:t>
      </w:r>
      <w:r>
        <w:t xml:space="preserve">c,</w:t>
      </w:r>
      <w:r>
        <w:t xml:space="preserve"> </w:t>
      </w:r>
      <w:r>
        <w:t xml:space="preserve">??</w:t>
      </w:r>
      <w:r>
        <w:t xml:space="preserve">c). Both the N100 and N120 treatments were significantly different than the control N0 treatment (Fig.</w:t>
      </w:r>
      <w:r>
        <w:t xml:space="preserve"> </w:t>
      </w:r>
      <w:r>
        <w:t xml:space="preserve">??</w:t>
      </w:r>
      <w:r>
        <w:t xml:space="preserve">c,</w:t>
      </w:r>
      <w:r>
        <w:t xml:space="preserve"> </w:t>
      </w:r>
      <w:r>
        <w:t xml:space="preserve">??</w:t>
      </w:r>
      <w:r>
        <w:t xml:space="preserve">c). However, the AWD water management was not significantly different from the FLD treatment (Fig.</w:t>
      </w:r>
      <w:r>
        <w:t xml:space="preserve"> </w:t>
      </w:r>
      <w:r>
        <w:t xml:space="preserve">??</w:t>
      </w:r>
      <w:r>
        <w:t xml:space="preserve">c,</w:t>
      </w:r>
      <w:r>
        <w:t xml:space="preserve"> </w:t>
      </w:r>
      <w:r>
        <w:t xml:space="preserve">??</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w:t>
      </w:r>
      <w:r>
        <w:t xml:space="preserve"> </w:t>
      </w:r>
      <w:r>
        <w:t xml:space="preserve">??</w:t>
      </w:r>
      <w:r>
        <w:t xml:space="preserve">e,</w:t>
      </w:r>
      <w:r>
        <w:t xml:space="preserve"> </w:t>
      </w:r>
      <w:r>
        <w:t xml:space="preserve">??</w:t>
      </w:r>
      <w:r>
        <w:t xml:space="preserve">e). Both the N100 and N120 treatments were significantly different than the N0 treatment (Fig.</w:t>
      </w:r>
      <w:r>
        <w:t xml:space="preserve"> </w:t>
      </w:r>
      <w:r>
        <w:t xml:space="preserve">??</w:t>
      </w:r>
      <w:r>
        <w:t xml:space="preserve">e,</w:t>
      </w:r>
      <w:r>
        <w:t xml:space="preserve"> </w:t>
      </w:r>
      <w:r>
        <w:t xml:space="preserve">??</w:t>
      </w:r>
      <w:r>
        <w:t xml:space="preserve">e). However, the AWD water management was not significantly different from the FLD treatment (Fig.</w:t>
      </w:r>
      <w:r>
        <w:t xml:space="preserve"> </w:t>
      </w:r>
      <w:r>
        <w:t xml:space="preserve">??</w:t>
      </w:r>
      <w:r>
        <w:t xml:space="preserve">e,</w:t>
      </w:r>
      <w:r>
        <w:t xml:space="preserve"> </w:t>
      </w:r>
      <w:r>
        <w:t xml:space="preserve">??</w:t>
      </w:r>
      <w:r>
        <w:t xml:space="preserve">e).</w:t>
      </w:r>
    </w:p>
    <w:p>
      <w:pPr>
        <w:pStyle w:val="Heading2"/>
      </w:pPr>
      <w:bookmarkStart w:id="38" w:name="experiment-3"/>
      <w:r>
        <w:t xml:space="preserve">2016 Experiment</w:t>
      </w:r>
      <w:bookmarkEnd w:id="38"/>
    </w:p>
    <w:p>
      <w:pPr>
        <w:pStyle w:val="Heading3"/>
      </w:pPr>
      <w:bookmarkStart w:id="39" w:name="tiller-sheath-blight-incidence-1"/>
      <w:r>
        <w:t xml:space="preserve">Tiller Sheath Blight Incidence</w:t>
      </w:r>
      <w:bookmarkEnd w:id="39"/>
    </w:p>
    <w:p>
      <w:pPr>
        <w:pStyle w:val="FirstParagraph"/>
      </w:pPr>
      <w:r>
        <w:t xml:space="preserve">The changes to the inoculation methodology resulted in a higher rate of infection in 2016, with the N180 treatment reaching a maximum value of 98% incidence at the third observation (Fig.</w:t>
      </w:r>
      <w:r>
        <w:t xml:space="preserve"> </w:t>
      </w:r>
      <w:r>
        <w:t xml:space="preserve">??</w:t>
      </w:r>
      <w:r>
        <w:t xml:space="preserve">b). The N treatment N180, was significantly different than the control N60 treatment (Fig.</w:t>
      </w:r>
      <w:r>
        <w:t xml:space="preserve"> </w:t>
      </w:r>
      <w:r>
        <w:t xml:space="preserve">??</w:t>
      </w:r>
      <w:r>
        <w:t xml:space="preserve">b,</w:t>
      </w:r>
      <w:r>
        <w:t xml:space="preserve"> </w:t>
      </w:r>
      <w:r>
        <w:t xml:space="preserve">??</w:t>
      </w:r>
      <w:r>
        <w:t xml:space="preserve">b). As in the 2015 study, water management did not significantly differ (Fig.</w:t>
      </w:r>
      <w:r>
        <w:t xml:space="preserve"> </w:t>
      </w:r>
      <w:r>
        <w:t xml:space="preserve">??</w:t>
      </w:r>
      <w:r>
        <w:t xml:space="preserve">b,</w:t>
      </w:r>
      <w:r>
        <w:t xml:space="preserve"> </w:t>
      </w:r>
      <w:r>
        <w:t xml:space="preserve">??</w:t>
      </w:r>
      <w:r>
        <w:t xml:space="preserve">b).</w:t>
      </w:r>
    </w:p>
    <w:p>
      <w:pPr>
        <w:pStyle w:val="Heading3"/>
      </w:pPr>
      <w:bookmarkStart w:id="40" w:name="tiller-sheath-blight-severity-1"/>
      <w:r>
        <w:t xml:space="preserve">Tiller Sheath Blight Severity</w:t>
      </w:r>
      <w:bookmarkEnd w:id="40"/>
    </w:p>
    <w:p>
      <w:pPr>
        <w:pStyle w:val="FirstParagraph"/>
      </w:pPr>
      <w:r>
        <w:t xml:space="preserve">As with the tiller incidence, the tiller severity increased with the changed inoculation methods with a maximum of 7.6% for the flooded treatment (Fig.</w:t>
      </w:r>
      <w:r>
        <w:t xml:space="preserve"> </w:t>
      </w:r>
      <w:r>
        <w:t xml:space="preserve">??</w:t>
      </w:r>
      <w:r>
        <w:t xml:space="preserve">d).</w:t>
      </w:r>
      <w:r>
        <w:t xml:space="preserve"> </w:t>
      </w:r>
      <w:r>
        <w:t xml:space="preserve">In 2016 the N180 treatment was significantly different from the N60 treatment, with N180 severity being higher (Fig.</w:t>
      </w:r>
      <w:r>
        <w:t xml:space="preserve"> </w:t>
      </w:r>
      <w:r>
        <w:t xml:space="preserve">??</w:t>
      </w:r>
      <w:r>
        <w:t xml:space="preserve">d,</w:t>
      </w:r>
      <w:r>
        <w:t xml:space="preserve"> </w:t>
      </w:r>
      <w:r>
        <w:t xml:space="preserve">??</w:t>
      </w:r>
      <w:r>
        <w:t xml:space="preserve">d). The AWD water management, which was lower than the FLD treatment, was also significantly different (Fig.</w:t>
      </w:r>
      <w:r>
        <w:t xml:space="preserve"> </w:t>
      </w:r>
      <w:r>
        <w:t xml:space="preserve">??</w:t>
      </w:r>
      <w:r>
        <w:t xml:space="preserve">d,</w:t>
      </w:r>
      <w:r>
        <w:t xml:space="preserve"> </w:t>
      </w:r>
      <w:r>
        <w:t xml:space="preserve">??</w:t>
      </w:r>
      <w:r>
        <w:t xml:space="preserve">d).</w:t>
      </w:r>
    </w:p>
    <w:p>
      <w:pPr>
        <w:pStyle w:val="Heading3"/>
      </w:pPr>
      <w:bookmarkStart w:id="41" w:name="leaf-sheath-blight-severity-1"/>
      <w:r>
        <w:t xml:space="preserve">Leaf Sheath Blight Severity</w:t>
      </w:r>
      <w:bookmarkEnd w:id="41"/>
    </w:p>
    <w:p>
      <w:pPr>
        <w:pStyle w:val="FirstParagraph"/>
      </w:pPr>
      <w:r>
        <w:t xml:space="preserve">In 2016 the neither of the treatments, N rate or water management, were significantly different from the control treatments for leaf ShB severity (Fig.</w:t>
      </w:r>
      <w:r>
        <w:t xml:space="preserve"> </w:t>
      </w:r>
      <w:r>
        <w:t xml:space="preserve">??</w:t>
      </w:r>
      <w:r>
        <w:t xml:space="preserve">f,</w:t>
      </w:r>
      <w:r>
        <w:t xml:space="preserve"> </w:t>
      </w:r>
      <w:r>
        <w:t xml:space="preserve">??</w:t>
      </w:r>
      <w:r>
        <w:t xml:space="preserve">f,</w:t>
      </w:r>
      <w:r>
        <w:t xml:space="preserve"> </w:t>
      </w:r>
      <w:r>
        <w:t xml:space="preserve">??</w:t>
      </w:r>
      <w:r>
        <w:t xml:space="preserve">f,</w:t>
      </w:r>
      <w:r>
        <w:t xml:space="preserve"> </w:t>
      </w:r>
      <w:r>
        <w:t xml:space="preserve">??</w:t>
      </w:r>
      <w:r>
        <w:t xml:space="preserve">f).</w:t>
      </w:r>
    </w:p>
    <w:p>
      <w:pPr>
        <w:pStyle w:val="Heading1"/>
      </w:pPr>
      <w:bookmarkStart w:id="42" w:name="discussion"/>
      <w:r>
        <w:t xml:space="preserve">Discussion</w:t>
      </w:r>
      <w:bookmarkEnd w:id="42"/>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In the 2016 experiment the tiller ShB severity was significantly lower for AWD than FLD (Fig.</w:t>
      </w:r>
      <w:r>
        <w:t xml:space="preserve"> </w:t>
      </w:r>
      <w:r>
        <w:t xml:space="preserve">??</w:t>
      </w:r>
      <w:r>
        <w:t xml:space="preserve">d,</w:t>
      </w:r>
      <w:r>
        <w:t xml:space="preserve"> </w:t>
      </w:r>
      <w:r>
        <w:t xml:space="preserve">??</w:t>
      </w:r>
      <w:r>
        <w:t xml:space="preserve">d), indicating a possible adverse effect of using AWD on tiller ShB severity under conditions where there is high sheath blight pressure.</w:t>
      </w:r>
    </w:p>
    <w:p>
      <w:pPr>
        <w:pStyle w:val="BodyText"/>
      </w:pPr>
      <w:r>
        <w:t xml:space="preserve">The findings of the effects of N rates on sheath blight were to be expected, where higher rates of N caused an increase in disease incidence and severity in 2015 and in tiller incidence in 2016. However,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changes made for the 2016 experiment appear to have improved the experiment, increasing the incidence and decreased variability of sheath blight in the plots (Fig.</w:t>
      </w:r>
      <w:r>
        <w:t xml:space="preserve"> </w:t>
      </w:r>
      <w:r>
        <w:t xml:space="preserve">??</w:t>
      </w:r>
      <w:r>
        <w:t xml:space="preserve">a:b,</w:t>
      </w:r>
      <w:r>
        <w:t xml:space="preserve"> </w:t>
      </w:r>
      <w:r>
        <w:t xml:space="preserve">??</w:t>
      </w:r>
      <w:r>
        <w:t xml:space="preserve">c:d,</w:t>
      </w:r>
      <w:r>
        <w:t xml:space="preserve"> </w:t>
      </w:r>
      <w:r>
        <w:t xml:space="preserve">??</w:t>
      </w:r>
      <w:r>
        <w:t xml:space="preserve">a:b,</w:t>
      </w:r>
      <w:r>
        <w:t xml:space="preserve"> </w:t>
      </w:r>
      <w:r>
        <w:t xml:space="preserve">??</w:t>
      </w:r>
      <w:r>
        <w:t xml:space="preserve">c:d). The rice establishment method is known to affect the spread of sheath blight</w:t>
      </w:r>
      <w:r>
        <w:t xml:space="preserve"> </w:t>
      </w:r>
      <w:r>
        <w:t xml:space="preserve">(Willocquet et al. 2000)</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3" w:name="notes"/>
      <w:r>
        <w:t xml:space="preserve">Notes</w:t>
      </w:r>
      <w:bookmarkEnd w:id="43"/>
    </w:p>
    <w:p>
      <w:pPr>
        <w:pStyle w:val="Heading2"/>
      </w:pPr>
      <w:bookmarkStart w:id="44" w:name="acknowledgments"/>
      <w:r>
        <w:t xml:space="preserve">Acknowledgments</w:t>
      </w:r>
      <w:bookmarkEnd w:id="44"/>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Michael Noel, who was a part of the plant disease management team at IRRI and who helped design and manage the first year of the project but passed away in September 2016.</w:t>
      </w:r>
    </w:p>
    <w:p>
      <w:pPr>
        <w:pStyle w:val="Heading5"/>
      </w:pPr>
      <w:bookmarkStart w:id="45" w:name="pagebreak"/>
      <w:r>
        <w:t xml:space="preserve">pagebreak</w:t>
      </w:r>
      <w:bookmarkEnd w:id="45"/>
    </w:p>
    <w:p>
      <w:pPr>
        <w:pStyle w:val="Heading1"/>
      </w:pPr>
      <w:bookmarkStart w:id="46" w:name="references"/>
      <w:r>
        <w:t xml:space="preserve">References</w:t>
      </w:r>
      <w:bookmarkEnd w:id="46"/>
    </w:p>
    <w:bookmarkStart w:id="78" w:name="refs"/>
    <w:bookmarkStart w:id="48"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7">
        <w:r>
          <w:rPr>
            <w:rStyle w:val="Hyperlink"/>
          </w:rPr>
          <w:t xml:space="preserve">10.1016/S0378-3774(00)00128-1</w:t>
        </w:r>
      </w:hyperlink>
    </w:p>
    <w:bookmarkEnd w:id="48"/>
    <w:bookmarkStart w:id="49"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9"/>
    <w:bookmarkStart w:id="51"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0">
        <w:r>
          <w:rPr>
            <w:rStyle w:val="Hyperlink"/>
          </w:rPr>
          <w:t xml:space="preserve">https://CRAN.R-project.org/package=agricolae</w:t>
        </w:r>
      </w:hyperlink>
    </w:p>
    <w:bookmarkEnd w:id="51"/>
    <w:bookmarkStart w:id="52"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2"/>
    <w:bookmarkStart w:id="54"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3">
        <w:r>
          <w:rPr>
            <w:rStyle w:val="Hyperlink"/>
          </w:rPr>
          <w:t xml:space="preserve">http://www.jstatsoft.org/v33/i02/</w:t>
        </w:r>
      </w:hyperlink>
    </w:p>
    <w:bookmarkEnd w:id="54"/>
    <w:bookmarkStart w:id="55"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5"/>
    <w:bookmarkStart w:id="57"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6">
        <w:r>
          <w:rPr>
            <w:rStyle w:val="Hyperlink"/>
          </w:rPr>
          <w:t xml:space="preserve">10.1016/j.agwat.2006.10.006</w:t>
        </w:r>
      </w:hyperlink>
    </w:p>
    <w:bookmarkEnd w:id="57"/>
    <w:bookmarkStart w:id="58"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8"/>
    <w:bookmarkStart w:id="60" w:name="ref-MOEF2015"/>
    <w:p>
      <w:pPr>
        <w:pStyle w:val="BodyText"/>
      </w:pPr>
      <w:r>
        <w:t xml:space="preserve">Ministry of Environment and Forests (MOEF) Government of the People’s Republic of Bangladesh. (2015). Intended nationally determined contributions (INDC).</w:t>
      </w:r>
      <w:r>
        <w:t xml:space="preserve"> </w:t>
      </w:r>
      <w:hyperlink r:id="rId59">
        <w:r>
          <w:rPr>
            <w:rStyle w:val="Hyperlink"/>
          </w:rPr>
          <w:t xml:space="preserve">http://www4.unfccc.int/ndcregistry/PublishedDocuments/Bangladesh%20First/INDC_2015_of_Bangladesh.pdf</w:t>
        </w:r>
      </w:hyperlink>
    </w:p>
    <w:bookmarkEnd w:id="60"/>
    <w:bookmarkStart w:id="62"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1">
        <w:r>
          <w:rPr>
            <w:rStyle w:val="Hyperlink"/>
          </w:rPr>
          <w:t xml:space="preserve">https://journal.r-project.org/archive/</w:t>
        </w:r>
      </w:hyperlink>
    </w:p>
    <w:bookmarkEnd w:id="62"/>
    <w:bookmarkStart w:id="64"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3">
        <w:r>
          <w:rPr>
            <w:rStyle w:val="Hyperlink"/>
          </w:rPr>
          <w:t xml:space="preserve">https://www.R-project.org/</w:t>
        </w:r>
      </w:hyperlink>
    </w:p>
    <w:bookmarkEnd w:id="64"/>
    <w:bookmarkStart w:id="65"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5"/>
    <w:bookmarkStart w:id="66"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6"/>
    <w:bookmarkStart w:id="67"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7"/>
    <w:bookmarkStart w:id="68"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8"/>
    <w:bookmarkStart w:id="69"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9"/>
    <w:bookmarkStart w:id="70"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0"/>
    <w:bookmarkStart w:id="71" w:name="ref-Sparks2018"/>
    <w:p>
      <w:pPr>
        <w:pStyle w:val="BodyText"/>
      </w:pPr>
      <w:r>
        <w:t xml:space="preserve">Sparks, A. H., Castilla, N. P., &amp; Sander, B. O. (2018). Reproducible research compendium for analysing effects of water management and nitrogen on rice sheath blight.</w:t>
      </w:r>
    </w:p>
    <w:bookmarkEnd w:id="71"/>
    <w:bookmarkStart w:id="73"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2">
        <w:r>
          <w:rPr>
            <w:rStyle w:val="Hyperlink"/>
          </w:rPr>
          <w:t xml:space="preserve">10.1007/s10681-010-0296-7</w:t>
        </w:r>
      </w:hyperlink>
    </w:p>
    <w:bookmarkEnd w:id="73"/>
    <w:bookmarkStart w:id="74"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4"/>
    <w:bookmarkStart w:id="75"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5"/>
    <w:bookmarkStart w:id="77"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6">
        <w:r>
          <w:rPr>
            <w:rStyle w:val="Hyperlink"/>
          </w:rPr>
          <w:t xml:space="preserve">10.1111/j.1365-2486.2005.00976.x</w:t>
        </w:r>
      </w:hyperlink>
    </w:p>
    <w:bookmarkEnd w:id="77"/>
    <w:bookmarkEnd w:id="78"/>
    <w:p>
      <w:pPr>
        <w:pStyle w:val="Heading5"/>
      </w:pPr>
      <w:bookmarkStart w:id="79" w:name="pagebreak-1"/>
      <w:r>
        <w:t xml:space="preserve">pagebreak</w:t>
      </w:r>
      <w:bookmarkEnd w:id="79"/>
    </w:p>
    <w:p>
      <w:pPr>
        <w:pStyle w:val="Heading1"/>
      </w:pPr>
      <w:bookmarkStart w:id="80" w:name="tables--"/>
      <w:r>
        <w:t xml:space="preserve">Tables {-}</w:t>
      </w:r>
      <w:r>
        <w:br w:type="textWrapping"/>
      </w:r>
      <w:bookmarkEnd w:id="80"/>
    </w:p>
    <w:p>
      <w:pPr>
        <w:pStyle w:val="FirstParagraph"/>
      </w:pPr>
      <w:r>
        <w:t xml:space="preserve">Tab.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1" w:name="pagebreak-2"/>
      <w:r>
        <w:t xml:space="preserve">pagebreak</w:t>
      </w:r>
      <w:bookmarkEnd w:id="81"/>
    </w:p>
    <w:p>
      <w:pPr>
        <w:pStyle w:val="Heading1"/>
      </w:pPr>
      <w:bookmarkStart w:id="82" w:name="figures"/>
      <w:r>
        <w:t xml:space="preserve">Figures</w:t>
      </w:r>
      <w:bookmarkEnd w:id="82"/>
    </w:p>
    <w:p>
      <w:pPr>
        <w:pStyle w:val="FirstParagraph"/>
      </w:pPr>
      <w:r>
        <w:t xml:space="preserve">Fig.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r>
        <w:t xml:space="preserve"> </w:t>
      </w:r>
      <w:r>
        <w:drawing>
          <wp:inline>
            <wp:extent cx="5943600" cy="5943600"/>
            <wp:effectExtent b="0" l="0" r="0" t="0"/>
            <wp:docPr descr="(#fig:ShB-W-progress)fig.1_cap" title="" id="1" name="Picture"/>
            <a:graphic>
              <a:graphicData uri="http://schemas.openxmlformats.org/drawingml/2006/picture">
                <pic:pic>
                  <pic:nvPicPr>
                    <pic:cNvPr descr="../figures/ShB-W-progress-1.eps"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4" w:name="shb-w-progress"/>
      <w:r>
        <w:t xml:space="preserve">ShB W progress</w:t>
      </w:r>
      <w:bookmarkEnd w:id="84"/>
    </w:p>
    <w:p>
      <w:pPr>
        <w:pStyle w:val="FirstParagraph"/>
      </w:pPr>
      <w:r>
        <w:t xml:space="preserve">Fig.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r>
        <w:t xml:space="preserve"> </w:t>
      </w:r>
      <w:r>
        <w:drawing>
          <wp:inline>
            <wp:extent cx="5943600" cy="5943600"/>
            <wp:effectExtent b="0" l="0" r="0" t="0"/>
            <wp:docPr descr="(#fig:ShB-N-progress)fig.2_cap" title="" id="1" name="Picture"/>
            <a:graphic>
              <a:graphicData uri="http://schemas.openxmlformats.org/drawingml/2006/picture">
                <pic:pic>
                  <pic:nvPicPr>
                    <pic:cNvPr descr="../figures/ShB-N-progress-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6" w:name="shb-boxplot---wmgt"/>
      <w:r>
        <w:t xml:space="preserve">ShB boxplot - WMGT</w:t>
      </w:r>
      <w:bookmarkEnd w:id="86"/>
    </w:p>
    <w:p>
      <w:pPr>
        <w:pStyle w:val="FirstParagraph"/>
      </w:pPr>
      <w:r>
        <w:t xml:space="preserve">Fig.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r>
        <w:t xml:space="preserve"> </w:t>
      </w:r>
      <w:r>
        <w:drawing>
          <wp:inline>
            <wp:extent cx="5943600" cy="5943600"/>
            <wp:effectExtent b="0" l="0" r="0" t="0"/>
            <wp:docPr descr="(#fig:ShB-W-box)fig.3_cap" title="" id="1" name="Picture"/>
            <a:graphic>
              <a:graphicData uri="http://schemas.openxmlformats.org/drawingml/2006/picture">
                <pic:pic>
                  <pic:nvPicPr>
                    <pic:cNvPr descr="../figures/ShB-W-box-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8" w:name="shb-boxplot---nrte"/>
      <w:r>
        <w:t xml:space="preserve">ShB boxplot - NRTE</w:t>
      </w:r>
      <w:bookmarkEnd w:id="88"/>
    </w:p>
    <w:p>
      <w:pPr>
        <w:pStyle w:val="FirstParagraph"/>
      </w:pPr>
      <w:r>
        <w:t xml:space="preserve">Fig.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r>
        <w:t xml:space="preserve"> </w:t>
      </w:r>
      <w:r>
        <w:drawing>
          <wp:inline>
            <wp:extent cx="5943600" cy="5943600"/>
            <wp:effectExtent b="0" l="0" r="0" t="0"/>
            <wp:docPr descr="(#fig:ShB-N-box)fig.4_cap" title="" id="1" name="Picture"/>
            <a:graphic>
              <a:graphicData uri="http://schemas.openxmlformats.org/drawingml/2006/picture">
                <pic:pic>
                  <pic:nvPicPr>
                    <pic:cNvPr descr="../figures/ShB-N-box-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0" w:name="estimates-plot"/>
      <w:r>
        <w:t xml:space="preserve">Estimates plot</w:t>
      </w:r>
      <w:bookmarkEnd w:id="90"/>
    </w:p>
    <w:p>
      <w:pPr>
        <w:pStyle w:val="FirstParagraph"/>
      </w:pPr>
      <w:r>
        <w:t xml:space="preserve">Fig.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r>
        <w:t xml:space="preserve"> </w:t>
      </w:r>
      <w:r>
        <w:drawing>
          <wp:inline>
            <wp:extent cx="5943600" cy="5943600"/>
            <wp:effectExtent b="0" l="0" r="0" t="0"/>
            <wp:docPr descr="(#fig:estimates-plot)fig.5_cap" title="" id="1" name="Picture"/>
            <a:graphic>
              <a:graphicData uri="http://schemas.openxmlformats.org/drawingml/2006/picture">
                <pic:pic>
                  <pic:nvPicPr>
                    <pic:cNvPr descr="../figures/estimates-plot-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2" w:name="pagebreak-3"/>
      <w:r>
        <w:t xml:space="preserve">pagebreak</w:t>
      </w:r>
      <w:bookmarkEnd w:id="92"/>
    </w:p>
    <w:p>
      <w:pPr>
        <w:pStyle w:val="Heading3"/>
      </w:pPr>
      <w:bookmarkStart w:id="93" w:name="colophon"/>
      <w:r>
        <w:t xml:space="preserve">Colophon</w:t>
      </w:r>
      <w:bookmarkEnd w:id="93"/>
    </w:p>
    <w:p>
      <w:pPr>
        <w:pStyle w:val="FirstParagraph"/>
      </w:pPr>
      <w:r>
        <w:t xml:space="preserve">This report was generated on 2018-05-02 15:20:40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2018-05-02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captioner      * 2.2.3      2015-07-16 CRAN (R 3.5.0)</w:t>
      </w:r>
      <w:r>
        <w:br w:type="textWrapping"/>
      </w:r>
      <w:r>
        <w:rPr>
          <w:rStyle w:val="VerbatimChar"/>
        </w:rPr>
        <w:t xml:space="preserve">#&gt;  coda             0.19-1     2016-12-08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lattice          0.20-35    2017-03-25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1.2.2      2018-04-26 cran (@1.2.2) </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2018-05-01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(https://github.com/adamhsparks/AWD_ShB_Interaction.git)</w:t>
      </w:r>
      <w:r>
        <w:br w:type="textWrapping"/>
      </w:r>
      <w:r>
        <w:rPr>
          <w:rStyle w:val="VerbatimChar"/>
        </w:rPr>
        <w:t xml:space="preserve">#&gt; Head:     [26332c2] 2018-05-02: Edit Acknowledgments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eps"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3" Target="media/rId83.eps" /><Relationship Type="http://schemas.openxmlformats.org/officeDocument/2006/relationships/image" Id="rId91" Target="media/rId91.eps" /><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2018-05-02T05:20:46Z</dcterms:created>
  <dcterms:modified xsi:type="dcterms:W3CDTF">2018-05-02T05:20:46Z</dcterms:modified>
</cp:coreProperties>
</file>