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s" ContentType="application/postscript"/>
  <Override PartName="/word/media/rId81.ps" ContentType="application/postscript"/>
  <Override PartName="/word/media/rId83.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 The main plot treatments were alternate wetting and drying (AWD) and continuously flooded (FLD) or farmers’ practice as the control treatment.</w:t>
      </w:r>
    </w:p>
    <w:p>
      <w:pPr>
        <w:pStyle w:val="BodyText"/>
      </w:pPr>
      <w:r>
        <w:t xml:space="preserve">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Disease scoring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 Two sample areas per plot (1m x 1m) were assessed. For nine hills per sample, the number of tillers per hill and number of tillers with ShB (incidence) were measured. Tiller ShB severity was measured for four tillers per hill and six leaves tiller using the rating scale. Five disease assessments were made in the 2015 experiment and four disease assessments were made in the 2016 experiment, respectively.</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ordinal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Heading3"/>
      </w:pPr>
      <w:bookmarkStart w:id="35" w:name="tiller-sheath-blight-severity"/>
      <w:r>
        <w:t xml:space="preserve">Tiller Sheath Blight Severity</w:t>
      </w:r>
      <w:bookmarkEnd w:id="35"/>
    </w:p>
    <w:p>
      <w:pPr>
        <w:pStyle w:val="FirstParagraph"/>
      </w:pPr>
      <w:r>
        <w:t xml:space="preserve">In 2015 both the N100 and N120 treatments were significantly different than the control N0 treatment. However, the AWD water management was not significantly different from the FLD treatment.</w:t>
      </w:r>
    </w:p>
    <w:p>
      <w:pPr>
        <w:pStyle w:val="Heading3"/>
      </w:pPr>
      <w:bookmarkStart w:id="36" w:name="leaf-sheath-blight-severity"/>
      <w:r>
        <w:t xml:space="preserve">Leaf Sheath Blight Severity</w:t>
      </w:r>
      <w:bookmarkEnd w:id="36"/>
    </w:p>
    <w:p>
      <w:pPr>
        <w:pStyle w:val="FirstParagraph"/>
      </w:pPr>
      <w:r>
        <w:t xml:space="preserve">In 2015 both the N100 and N120 treatments were significantly different than the N0 treatment. However, the AWD water management was not significantly different from the FLD treatment.</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3"/>
      </w:pPr>
      <w:bookmarkStart w:id="39" w:name="tiller-sheath-blight-severity-1"/>
      <w:r>
        <w:t xml:space="preserve">Tiller Sheath Blight Severity</w:t>
      </w:r>
      <w:bookmarkEnd w:id="39"/>
    </w:p>
    <w:p>
      <w:pPr>
        <w:pStyle w:val="FirstParagraph"/>
      </w:pPr>
      <w:r>
        <w:t xml:space="preserve">In 2016 the N180 treatment was significantly different from the N60 treatment, with N180 severity being higher. The AWD water management, which was lower than FLD, was also significantly different.</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sheath blight that would cause increases in the disease, which could hinder adoption of the technology. In 2016 one measurement, tiller sheath blight severity, was significantly lower for AWD than the traditional FLD treatment, which may indicate a possible adverse effect of using AWD on leaf ShB severity.</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research compendium from</w:t>
      </w:r>
      <w:r>
        <w:t xml:space="preserve"> </w:t>
      </w:r>
      <w:hyperlink r:id="rId44">
        <w:r>
          <w:rPr>
            <w:rStyle w:val="Hyperlink"/>
          </w:rPr>
          <w:t xml:space="preserve">https://github.com/openplantpathology/rice_awd_pests</w:t>
        </w:r>
      </w:hyperlink>
      <w:r>
        <w:t xml:space="preserve"> </w:t>
      </w:r>
      <w:r>
        <w:t xml:space="preserve">with instructions on how to cite the compendium and use the Docker file to recreate the full analysis and this manuscript</w:t>
      </w:r>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BodyText"/>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1-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0" w:name="pagebreak-3"/>
      <w:r>
        <w:t xml:space="preserve">pagebreak</w:t>
      </w:r>
      <w:bookmarkEnd w:id="80"/>
    </w:p>
    <w:p>
      <w:pPr>
        <w:pStyle w:val="CaptionedFigure"/>
      </w:pPr>
      <w:r>
        <w:drawing>
          <wp:inline>
            <wp:extent cx="5943600" cy="5943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2-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pagebreak-4"/>
      <w:r>
        <w:t xml:space="preserve">pagebreak</w:t>
      </w:r>
      <w:bookmarkEnd w:id="82"/>
    </w:p>
    <w:p>
      <w:pPr>
        <w:pStyle w:val="CaptionedFigure"/>
      </w:pPr>
      <w:r>
        <w:drawing>
          <wp:inline>
            <wp:extent cx="5943600" cy="5943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figure-3-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4" w:name="pagebreak-5"/>
      <w:r>
        <w:t xml:space="preserve">pagebreak</w:t>
      </w:r>
      <w:bookmarkEnd w:id="84"/>
    </w:p>
    <w:p>
      <w:pPr>
        <w:pStyle w:val="Heading3"/>
      </w:pPr>
      <w:bookmarkStart w:id="85" w:name="colophon"/>
      <w:r>
        <w:t xml:space="preserve">Colophon</w:t>
      </w:r>
      <w:bookmarkEnd w:id="85"/>
    </w:p>
    <w:p>
      <w:pPr>
        <w:pStyle w:val="FirstParagraph"/>
      </w:pPr>
      <w:r>
        <w:t xml:space="preserve">This report was generated on 2018-04-26 15:00:20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2018-04-26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3.5.0      2018-04-23 local         </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[3613aed] 2018-04-26: Update static docs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s" /><Relationship Type="http://schemas.openxmlformats.org/officeDocument/2006/relationships/image" Id="rId81" Target="media/rId81.ps" /><Relationship Type="http://schemas.openxmlformats.org/officeDocument/2006/relationships/image" Id="rId83" Target="media/rId83.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2018-04-26T05:00:32Z</dcterms:created>
  <dcterms:modified xsi:type="dcterms:W3CDTF">2018-04-26T05:00:32Z</dcterms:modified>
</cp:coreProperties>
</file>