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s" ContentType="application/postscript"/>
  <Override PartName="/word/media/rId83.ps" ContentType="application/postscript"/>
  <Override PartName="/word/media/rId81.ps" ContentType="application/postscript"/>
  <Override PartName="/word/media/rId79.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categorical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w:t>
      </w:r>
      <w:r>
        <w:t xml:space="preserve">). The nitrogen treatments, N100 and N120, were both significantly different when compared with the control N0 treatment (Figure</w:t>
      </w:r>
      <w:r>
        <w:t xml:space="preserve"> </w:t>
      </w:r>
      <w:r>
        <w:t xml:space="preserve">??</w:t>
      </w:r>
      <w:r>
        <w:t xml:space="preserve">). However, water management was not significantly different (Figure</w:t>
      </w:r>
      <w:r>
        <w:t xml:space="preserve"> </w:t>
      </w:r>
      <w:r>
        <w:t xml:space="preserve">3</w:t>
      </w:r>
      <w:r>
        <w:t xml:space="preserve">).</w:t>
      </w:r>
    </w:p>
    <w:p>
      <w:pPr>
        <w:pStyle w:val="Heading3"/>
      </w:pPr>
      <w:bookmarkStart w:id="35" w:name="tiller-sheath-blight-severity"/>
      <w:r>
        <w:t xml:space="preserve">Tiller Sheath Blight Severity</w:t>
      </w:r>
      <w:bookmarkEnd w:id="35"/>
    </w:p>
    <w:p>
      <w:pPr>
        <w:pStyle w:val="FirstParagraph"/>
      </w:pPr>
      <w:r>
        <w:t xml:space="preserve">Tiller ShB severity remained below 2% (Figure</w:t>
      </w:r>
      <w:r>
        <w:t xml:space="preserve"> </w:t>
      </w:r>
      <w:r>
        <w:t xml:space="preserve">??</w:t>
      </w:r>
      <w:r>
        <w:t xml:space="preserve">). Both the N100 and N120 treatments were significantly different than the control N0 treatment (Figure</w:t>
      </w:r>
      <w:r>
        <w:t xml:space="preserve"> </w:t>
      </w:r>
      <w:r>
        <w:t xml:space="preserve">4</w:t>
      </w:r>
      <w:r>
        <w:t xml:space="preserve">). However, the AWD water management was not significantly different from the FLD treatment (Figure</w:t>
      </w:r>
      <w:r>
        <w:t xml:space="preserve"> </w:t>
      </w:r>
      <w:r>
        <w:t xml:space="preserve">??</w:t>
      </w:r>
      <w:r>
        <w:t xml:space="preserve">).</w:t>
      </w:r>
    </w:p>
    <w:p>
      <w:pPr>
        <w:pStyle w:val="Heading3"/>
      </w:pPr>
      <w:bookmarkStart w:id="36" w:name="leaf-sheath-blight-severity"/>
      <w:r>
        <w:t xml:space="preserve">Leaf Sheath Blight Severity</w:t>
      </w:r>
      <w:bookmarkEnd w:id="36"/>
    </w:p>
    <w:p>
      <w:pPr>
        <w:pStyle w:val="FirstParagraph"/>
      </w:pPr>
      <w:r>
        <w:t xml:space="preserve">Severity of leaf ShB remained low, less than 0.4% across all treatments (Figure</w:t>
      </w:r>
      <w:r>
        <w:t xml:space="preserve"> </w:t>
      </w:r>
      <w:r>
        <w:t xml:space="preserve">??</w:t>
      </w:r>
      <w:r>
        <w:t xml:space="preserve">)). Both the N100 and N120 treatments were significantly different than the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w:t>
      </w:r>
      <w:r>
        <w:t xml:space="preserve">). The nitrogen treatment N180, was significantly different than the control N60 treatment (Figure</w:t>
      </w:r>
      <w:r>
        <w:t xml:space="preserve"> </w:t>
      </w:r>
      <w:r>
        <w:t xml:space="preserve">??</w:t>
      </w:r>
      <w:r>
        <w:t xml:space="preserve">). As in the 2015 study, water management did not significantly differ</w:t>
      </w:r>
      <w:r>
        <w:t xml:space="preserve"> </w:t>
      </w:r>
      <w:r>
        <w:t xml:space="preserve">3</w:t>
      </w:r>
      <w:r>
        <w:t xml:space="preserve">).</w:t>
      </w:r>
    </w:p>
    <w:p>
      <w:pPr>
        <w:pStyle w:val="Heading3"/>
      </w:pPr>
      <w:bookmarkStart w:id="39" w:name="tiller-sheath-blight-severity-1"/>
      <w:r>
        <w:t xml:space="preserve">Tiller Sheath Blight Severity</w:t>
      </w:r>
      <w:bookmarkEnd w:id="39"/>
    </w:p>
    <w:p>
      <w:pPr>
        <w:pStyle w:val="FirstParagraph"/>
      </w:pPr>
      <w:r>
        <w:t xml:space="preserve">As with the tiller incidence, the tiller severity increased with the changed inoculation methods with a maximum of 7.6% for the flooded</w:t>
      </w:r>
      <w:r>
        <w:t xml:space="preserve"> </w:t>
      </w:r>
      <w:r>
        <w:t xml:space="preserve">In 2016 the N180 treatment was significantly different from the N60 treatment, with N180 severity being higher (Figure</w:t>
      </w:r>
      <w:r>
        <w:t xml:space="preserve"> </w:t>
      </w:r>
      <w:r>
        <w:t xml:space="preserve">4</w:t>
      </w:r>
      <w:r>
        <w:t xml:space="preserve">). The AWD water management, which was lower than the FLD treatment, was also significantly different (Figure</w:t>
      </w:r>
      <w:r>
        <w:t xml:space="preserve"> </w:t>
      </w:r>
      <w:r>
        <w:t xml:space="preserve">??</w:t>
      </w:r>
      <w:r>
        <w:t xml:space="preserve">).</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w:t>
      </w:r>
      <w:r>
        <w:t xml:space="preserve">,</w:t>
      </w:r>
      <w:r>
        <w:t xml:space="preserve"> </w:t>
      </w:r>
      <w:r>
        <w:t xml:space="preserve">??</w:t>
      </w:r>
      <w:r>
        <w:t xml:space="preserve">).</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w:t>
      </w:r>
      <w:r>
        <w:t xml:space="preserve"> </w:t>
      </w:r>
      <w:r>
        <w:t xml:space="preserve">??</w:t>
      </w:r>
      <w:r>
        <w:t xml:space="preserve">).</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reproducible research compendium from</w:t>
      </w:r>
      <w:r>
        <w:t xml:space="preserve"> </w:t>
      </w:r>
      <w:hyperlink r:id="rId44">
        <w:r>
          <w:rPr>
            <w:rStyle w:val="Hyperlink"/>
          </w:rPr>
          <w:t xml:space="preserve">https://github.com/openplantpathology/rice_awd_pests</w:t>
        </w:r>
      </w:hyperlink>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77" w:name="pagebreak-2"/>
      <w:r>
        <w:t xml:space="preserve">pagebreak</w:t>
      </w:r>
      <w:bookmarkEnd w:id="77"/>
    </w:p>
    <w:p>
      <w:pPr>
        <w:pStyle w:val="Heading1"/>
      </w:pPr>
      <w:bookmarkStart w:id="78" w:name="figures"/>
      <w:r>
        <w:t xml:space="preserve">Figures</w:t>
      </w:r>
      <w:bookmarkEnd w:id="78"/>
    </w:p>
    <w:p>
      <w:pPr>
        <w:pStyle w:val="CaptionedFigure"/>
      </w:pPr>
      <w:r>
        <w:drawing>
          <wp:inline>
            <wp:extent cx="5943600" cy="5943600"/>
            <wp:effectExtent b="0" l="0" r="0" t="0"/>
            <wp:docPr descr="Figure 1 Tiller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tiller-ShB-w-progress-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0" w:name="tiller-shb-n-progress"/>
      <w:r>
        <w:t xml:space="preserve">Tiller ShB N progress</w:t>
      </w:r>
      <w:bookmarkEnd w:id="80"/>
    </w:p>
    <w:p>
      <w:pPr>
        <w:pStyle w:val="CaptionedFigure"/>
      </w:pPr>
      <w:r>
        <w:drawing>
          <wp:inline>
            <wp:extent cx="5943600" cy="5943600"/>
            <wp:effectExtent b="0" l="0" r="0" t="0"/>
            <wp:docPr descr="Figure 2 Tiller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tiller-ShB-N-progress-1.eps" id="0"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2" w:name="shb-boxplot---wmgt"/>
      <w:r>
        <w:t xml:space="preserve">ShB boxplot - WMGT</w:t>
      </w:r>
      <w:bookmarkEnd w:id="82"/>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TShB-W-inc-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4" w:name="shb-boxplot---nrte"/>
      <w:r>
        <w:t xml:space="preserve">ShB boxplot - NRTE</w:t>
      </w:r>
      <w:bookmarkEnd w:id="84"/>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TShB-N-sev-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6" w:name="pagebreak-3"/>
      <w:r>
        <w:t xml:space="preserve">pagebreak</w:t>
      </w:r>
      <w:bookmarkEnd w:id="86"/>
    </w:p>
    <w:p>
      <w:pPr>
        <w:pStyle w:val="Heading3"/>
      </w:pPr>
      <w:bookmarkStart w:id="87" w:name="colophon"/>
      <w:r>
        <w:t xml:space="preserve">Colophon</w:t>
      </w:r>
      <w:bookmarkEnd w:id="87"/>
    </w:p>
    <w:p>
      <w:pPr>
        <w:pStyle w:val="FirstParagraph"/>
      </w:pPr>
      <w:r>
        <w:t xml:space="preserve">This report was generated on 2018-04-27 13:26:01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darwin16.7.0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1.2.1      2018-02-27 CRAN (R 3.5.0)</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2018-04-26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/Users/U8004755/Development/rice_awd_pests/</w:t>
      </w:r>
      <w:r>
        <w:br w:type="textWrapping"/>
      </w:r>
      <w:r>
        <w:rPr>
          <w:rStyle w:val="VerbatimChar"/>
        </w:rPr>
        <w:t xml:space="preserve">#&gt; Remote:   master @ origin (https://github.com/phytopathology/rice_awd_pests.git)</w:t>
      </w:r>
      <w:r>
        <w:br w:type="textWrapping"/>
      </w:r>
      <w:r>
        <w:rPr>
          <w:rStyle w:val="VerbatimChar"/>
        </w:rPr>
        <w:t xml:space="preserve">#&gt; Head:     [c47a5b0] 2018-04-27: Rejig figures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s" /><Relationship Type="http://schemas.openxmlformats.org/officeDocument/2006/relationships/image" Id="rId83" Target="media/rId83.ps" /><Relationship Type="http://schemas.openxmlformats.org/officeDocument/2006/relationships/image" Id="rId81" Target="media/rId81.ps" /><Relationship Type="http://schemas.openxmlformats.org/officeDocument/2006/relationships/image" Id="rId79" Target="media/rId79.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2018-04-27T03:26:12Z</dcterms:created>
  <dcterms:modified xsi:type="dcterms:W3CDTF">2018-04-27T03:26:12Z</dcterms:modified>
</cp:coreProperties>
</file>