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eps" ContentType="application/eps"/>
  <Override PartName="/word/media/rId92.eps" ContentType="application/eps"/>
  <Override PartName="/word/media/rId94.eps" ContentType="application/eps"/>
  <Override PartName="/word/media/rId96.eps" ContentType="application/eps"/>
  <Override PartName="/word/media/rId98.eps" ContentType="application/eps"/>
  <Override PartName="/word/media/rId100.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w:t>
      </w:r>
    </w:p>
    <w:p>
      <w:pPr>
        <w:pStyle w:val="Heading1"/>
      </w:pPr>
      <w:bookmarkStart w:id="21" w:name="introduction"/>
      <w:r>
        <w:t xml:space="preserve">Introduction</w:t>
      </w:r>
      <w:bookmarkEnd w:id="21"/>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 </w:t>
      </w:r>
      <w:r>
        <w:t xml:space="preserve">(2000)</w:t>
      </w:r>
      <w:r>
        <w:t xml:space="preserve"> </w:t>
      </w:r>
      <w:r>
        <w:t xml:space="preserve">estimated normal yield losses in tropical irrigated lowland rice in Asia at 5–10  %.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might trigger different other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irrigation practices (CITATION XXXX) and N on sheath blight (CITATION XXXX);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3" w:name="experiment"/>
      <w:r>
        <w:t xml:space="preserve">2015 Experiment</w:t>
      </w:r>
      <w:bookmarkEnd w:id="23"/>
    </w:p>
    <w:p>
      <w:pPr>
        <w:pStyle w:val="Heading3"/>
      </w:pPr>
      <w:bookmarkStart w:id="24" w:name="experimental-design"/>
      <w:r>
        <w:t xml:space="preserve">Experimental Design</w:t>
      </w:r>
      <w:bookmarkEnd w:id="24"/>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5" w:name="crop-establishment"/>
      <w:r>
        <w:t xml:space="preserve">Crop Establishment</w:t>
      </w:r>
      <w:bookmarkEnd w:id="25"/>
    </w:p>
    <w:p>
      <w:pPr>
        <w:pStyle w:val="FirstParagraph"/>
      </w:pPr>
      <w:r>
        <w:t xml:space="preserve">Trays of NSIC Rc222 were seeded on 19 December 2014. NSIC Rc222 is an inbred variety released by the Philippine Rice Research Institute (PhilRice), with a 114 day maturity when transplanted. The variety is commonly grown by farmers in the area, having good yields and moderate resistance to brown plant hopper, green leaf hopper and yellow stem borer, but susceptibility to tungro. Plots were established by manually transplanting seedlings on 9 January 2015 in hills with six to eight seedlings per hill and a distance of 20 cm within and between rows.</w:t>
      </w:r>
    </w:p>
    <w:p>
      <w:pPr>
        <w:pStyle w:val="Heading3"/>
      </w:pPr>
      <w:bookmarkStart w:id="26" w:name="inoculum-preparation-and-application"/>
      <w:r>
        <w:t xml:space="preserve">Inoculum Preparation and Application</w:t>
      </w:r>
      <w:bookmarkEnd w:id="26"/>
    </w:p>
    <w:p>
      <w:pPr>
        <w:pStyle w:val="FirstParagraph"/>
      </w:pPr>
      <w:r>
        <w:t xml:space="preserve">An isolate of</w:t>
      </w:r>
      <w:r>
        <w:t xml:space="preserve"> </w:t>
      </w:r>
      <w:r>
        <w:rPr>
          <w:i/>
        </w:rPr>
        <w:t xml:space="preserve">Rhizoctonia solani</w:t>
      </w:r>
      <w:r>
        <w:t xml:space="preserve"> </w:t>
      </w:r>
      <w:r>
        <w:t xml:space="preserve">AG1–1a previously isolated from infected rice was maintained on potato dextrose agar (PDA) medium in tubes. The isolate was transferred to 90 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 g of inoculum over the split–plot area with a 1 m buffer on either end (4 m x 11 m).</w:t>
      </w:r>
    </w:p>
    <w:p>
      <w:pPr>
        <w:pStyle w:val="Heading2"/>
      </w:pPr>
      <w:bookmarkStart w:id="27" w:name="experiment-1"/>
      <w:r>
        <w:t xml:space="preserve">2016 Experiment</w:t>
      </w:r>
      <w:bookmarkEnd w:id="27"/>
    </w:p>
    <w:p>
      <w:pPr>
        <w:pStyle w:val="Heading3"/>
      </w:pPr>
      <w:bookmarkStart w:id="28" w:name="experimental-design-1"/>
      <w:r>
        <w:t xml:space="preserve">Experimental Design</w:t>
      </w:r>
      <w:bookmarkEnd w:id="28"/>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29" w:name="crop-establishment-1"/>
      <w:r>
        <w:t xml:space="preserve">Crop Establishment</w:t>
      </w:r>
      <w:bookmarkEnd w:id="29"/>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0" w:name="inoculum-preparation-and-application-1"/>
      <w:r>
        <w:t xml:space="preserve">Inoculum Preparation and Application</w:t>
      </w:r>
      <w:bookmarkEnd w:id="30"/>
    </w:p>
    <w:p>
      <w:pPr>
        <w:pStyle w:val="FirstParagraph"/>
      </w:pPr>
      <w:r>
        <w:t xml:space="preserve">Based on the 2015 results, the inoculation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1" w:name="data-collection"/>
      <w:r>
        <w:t xml:space="preserve">Data Collection</w:t>
      </w:r>
      <w:bookmarkEnd w:id="31"/>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Leaves were rated as green (living) having at least XXX % living tissue or dead, defined as having less than XXX % living tissue.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r>
        <w:t xml:space="preserve">Statistical Analysis</w:t>
      </w:r>
      <w:bookmarkEnd w:id="32"/>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FirstParagraph"/>
      </w:pPr>
      <w:r>
        <w:t xml:space="preserve">Add statement here… XXXXX</w:t>
      </w:r>
    </w:p>
    <w:p>
      <w:pPr>
        <w:pStyle w:val="Heading1"/>
      </w:pPr>
      <w:bookmarkStart w:id="44" w:name="discussion"/>
      <w:r>
        <w:t xml:space="preserve">Discussion</w:t>
      </w:r>
      <w:bookmarkEnd w:id="44"/>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BodyText"/>
      </w:pPr>
      <w:r>
        <w:t xml:space="preserve">Readers may find a reproducible research compendium that recreates this paper, that includes all data generated from this project and code used for analysis as a reproducible research compendium from</w:t>
      </w:r>
      <w:r>
        <w:t xml:space="preserve"> </w:t>
      </w:r>
      <w:hyperlink r:id="rId20">
        <w:r>
          <w:rPr>
            <w:rStyle w:val="Hyperlink"/>
          </w:rPr>
          <w:t xml:space="preserve">https://github.com/openplantpathology/rice_awd_pests</w:t>
        </w:r>
      </w:hyperlink>
      <w:r>
        <w:t xml:space="preserve"> </w:t>
      </w:r>
      <w:r>
        <w:t xml:space="preserve">(Sparks et al. 2018)</w:t>
      </w:r>
      <w:r>
        <w:t xml:space="preserv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4"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5" w:name="ref-Duku2016"/>
    <w:p>
      <w:pPr>
        <w:pStyle w:val="BodyText"/>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4">
        <w:r>
          <w:rPr>
            <w:rStyle w:val="Hyperlink"/>
          </w:rPr>
          <w:t xml:space="preserve">10.1007/s10584-015-1580-2</w:t>
        </w:r>
      </w:hyperlink>
    </w:p>
    <w:bookmarkEnd w:id="55"/>
    <w:bookmarkStart w:id="56"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6"/>
    <w:bookmarkStart w:id="58"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7">
        <w:r>
          <w:rPr>
            <w:rStyle w:val="Hyperlink"/>
          </w:rPr>
          <w:t xml:space="preserve">http://www.jstatsoft.org/v33/i02/</w:t>
        </w:r>
      </w:hyperlink>
    </w:p>
    <w:bookmarkEnd w:id="58"/>
    <w:bookmarkStart w:id="59" w:name="ref-kim2015predicting"/>
    <w:p>
      <w:pPr>
        <w:pStyle w:val="BodyText"/>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59"/>
    <w:bookmarkStart w:id="60"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0"/>
    <w:bookmarkStart w:id="62"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1">
        <w:r>
          <w:rPr>
            <w:rStyle w:val="Hyperlink"/>
          </w:rPr>
          <w:t xml:space="preserve">10.1016/j.agwat.2006.10.006</w:t>
        </w:r>
      </w:hyperlink>
    </w:p>
    <w:bookmarkEnd w:id="62"/>
    <w:bookmarkStart w:id="63" w:name="ref-luo1998effects"/>
    <w:p>
      <w:pPr>
        <w:pStyle w:val="BodyText"/>
      </w:pPr>
      <w:r>
        <w:t xml:space="preserve">Luo, Y., Teng, P., Fabellar, N., &amp; TeBeest, D.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3"/>
    <w:bookmarkStart w:id="6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4"/>
    <w:bookmarkStart w:id="66" w:name="ref-MOEF2015"/>
    <w:p>
      <w:pPr>
        <w:pStyle w:val="BodyText"/>
      </w:pPr>
      <w:r>
        <w:t xml:space="preserve">Ministry of Environment and Forests (MOEF) Government of the People’s Republic of Bangladesh. (2015). Intended nationally determined contributions (INDC).</w:t>
      </w:r>
      <w:r>
        <w:t xml:space="preserve"> </w:t>
      </w:r>
      <w:hyperlink r:id="rId65">
        <w:r>
          <w:rPr>
            <w:rStyle w:val="Hyperlink"/>
          </w:rPr>
          <w:t xml:space="preserve">http://www4.unfccc.int/ndcregistry/PublishedDocuments/Bangladesh%20First/INDC_2015_of_Bangladesh.pdf</w:t>
        </w:r>
      </w:hyperlink>
    </w:p>
    <w:bookmarkEnd w:id="66"/>
    <w:bookmarkStart w:id="68"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7">
        <w:r>
          <w:rPr>
            <w:rStyle w:val="Hyperlink"/>
          </w:rPr>
          <w:t xml:space="preserve">https://journal.r-project.org/archive/</w:t>
        </w:r>
      </w:hyperlink>
    </w:p>
    <w:bookmarkEnd w:id="68"/>
    <w:bookmarkStart w:id="70"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9">
        <w:r>
          <w:rPr>
            <w:rStyle w:val="Hyperlink"/>
          </w:rPr>
          <w:t xml:space="preserve">https://www.R-project.org/</w:t>
        </w:r>
      </w:hyperlink>
    </w:p>
    <w:bookmarkEnd w:id="70"/>
    <w:bookmarkStart w:id="71"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1"/>
    <w:bookmarkStart w:id="72"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2"/>
    <w:bookmarkStart w:id="73"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3"/>
    <w:bookmarkStart w:id="74"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4"/>
    <w:bookmarkStart w:id="75"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5"/>
    <w:bookmarkStart w:id="76"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6"/>
    <w:bookmarkStart w:id="77" w:name="ref-Sparks2018"/>
    <w:p>
      <w:pPr>
        <w:pStyle w:val="BodyText"/>
      </w:pPr>
      <w:r>
        <w:t xml:space="preserve">Sparks, A. H., Castilla, N. P., &amp; Sander, B. O. (2018). Reproducible research compendium for analysing effects of water management and nitrogen on rice sheath blight.</w:t>
      </w:r>
    </w:p>
    <w:bookmarkEnd w:id="77"/>
    <w:bookmarkStart w:id="79"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8">
        <w:r>
          <w:rPr>
            <w:rStyle w:val="Hyperlink"/>
          </w:rPr>
          <w:t xml:space="preserve">10.1007/s10681-010-0296-7</w:t>
        </w:r>
      </w:hyperlink>
    </w:p>
    <w:bookmarkEnd w:id="79"/>
    <w:bookmarkStart w:id="80"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0"/>
    <w:bookmarkStart w:id="81"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1"/>
    <w:bookmarkStart w:id="8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2">
        <w:r>
          <w:rPr>
            <w:rStyle w:val="Hyperlink"/>
          </w:rPr>
          <w:t xml:space="preserve">10.1111/j.1365-2486.2005.00976.x</w:t>
        </w:r>
      </w:hyperlink>
    </w:p>
    <w:bookmarkEnd w:id="83"/>
    <w:bookmarkEnd w:id="84"/>
    <w:p>
      <w:pPr>
        <w:pStyle w:val="Heading5"/>
      </w:pPr>
      <w:bookmarkStart w:id="85" w:name="pagebreak-1"/>
      <w:r>
        <w:t xml:space="preserve">pagebreak</w:t>
      </w:r>
      <w:bookmarkEnd w:id="85"/>
    </w:p>
    <w:p>
      <w:pPr>
        <w:pStyle w:val="Heading1"/>
      </w:pPr>
      <w:bookmarkStart w:id="86" w:name="tables"/>
      <w:r>
        <w:t xml:space="preserve">Tables</w:t>
      </w:r>
      <w:bookmarkEnd w:id="86"/>
    </w:p>
    <w:p>
      <w:pPr>
        <w:pStyle w:val="TableCaption"/>
      </w:pPr>
      <w:r>
        <w:t xml:space="preserve">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7" w:name="pagebreak-2"/>
      <w:r>
        <w:t xml:space="preserve">pagebreak</w:t>
      </w:r>
      <w:bookmarkEnd w:id="87"/>
    </w:p>
    <w:p>
      <w:pPr>
        <w:pStyle w:val="Heading1"/>
      </w:pPr>
      <w:bookmarkStart w:id="88" w:name="figures"/>
      <w:r>
        <w:t xml:space="preserve">Figures</w:t>
      </w:r>
      <w:bookmarkEnd w:id="88"/>
    </w:p>
    <w:p>
      <w:pPr>
        <w:pStyle w:val="Heading5"/>
      </w:pPr>
      <w:bookmarkStart w:id="89" w:name="sheath-blight-progress-for-water-management-treatments"/>
      <w:r>
        <w:t xml:space="preserve">Sheath blight progress for water management treatments</w:t>
      </w:r>
      <w:bookmarkEnd w:id="89"/>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1" w:name="sheath-blight-progress-for-n-treatments"/>
      <w:r>
        <w:t xml:space="preserve">Sheath blight progress for N treatments</w:t>
      </w:r>
      <w:bookmarkEnd w:id="9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3" w:name="sheath-blight-incidence-boxplot-for-water-management"/>
      <w:r>
        <w:t xml:space="preserve">Sheath Blight Incidence Boxplot for water management</w:t>
      </w:r>
      <w:bookmarkEnd w:id="9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5" w:name="tiller-sheath-blight-incidence-boxplot-for-n-rate"/>
      <w:r>
        <w:t xml:space="preserve">Tiller sheath blight incidence boxplot for N rate</w:t>
      </w:r>
      <w:bookmarkEnd w:id="9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7" w:name="tiller-estimates-plots"/>
      <w:r>
        <w:t xml:space="preserve">Tiller Estimates Plots</w:t>
      </w:r>
      <w:bookmarkEnd w:id="97"/>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9" w:name="leaf-estimates-plots"/>
      <w:r>
        <w:t xml:space="preserve">Leaf estimates plots</w:t>
      </w:r>
      <w:bookmarkEnd w:id="99"/>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1" w:name="pagebreak-3"/>
      <w:r>
        <w:t xml:space="preserve">pagebreak</w:t>
      </w:r>
      <w:bookmarkEnd w:id="101"/>
    </w:p>
    <w:p>
      <w:pPr>
        <w:pStyle w:val="Heading3"/>
      </w:pPr>
      <w:bookmarkStart w:id="102" w:name="colophon"/>
      <w:r>
        <w:t xml:space="preserve">Colophon</w:t>
      </w:r>
      <w:bookmarkEnd w:id="102"/>
    </w:p>
    <w:p>
      <w:pPr>
        <w:pStyle w:val="FirstParagraph"/>
      </w:pPr>
      <w:r>
        <w:t xml:space="preserve">This report was generated on 2018-11-05 20:23:39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macOS  10.14.1              </w:t>
      </w:r>
      <w:r>
        <w:br w:type="textWrapping"/>
      </w:r>
      <w:r>
        <w:rPr>
          <w:rStyle w:val="VerbatimChar"/>
        </w:rPr>
        <w:t xml:space="preserve">#&gt;  system   x86_64, darwin18.0.0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Australia/Brisbane          </w:t>
      </w:r>
      <w:r>
        <w:br w:type="textWrapping"/>
      </w:r>
      <w:r>
        <w:rPr>
          <w:rStyle w:val="VerbatimChar"/>
        </w:rPr>
        <w:t xml:space="preserve">#&gt;  date     2018-11-05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3.5.1)</w:t>
      </w:r>
      <w:r>
        <w:br w:type="textWrapping"/>
      </w:r>
      <w:r>
        <w:rPr>
          <w:rStyle w:val="VerbatimChar"/>
        </w:rPr>
        <w:t xml:space="preserve">#&gt;  backports        1.1.2      2017-12-13 [1] CRAN (R 3.5.1)</w:t>
      </w:r>
      <w:r>
        <w:br w:type="textWrapping"/>
      </w:r>
      <w:r>
        <w:rPr>
          <w:rStyle w:val="VerbatimChar"/>
        </w:rPr>
        <w:t xml:space="preserve">#&gt;  bindr            0.1.1      2018-03-13 [1] CRAN (R 3.5.1)</w:t>
      </w:r>
      <w:r>
        <w:br w:type="textWrapping"/>
      </w:r>
      <w:r>
        <w:rPr>
          <w:rStyle w:val="VerbatimChar"/>
        </w:rPr>
        <w:t xml:space="preserve">#&gt;  bindrcpp         0.2.2      2018-03-29 [1] CRAN (R 3.5.1)</w:t>
      </w:r>
      <w:r>
        <w:br w:type="textWrapping"/>
      </w:r>
      <w:r>
        <w:rPr>
          <w:rStyle w:val="VerbatimChar"/>
        </w:rPr>
        <w:t xml:space="preserve">#&gt;  bookdown       * 0.7        2018-02-18 [1] CRAN (R 3.5.1)</w:t>
      </w:r>
      <w:r>
        <w:br w:type="textWrapping"/>
      </w:r>
      <w:r>
        <w:rPr>
          <w:rStyle w:val="VerbatimChar"/>
        </w:rPr>
        <w:t xml:space="preserve">#&gt;  cli              1.0.1      2018-09-25 [1] CRAN (R 3.5.1)</w:t>
      </w:r>
      <w:r>
        <w:br w:type="textWrapping"/>
      </w:r>
      <w:r>
        <w:rPr>
          <w:rStyle w:val="VerbatimChar"/>
        </w:rPr>
        <w:t xml:space="preserve">#&gt;  coda           * 0.19-2     2018-10-08 [1] CRAN (R 3.5.1)</w:t>
      </w:r>
      <w:r>
        <w:br w:type="textWrapping"/>
      </w:r>
      <w:r>
        <w:rPr>
          <w:rStyle w:val="VerbatimChar"/>
        </w:rPr>
        <w:t xml:space="preserve">#&gt;  colorspace       1.3-2      2016-12-14 [1] CRAN (R 3.5.1)</w:t>
      </w:r>
      <w:r>
        <w:br w:type="textWrapping"/>
      </w:r>
      <w:r>
        <w:rPr>
          <w:rStyle w:val="VerbatimChar"/>
        </w:rPr>
        <w:t xml:space="preserve">#&gt;  crayon           1.3.4      2017-09-16 [1] CRAN (R 3.5.1)</w:t>
      </w:r>
      <w:r>
        <w:br w:type="textWrapping"/>
      </w:r>
      <w:r>
        <w:rPr>
          <w:rStyle w:val="VerbatimChar"/>
        </w:rPr>
        <w:t xml:space="preserve">#&gt;  digest           0.6.18     2018-10-10 [1] CRAN (R 3.5.1)</w:t>
      </w:r>
      <w:r>
        <w:br w:type="textWrapping"/>
      </w:r>
      <w:r>
        <w:rPr>
          <w:rStyle w:val="VerbatimChar"/>
        </w:rPr>
        <w:t xml:space="preserve">#&gt;  dplyr            0.7.7      2018-10-16 [1] CRAN (R 3.5.1)</w:t>
      </w:r>
      <w:r>
        <w:br w:type="textWrapping"/>
      </w:r>
      <w:r>
        <w:rPr>
          <w:rStyle w:val="VerbatimChar"/>
        </w:rPr>
        <w:t xml:space="preserve">#&gt;  evaluate         0.12       2018-10-09 [1] CRAN (R 3.5.1)</w:t>
      </w:r>
      <w:r>
        <w:br w:type="textWrapping"/>
      </w:r>
      <w:r>
        <w:rPr>
          <w:rStyle w:val="VerbatimChar"/>
        </w:rPr>
        <w:t xml:space="preserve">#&gt;  ggplot2        * 3.1.0      2018-10-25 [1] CRAN (R 3.5.1)</w:t>
      </w:r>
      <w:r>
        <w:br w:type="textWrapping"/>
      </w:r>
      <w:r>
        <w:rPr>
          <w:rStyle w:val="VerbatimChar"/>
        </w:rPr>
        <w:t xml:space="preserve">#&gt;  ggpubr         * 0.1.8      2018-08-30 [1] CRAN (R 3.5.1)</w:t>
      </w:r>
      <w:r>
        <w:br w:type="textWrapping"/>
      </w:r>
      <w:r>
        <w:rPr>
          <w:rStyle w:val="VerbatimChar"/>
        </w:rPr>
        <w:t xml:space="preserve">#&gt;  glue             1.3.0      2018-07-17 [1] CRAN (R 3.5.1)</w:t>
      </w:r>
      <w:r>
        <w:br w:type="textWrapping"/>
      </w:r>
      <w:r>
        <w:rPr>
          <w:rStyle w:val="VerbatimChar"/>
        </w:rPr>
        <w:t xml:space="preserve">#&gt;  gridExtra      * 2.3        2017-09-09 [1] CRAN (R 3.5.1)</w:t>
      </w:r>
      <w:r>
        <w:br w:type="textWrapping"/>
      </w:r>
      <w:r>
        <w:rPr>
          <w:rStyle w:val="VerbatimChar"/>
        </w:rPr>
        <w:t xml:space="preserve">#&gt;  gtable           0.2.0      2016-02-26 [1] CRAN (R 3.5.1)</w:t>
      </w:r>
      <w:r>
        <w:br w:type="textWrapping"/>
      </w:r>
      <w:r>
        <w:rPr>
          <w:rStyle w:val="VerbatimChar"/>
        </w:rPr>
        <w:t xml:space="preserve">#&gt;  highr            0.7        2018-06-09 [1] CRAN (R 3.5.1)</w:t>
      </w:r>
      <w:r>
        <w:br w:type="textWrapping"/>
      </w:r>
      <w:r>
        <w:rPr>
          <w:rStyle w:val="VerbatimChar"/>
        </w:rPr>
        <w:t xml:space="preserve">#&gt;  htmltools        0.3.6      2017-04-28 [1] CRAN (R 3.5.1)</w:t>
      </w:r>
      <w:r>
        <w:br w:type="textWrapping"/>
      </w:r>
      <w:r>
        <w:rPr>
          <w:rStyle w:val="VerbatimChar"/>
        </w:rPr>
        <w:t xml:space="preserve">#&gt;  knitr          * 1.20       2018-02-20 [1] CRAN (R 3.5.1)</w:t>
      </w:r>
      <w:r>
        <w:br w:type="textWrapping"/>
      </w:r>
      <w:r>
        <w:rPr>
          <w:rStyle w:val="VerbatimChar"/>
        </w:rPr>
        <w:t xml:space="preserve">#&gt;  labeling         0.3        2014-08-23 [1] CRAN (R 3.5.1)</w:t>
      </w:r>
      <w:r>
        <w:br w:type="textWrapping"/>
      </w:r>
      <w:r>
        <w:rPr>
          <w:rStyle w:val="VerbatimChar"/>
        </w:rPr>
        <w:t xml:space="preserve">#&gt;  lattice          0.20-35    2017-03-25 [3] CRAN (R 3.5.1)</w:t>
      </w:r>
      <w:r>
        <w:br w:type="textWrapping"/>
      </w:r>
      <w:r>
        <w:rPr>
          <w:rStyle w:val="VerbatimChar"/>
        </w:rPr>
        <w:t xml:space="preserve">#&gt;  lazyeval         0.2.1      2017-10-29 [1] CRAN (R 3.5.1)</w:t>
      </w:r>
      <w:r>
        <w:br w:type="textWrapping"/>
      </w:r>
      <w:r>
        <w:rPr>
          <w:rStyle w:val="VerbatimChar"/>
        </w:rPr>
        <w:t xml:space="preserve">#&gt;  magrittr       * 1.5        2014-11-22 [1] CRAN (R 3.5.1)</w:t>
      </w:r>
      <w:r>
        <w:br w:type="textWrapping"/>
      </w:r>
      <w:r>
        <w:rPr>
          <w:rStyle w:val="VerbatimChar"/>
        </w:rPr>
        <w:t xml:space="preserve">#&gt;  munsell          0.5.0      2018-06-12 [1] CRAN (R 3.5.1)</w:t>
      </w:r>
      <w:r>
        <w:br w:type="textWrapping"/>
      </w:r>
      <w:r>
        <w:rPr>
          <w:rStyle w:val="VerbatimChar"/>
        </w:rPr>
        <w:t xml:space="preserve">#&gt;  pillar           1.3.0      2018-07-14 [1] CRAN (R 3.5.1)</w:t>
      </w:r>
      <w:r>
        <w:br w:type="textWrapping"/>
      </w:r>
      <w:r>
        <w:rPr>
          <w:rStyle w:val="VerbatimChar"/>
        </w:rPr>
        <w:t xml:space="preserve">#&gt;  pkgconfig        2.0.2      2018-08-16 [1] CRAN (R 3.5.1)</w:t>
      </w:r>
      <w:r>
        <w:br w:type="textWrapping"/>
      </w:r>
      <w:r>
        <w:rPr>
          <w:rStyle w:val="VerbatimChar"/>
        </w:rPr>
        <w:t xml:space="preserve">#&gt;  plyr             1.8.4      2016-06-08 [1] CRAN (R 3.5.1)</w:t>
      </w:r>
      <w:r>
        <w:br w:type="textWrapping"/>
      </w:r>
      <w:r>
        <w:rPr>
          <w:rStyle w:val="VerbatimChar"/>
        </w:rPr>
        <w:t xml:space="preserve">#&gt;  purrr            0.2.5      2018-05-29 [1] CRAN (R 3.5.1)</w:t>
      </w:r>
      <w:r>
        <w:br w:type="textWrapping"/>
      </w:r>
      <w:r>
        <w:rPr>
          <w:rStyle w:val="VerbatimChar"/>
        </w:rPr>
        <w:t xml:space="preserve">#&gt;  R6               2.3.0      2018-10-04 [1] CRAN (R 3.5.1)</w:t>
      </w:r>
      <w:r>
        <w:br w:type="textWrapping"/>
      </w:r>
      <w:r>
        <w:rPr>
          <w:rStyle w:val="VerbatimChar"/>
        </w:rPr>
        <w:t xml:space="preserve">#&gt;  Rcpp             0.12.19    2018-10-01 [1] CRAN (R 3.5.1)</w:t>
      </w:r>
      <w:r>
        <w:br w:type="textWrapping"/>
      </w:r>
      <w:r>
        <w:rPr>
          <w:rStyle w:val="VerbatimChar"/>
        </w:rPr>
        <w:t xml:space="preserve">#&gt;  reshape2         1.4.3      2017-12-11 [1] CRAN (R 3.5.1)</w:t>
      </w:r>
      <w:r>
        <w:br w:type="textWrapping"/>
      </w:r>
      <w:r>
        <w:rPr>
          <w:rStyle w:val="VerbatimChar"/>
        </w:rPr>
        <w:t xml:space="preserve">#&gt;  rice.awd.pests * 0.0.0.9000 2018-11-04 [1] local         </w:t>
      </w:r>
      <w:r>
        <w:br w:type="textWrapping"/>
      </w:r>
      <w:r>
        <w:rPr>
          <w:rStyle w:val="VerbatimChar"/>
        </w:rPr>
        <w:t xml:space="preserve">#&gt;  rlang            0.3.0.1    2018-10-25 [1] CRAN (R 3.5.1)</w:t>
      </w:r>
      <w:r>
        <w:br w:type="textWrapping"/>
      </w:r>
      <w:r>
        <w:rPr>
          <w:rStyle w:val="VerbatimChar"/>
        </w:rPr>
        <w:t xml:space="preserve">#&gt;  rmarkdown        1.10       2018-06-11 [1] CRAN (R 3.5.1)</w:t>
      </w:r>
      <w:r>
        <w:br w:type="textWrapping"/>
      </w:r>
      <w:r>
        <w:rPr>
          <w:rStyle w:val="VerbatimChar"/>
        </w:rPr>
        <w:t xml:space="preserve">#&gt;  rprojroot        1.3-2      2018-01-03 [1] CRAN (R 3.5.1)</w:t>
      </w:r>
      <w:r>
        <w:br w:type="textWrapping"/>
      </w:r>
      <w:r>
        <w:rPr>
          <w:rStyle w:val="VerbatimChar"/>
        </w:rPr>
        <w:t xml:space="preserve">#&gt;  scales           1.0.0      2018-08-09 [1] CRAN (R 3.5.1)</w:t>
      </w:r>
      <w:r>
        <w:br w:type="textWrapping"/>
      </w:r>
      <w:r>
        <w:rPr>
          <w:rStyle w:val="VerbatimChar"/>
        </w:rPr>
        <w:t xml:space="preserve">#&gt;  sessioninfo      1.1.0      2018-09-25 [1] CRAN (R 3.5.1)</w:t>
      </w:r>
      <w:r>
        <w:br w:type="textWrapping"/>
      </w:r>
      <w:r>
        <w:rPr>
          <w:rStyle w:val="VerbatimChar"/>
        </w:rPr>
        <w:t xml:space="preserve">#&gt;  stringi          1.2.4      2018-07-20 [1] CRAN (R 3.5.1)</w:t>
      </w:r>
      <w:r>
        <w:br w:type="textWrapping"/>
      </w:r>
      <w:r>
        <w:rPr>
          <w:rStyle w:val="VerbatimChar"/>
        </w:rPr>
        <w:t xml:space="preserve">#&gt;  stringr          1.3.1      2018-05-10 [1] CRAN (R 3.5.1)</w:t>
      </w:r>
      <w:r>
        <w:br w:type="textWrapping"/>
      </w:r>
      <w:r>
        <w:rPr>
          <w:rStyle w:val="VerbatimChar"/>
        </w:rPr>
        <w:t xml:space="preserve">#&gt;  tibble           1.4.2      2018-01-22 [1] CRAN (R 3.5.1)</w:t>
      </w:r>
      <w:r>
        <w:br w:type="textWrapping"/>
      </w:r>
      <w:r>
        <w:rPr>
          <w:rStyle w:val="VerbatimChar"/>
        </w:rPr>
        <w:t xml:space="preserve">#&gt;  tidyselect       0.2.5      2018-10-11 [1] CRAN (R 3.5.1)</w:t>
      </w:r>
      <w:r>
        <w:br w:type="textWrapping"/>
      </w:r>
      <w:r>
        <w:rPr>
          <w:rStyle w:val="VerbatimChar"/>
        </w:rPr>
        <w:t xml:space="preserve">#&gt;  withr            2.1.2      2018-03-15 [1] CRAN (R 3.5.1)</w:t>
      </w:r>
      <w:r>
        <w:br w:type="textWrapping"/>
      </w:r>
      <w:r>
        <w:rPr>
          <w:rStyle w:val="VerbatimChar"/>
        </w:rPr>
        <w:t xml:space="preserve">#&gt;  xfun             0.4        2018-10-23 [1] CRAN (R 3.5.1)</w:t>
      </w:r>
      <w:r>
        <w:br w:type="textWrapping"/>
      </w:r>
      <w:r>
        <w:rPr>
          <w:rStyle w:val="VerbatimChar"/>
        </w:rPr>
        <w:t xml:space="preserve">#&gt;  yaml             2.2.0      2018-07-25 [1] CRAN (R 3.5.1)</w:t>
      </w:r>
      <w:r>
        <w:br w:type="textWrapping"/>
      </w:r>
      <w:r>
        <w:rPr>
          <w:rStyle w:val="VerbatimChar"/>
        </w:rPr>
        <w:t xml:space="preserve">#&gt; </w:t>
      </w:r>
      <w:r>
        <w:br w:type="textWrapping"/>
      </w:r>
      <w:r>
        <w:rPr>
          <w:rStyle w:val="VerbatimChar"/>
        </w:rPr>
        <w:t xml:space="preserve">#&gt; [1] /Users/adamsparks/Library/R/3.x/library</w:t>
      </w:r>
      <w:r>
        <w:br w:type="textWrapping"/>
      </w:r>
      <w:r>
        <w:rPr>
          <w:rStyle w:val="VerbatimChar"/>
        </w:rPr>
        <w:t xml:space="preserve">#&gt; [2] /usr/local/lib/R/3.5/site-library</w:t>
      </w:r>
      <w:r>
        <w:br w:type="textWrapping"/>
      </w:r>
      <w:r>
        <w:rPr>
          <w:rStyle w:val="VerbatimChar"/>
        </w:rPr>
        <w:t xml:space="preserve">#&gt; [3] /usr/local/Cellar/r/3.5.1/lib/R/library</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(git@github.com:adamhsparks/rice_awd_pests.git)</w:t>
      </w:r>
      <w:r>
        <w:br w:type="textWrapping"/>
      </w:r>
      <w:r>
        <w:rPr>
          <w:rStyle w:val="VerbatimChar"/>
        </w:rPr>
        <w:t xml:space="preserve">#&gt; Head:     [d15b681] 2018-11-05: Update analysis graphs to include all figures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eps" /><Relationship Type="http://schemas.openxmlformats.org/officeDocument/2006/relationships/image" Id="rId92" Target="media/rId92.eps" /><Relationship Type="http://schemas.openxmlformats.org/officeDocument/2006/relationships/image" Id="rId94" Target="media/rId94.eps" /><Relationship Type="http://schemas.openxmlformats.org/officeDocument/2006/relationships/image" Id="rId96" Target="media/rId96.eps" /><Relationship Type="http://schemas.openxmlformats.org/officeDocument/2006/relationships/image" Id="rId98" Target="media/rId98.eps" /><Relationship Type="http://schemas.openxmlformats.org/officeDocument/2006/relationships/image" Id="rId100" Target="media/rId100.eps" /><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2018-11-05T10:23:44Z</dcterms:created>
  <dcterms:modified xsi:type="dcterms:W3CDTF">2018-11-05T10:23:44Z</dcterms:modified>
</cp:coreProperties>
</file>

<file path=docProps/custom.xml><?xml version="1.0" encoding="utf-8"?>
<Properties xmlns="http://schemas.openxmlformats.org/officeDocument/2006/custom-properties" xmlns:vt="http://schemas.openxmlformats.org/officeDocument/2006/docPropsVTypes"/>
</file>