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eps" ContentType="application/eps"/>
  <Override PartName="/word/media/rId87.eps" ContentType="application/eps"/>
  <Override PartName="/word/media/rId89.eps" ContentType="application/eps"/>
  <Override PartName="/word/media/rId91.eps" ContentType="application/eps"/>
  <Override PartName="/word/media/rId93.eps" ContentType="application/eps"/>
  <Override PartName="/word/media/rId95.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treatment,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 Srinivasachary et al. 2011)</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randomised complete block design with four replicates where irrigation was the main plot and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 were N0 (no N supply), N100 (100 kg per ha applied as urea in three splits at final harrowing, active tillering and panicle initiation) and N120 (120 kg per ha applied as urea in three splits at final harrowing, active tillering and panicle initiation) (Tab. @ref(tab:tab_1)).</w:t>
      </w:r>
    </w:p>
    <w:p>
      <w:pPr>
        <w:pStyle w:val="Heading3"/>
      </w:pPr>
      <w:bookmarkStart w:id="24" w:name="crop-establishment"/>
      <w:r>
        <w:t xml:space="preserve">Crop Establishment</w:t>
      </w:r>
      <w:bookmarkEnd w:id="24"/>
    </w:p>
    <w:p>
      <w:pPr>
        <w:pStyle w:val="FirstParagraph"/>
      </w:pPr>
      <w:r>
        <w:t xml:space="preserve">Trays of NSIC Rc222 were seeded on 19 December 2014. NSIC Rc222 is an inbred variety released by the Philippine Rice Research Institute (PhilRice), with a 114 day maturity when transplanted were established. The variety is commonly grown by farmers in the area, having moderate resistance to brown plant hopper, green leaf hopper and yellow stem borer, but susceptibility to tungro. Plots were established by manually transplanting seedlings on 9 January 2015 in hills with six to eight seedlings per hill and a distance of 20cm within and between rows.</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 treatments, N60 (60 kg per ha as urea split into two applications) and N180 (180 kg per ha in three splits) being applied (Tab. @ref(tab:tab_1)).</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from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
      <w:r>
        <w:t xml:space="preserve">Data Collection</w:t>
      </w:r>
      <w:bookmarkEnd w:id="30"/>
    </w:p>
    <w:p>
      <w:pPr>
        <w:pStyle w:val="FirstParagraph"/>
      </w:pPr>
      <w:r>
        <w:t xml:space="preserve">In both experiments, two sample areas, sized 1m x 1m, per plot were assessed. the total number of tillers per hill and number of tillers with ShB (incidence) were measured for nine hills per sample area. Tiller ShB severity was measured for four tillers per hill and six leaves tiller using a disease assessment rating scale for field evaluation developed at IRRI. The scale is an unequally spaced categorical scale where 0 - no disease; 1 - trace to 1% severity; 2 - 1 to 5%; 3 - 5 to 15%; 4 - 15 to 50%; 5 - 50 to 100%. Severity was considered to be the amount of leaf or sheath tissue covered by ShB lesions. Leaves were rated as green (living) having at least XXX% living tissue or dead, defined as having less than XXX% living tissue. The same rating methodology was used in both experiments. Five disease assessments were made in the 2015 experiment and four disease assessments were made in the 2016 experiment, respectively.</w:t>
      </w:r>
    </w:p>
    <w:p>
      <w:pPr>
        <w:pStyle w:val="Heading2"/>
      </w:pPr>
      <w:bookmarkStart w:id="31" w:name="statistical-analysis"/>
      <w:r>
        <w:t xml:space="preserve">Statistical Analysis</w:t>
      </w:r>
      <w:bookmarkEnd w:id="31"/>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the R package</w:t>
      </w:r>
      <w:r>
        <w:t xml:space="preserve"> </w:t>
      </w:r>
      <w:r>
        <w:rPr>
          <w:rStyle w:val="VerbatimChar"/>
        </w:rPr>
        <w:t xml:space="preserve">agricolae</w:t>
      </w:r>
      <w:r>
        <w:t xml:space="preserve"> </w:t>
      </w:r>
      <w:r>
        <w:t xml:space="preserve">(de Mendiburu 2017; R Core Team 2018)</w:t>
      </w:r>
      <w:r>
        <w:t xml:space="preserve">. The severity data were converted to the midpoint percent value of the scale range.</w:t>
      </w:r>
    </w:p>
    <w:p>
      <w:pPr>
        <w:pStyle w:val="BodyText"/>
      </w:pPr>
      <w:r>
        <w:t xml:space="preserve">The correlations between tiller sheath ShB incidence and tiller and leaf ShB severity were tested using Spearman’s correlation test,</w:t>
      </w:r>
      <w:r>
        <w:t xml:space="preserve"> </w:t>
      </w:r>
      <w:r>
        <w:rPr>
          <w:rStyle w:val="VerbatimChar"/>
        </w:rPr>
        <w:t xml:space="preserve">cor.test</w:t>
      </w:r>
      <w:r>
        <w:t xml:space="preserve">,</w:t>
      </w:r>
      <w:r>
        <w:t xml:space="preserve"> </w:t>
      </w:r>
      <w:r>
        <w:t xml:space="preserve">(R Core Team 2018)</w:t>
      </w:r>
      <w:r>
        <w:t xml:space="preserve">. No correlation was found, so the analysis was completed for each variable independently with no assumed interaction.</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Six models were created where the the dependent variables were 2015 tiller ShB incidence, 2015 tiller ShB severity, 2015 leaf ShB severity; 2016 tiller ShB incidence, 2016 tiller ShB severity; 2016 leaf ShB severity, respectively. The independent variables were the irrigation management and N rate with replicate treated as a random variable. The base levels (control treatments) for the analyses for 2015 were N rate - N0; irrigation management - FLD and for 2016, N rate - N60; irrigation management - FLD.</w:t>
      </w:r>
    </w:p>
    <w:p>
      <w:pPr>
        <w:pStyle w:val="BodyText"/>
      </w:pPr>
      <w:r>
        <w:t xml:space="preserve">Four MCMC chains were run for 55,000 steps with the first 5000 discarded as burn in. The remaining 50,000 samples were thinned by taking every tenth sample resulting in 5,000 independent draws from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MCMC chain convergence using visual inspection of resulting trace graphs and the Gelman-Rubin test. All data generated from this project and code used for analysis are available as a reproducible research compendium from</w:t>
      </w:r>
      <w:r>
        <w:t xml:space="preserve"> </w:t>
      </w:r>
      <w:hyperlink r:id="rId32">
        <w:r>
          <w:rPr>
            <w:rStyle w:val="Hyperlink"/>
          </w:rPr>
          <w:t xml:space="preserve">https://github.com/openplantpathology/rice_awd_pests</w:t>
        </w:r>
      </w:hyperlink>
      <w:r>
        <w:t xml:space="preserve"> </w:t>
      </w:r>
      <w:r>
        <w:t xml:space="preserve">(Sparks et al. 2018)</w:t>
      </w:r>
      <w:r>
        <w:t xml:space="preserve">.</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ShB remained low throughout the growing season (Fig. @ref(fig:fig_1)a, @ref(fig:fig_2)a). Water management was not significantly different (Fig. @ref(fig:fig_3)a, @ref(fig:fig_5)a). However, the N treatments, N100 and N120, were both significantly different when compared with the control N0 treatment (Fig. @ref(fig:fig_4)a, @ref(fig:fig_5)a).</w:t>
      </w:r>
    </w:p>
    <w:p>
      <w:pPr>
        <w:pStyle w:val="Heading3"/>
      </w:pPr>
      <w:bookmarkStart w:id="36" w:name="tiller-sheath-blight-severity"/>
      <w:r>
        <w:t xml:space="preserve">Tiller Sheath Blight Severity</w:t>
      </w:r>
      <w:bookmarkEnd w:id="36"/>
    </w:p>
    <w:p>
      <w:pPr>
        <w:pStyle w:val="FirstParagraph"/>
      </w:pPr>
      <w:r>
        <w:t xml:space="preserve">Tiller ShB severity remained below 2% (Fig. @ref(fig:fig_2)c, @ref(fig:fig_1)c). Both the N100 and N120 treatments were significantly different than the control N0 treatment (Fig. @ref(fig:fig_4)c, @ref(fig:fig_5)c). However, the AWD water management was not significantly different from the FLD treatment (Fig. @ref(fig:fig_3)c, @ref(fig:fig_5)c).</w:t>
      </w:r>
    </w:p>
    <w:p>
      <w:pPr>
        <w:pStyle w:val="Heading3"/>
      </w:pPr>
      <w:bookmarkStart w:id="37" w:name="leaf-sheath-blight-severity"/>
      <w:r>
        <w:t xml:space="preserve">Leaf Sheath Blight Severity</w:t>
      </w:r>
      <w:bookmarkEnd w:id="37"/>
    </w:p>
    <w:p>
      <w:pPr>
        <w:pStyle w:val="FirstParagraph"/>
      </w:pPr>
      <w:r>
        <w:t xml:space="preserve">Severity of leaf ShB remained low, less than 0.4% across all treatments (Fig. @ref(fig:fig_1)e, @ref(fig:fig_2)e). Both the N100 and N120 treatments were significantly different than the N0 treatment (Fig. @ref(fig:fig_4)e, @ref(fig:fig_5)e). However, the AWD water management was not significantly different from the FLD treatment (Fig. @ref(fig:fig_3)e, @ref(fig:fig_5)e).</w:t>
      </w:r>
    </w:p>
    <w:p>
      <w:pPr>
        <w:pStyle w:val="Heading3"/>
      </w:pPr>
      <w:bookmarkStart w:id="38" w:name="the-interaction-of-irrigation-and-n-management"/>
      <w:r>
        <w:t xml:space="preserve">The Interaction of Irrigation and N Management</w:t>
      </w:r>
      <w:bookmarkEnd w:id="38"/>
    </w:p>
    <w:p>
      <w:pPr>
        <w:pStyle w:val="Heading2"/>
      </w:pPr>
      <w:bookmarkStart w:id="39" w:name="experiment-3"/>
      <w:r>
        <w:t xml:space="preserve">2016 Experiment</w:t>
      </w:r>
      <w:bookmarkEnd w:id="39"/>
    </w:p>
    <w:p>
      <w:pPr>
        <w:pStyle w:val="Heading3"/>
      </w:pPr>
      <w:bookmarkStart w:id="40" w:name="tiller-sheath-blight-incidence-1"/>
      <w:r>
        <w:t xml:space="preserve">Tiller Sheath Blight Incidence</w:t>
      </w:r>
      <w:bookmarkEnd w:id="40"/>
    </w:p>
    <w:p>
      <w:pPr>
        <w:pStyle w:val="FirstParagraph"/>
      </w:pPr>
      <w:r>
        <w:t xml:space="preserve">The changes to the inoculation methodology resulted in a higher rate of infection in 2016, with the N180 treatment reaching a maximum value of 98% incidence at the third observation (Fig. @ref(fig:fig_2)b). The N treatment N180, was significantly different than the control N60 treatment (Fig. @ref(fig:fig_4)b, @ref(fig:fig_5)b). As in the 2015 study, water management did not significantly differ (Fig. @ref(fig:fig_3)b, @ref(fig:fig_5)b).</w:t>
      </w:r>
    </w:p>
    <w:p>
      <w:pPr>
        <w:pStyle w:val="Heading3"/>
      </w:pPr>
      <w:bookmarkStart w:id="41" w:name="tiller-sheath-blight-severity-1"/>
      <w:r>
        <w:t xml:space="preserve">Tiller Sheath Blight Severity</w:t>
      </w:r>
      <w:bookmarkEnd w:id="41"/>
    </w:p>
    <w:p>
      <w:pPr>
        <w:pStyle w:val="FirstParagraph"/>
      </w:pPr>
      <w:r>
        <w:t xml:space="preserve">As with the tiller incidence, the tiller severity increased with the changed inoculation methods with a maximum of 7.6% for the flooded treatment (Fig. @ref(fig:fig_2)d).</w:t>
      </w:r>
      <w:r>
        <w:t xml:space="preserve"> </w:t>
      </w:r>
      <w:r>
        <w:t xml:space="preserve">In 2016 the N180 treatment was significantly different from the N60 treatment, with N180 severity being higher (Fig. @ref(fig:fig_4)d, @ref(fig:fig_5)d). The AWD water management, which was lower than the FLD treatment, was also significantly different (Fig. @ref(fig:fig_3)d, @ref(fig:fig_5)d).</w:t>
      </w:r>
    </w:p>
    <w:p>
      <w:pPr>
        <w:pStyle w:val="Heading3"/>
      </w:pPr>
      <w:bookmarkStart w:id="42" w:name="leaf-sheath-blight-severity-1"/>
      <w:r>
        <w:t xml:space="preserve">Leaf Sheath Blight Severity</w:t>
      </w:r>
      <w:bookmarkEnd w:id="42"/>
    </w:p>
    <w:p>
      <w:pPr>
        <w:pStyle w:val="FirstParagraph"/>
      </w:pPr>
      <w:r>
        <w:t xml:space="preserve">In 2016 the neither of the treatments, N rate or water management, were significantly different from the control treatments for leaf ShB severity (Fig. @ref(fig:fig_3)f, @ref(fig:fig_5)f, @ref(fig:fig_4)f, @ref(fig:fig_5)f).</w:t>
      </w:r>
    </w:p>
    <w:p>
      <w:pPr>
        <w:pStyle w:val="Heading3"/>
      </w:pPr>
      <w:bookmarkStart w:id="43" w:name="the-interaction-of-irrigation-and-n-management-1"/>
      <w:r>
        <w:t xml:space="preserve">The Interaction of Irrigation and N Management</w:t>
      </w:r>
      <w:bookmarkEnd w:id="43"/>
    </w:p>
    <w:p>
      <w:pPr>
        <w:pStyle w:val="Heading1"/>
      </w:pPr>
      <w:bookmarkStart w:id="44" w:name="discussion"/>
      <w:r>
        <w:t xml:space="preserve">Discussion</w:t>
      </w:r>
      <w:bookmarkEnd w:id="44"/>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In the 2016 experiment the tiller ShB severity was significantly lower for AWD than FLD (Fig. @ref(fig:fig_3)d, @ref(fig:fig_5)d), indicating a possible adverse effect of using AWD on tiller ShB severity under conditions where there is high sheath blight pressure.</w:t>
      </w:r>
    </w:p>
    <w:p>
      <w:pPr>
        <w:pStyle w:val="BodyText"/>
      </w:pPr>
      <w:r>
        <w:t xml:space="preserve">The findings of the effects of N rates on sheath blight were to be expected, where higher rates of N caused an increase in disease incidence and severity in 2015 and in tiller incidence in 2016. However, in 2016 tiller and leaf severity had no detectable differences due to the N rate. However, it should be noted that the levels of leaf severity remained low (&lt; 1%) throughout the growing season in all treatments for both years.</w:t>
      </w:r>
    </w:p>
    <w:p>
      <w:pPr>
        <w:pStyle w:val="BodyText"/>
      </w:pPr>
      <w:r>
        <w:t xml:space="preserve">The changes made for the 2016 experiment appear to have improved the experiment, increasing the incidence and decreased variability of sheath blight in the plots (Fig. @ref(fig:fig_1)a:b, @ref(fig:fig_2)c:d, @ref(fig:fig_3)a:b, @ref(fig:fig_4)c:d). The rice establishment method is known to affect the spread of sheath blight</w:t>
      </w:r>
      <w:r>
        <w:t xml:space="preserve"> </w:t>
      </w:r>
      <w:r>
        <w:t xml:space="preserve">(Willocquet et al. 2000)</w:t>
      </w:r>
      <w:r>
        <w:t xml:space="preserve">. It is possible that the mechanical transplanter could increase ShB spread in the canopy as compared with traditional manual transplanting. This however was not investigated as a part of this study but could bear further research.</w:t>
      </w:r>
    </w:p>
    <w:p>
      <w:pPr>
        <w:pStyle w:val="Heading1"/>
      </w:pPr>
      <w:bookmarkStart w:id="45" w:name="notes"/>
      <w:r>
        <w:t xml:space="preserve">Notes</w:t>
      </w:r>
      <w:bookmarkEnd w:id="45"/>
    </w:p>
    <w:p>
      <w:pPr>
        <w:pStyle w:val="Heading2"/>
      </w:pPr>
      <w:bookmarkStart w:id="46" w:name="acknowledgments"/>
      <w:r>
        <w:t xml:space="preserve">Acknowledgments</w:t>
      </w:r>
      <w:bookmarkEnd w:id="46"/>
    </w:p>
    <w:p>
      <w:pPr>
        <w:pStyle w:val="FirstParagraph"/>
      </w:pPr>
      <w:r>
        <w:t xml:space="preserve">The authors wish to thank the IRRI Biometrics group for their input in the design of the experiments and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Michael Noel, who was a part of the plant disease management team at IRRI and who helped design and manage the first year of the project but passed away in September 2016.</w:t>
      </w:r>
    </w:p>
    <w:p>
      <w:pPr>
        <w:pStyle w:val="Heading5"/>
      </w:pPr>
      <w:bookmarkStart w:id="47" w:name="pagebreak"/>
      <w:r>
        <w:t xml:space="preserve">pagebreak</w:t>
      </w:r>
      <w:bookmarkEnd w:id="47"/>
    </w:p>
    <w:p>
      <w:pPr>
        <w:pStyle w:val="Heading1"/>
      </w:pPr>
      <w:bookmarkStart w:id="48" w:name="references"/>
      <w:r>
        <w:t xml:space="preserve">References</w:t>
      </w:r>
      <w:bookmarkEnd w:id="48"/>
    </w:p>
    <w:bookmarkStart w:id="80" w:name="refs"/>
    <w:bookmarkStart w:id="50"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9">
        <w:r>
          <w:rPr>
            <w:rStyle w:val="Hyperlink"/>
          </w:rPr>
          <w:t xml:space="preserve">10.1016/S0378-3774(00)00128-1</w:t>
        </w:r>
      </w:hyperlink>
    </w:p>
    <w:bookmarkEnd w:id="50"/>
    <w:bookmarkStart w:id="51"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1"/>
    <w:bookmarkStart w:id="53"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2">
        <w:r>
          <w:rPr>
            <w:rStyle w:val="Hyperlink"/>
          </w:rPr>
          <w:t xml:space="preserve">https://CRAN.R-project.org/package=agricolae</w:t>
        </w:r>
      </w:hyperlink>
    </w:p>
    <w:bookmarkEnd w:id="53"/>
    <w:bookmarkStart w:id="54"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4"/>
    <w:bookmarkStart w:id="56"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5">
        <w:r>
          <w:rPr>
            <w:rStyle w:val="Hyperlink"/>
          </w:rPr>
          <w:t xml:space="preserve">http://www.jstatsoft.org/v33/i02/</w:t>
        </w:r>
      </w:hyperlink>
    </w:p>
    <w:bookmarkEnd w:id="56"/>
    <w:bookmarkStart w:id="57"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7"/>
    <w:bookmarkStart w:id="59"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8">
        <w:r>
          <w:rPr>
            <w:rStyle w:val="Hyperlink"/>
          </w:rPr>
          <w:t xml:space="preserve">10.1016/j.agwat.2006.10.006</w:t>
        </w:r>
      </w:hyperlink>
    </w:p>
    <w:bookmarkEnd w:id="59"/>
    <w:bookmarkStart w:id="60"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60"/>
    <w:bookmarkStart w:id="62" w:name="ref-MOEF2015"/>
    <w:p>
      <w:pPr>
        <w:pStyle w:val="BodyText"/>
      </w:pPr>
      <w:r>
        <w:t xml:space="preserve">Ministry of Environment and Forests (MOEF) Government of the People’s Republic of Bangladesh. (2015). Intended nationally determined contributions (INDC).</w:t>
      </w:r>
      <w:r>
        <w:t xml:space="preserve"> </w:t>
      </w:r>
      <w:hyperlink r:id="rId61">
        <w:r>
          <w:rPr>
            <w:rStyle w:val="Hyperlink"/>
          </w:rPr>
          <w:t xml:space="preserve">http://www4.unfccc.int/ndcregistry/PublishedDocuments/Bangladesh%20First/INDC_2015_of_Bangladesh.pdf</w:t>
        </w:r>
      </w:hyperlink>
    </w:p>
    <w:bookmarkEnd w:id="62"/>
    <w:bookmarkStart w:id="64"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3">
        <w:r>
          <w:rPr>
            <w:rStyle w:val="Hyperlink"/>
          </w:rPr>
          <w:t xml:space="preserve">https://journal.r-project.org/archive/</w:t>
        </w:r>
      </w:hyperlink>
    </w:p>
    <w:bookmarkEnd w:id="64"/>
    <w:bookmarkStart w:id="66"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5">
        <w:r>
          <w:rPr>
            <w:rStyle w:val="Hyperlink"/>
          </w:rPr>
          <w:t xml:space="preserve">https://www.R-project.org/</w:t>
        </w:r>
      </w:hyperlink>
    </w:p>
    <w:bookmarkEnd w:id="66"/>
    <w:bookmarkStart w:id="67"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7"/>
    <w:bookmarkStart w:id="68"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8"/>
    <w:bookmarkStart w:id="69"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9"/>
    <w:bookmarkStart w:id="70"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70"/>
    <w:bookmarkStart w:id="71"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71"/>
    <w:bookmarkStart w:id="72"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2"/>
    <w:bookmarkStart w:id="73" w:name="ref-Sparks2018"/>
    <w:p>
      <w:pPr>
        <w:pStyle w:val="BodyText"/>
      </w:pPr>
      <w:r>
        <w:t xml:space="preserve">Sparks, A. H., Castilla, N. P., &amp; Sander, B. O. (2018). Reproducible research compendium for analysing effects of water management and nitrogen on rice sheath blight.</w:t>
      </w:r>
    </w:p>
    <w:bookmarkEnd w:id="73"/>
    <w:bookmarkStart w:id="75"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4">
        <w:r>
          <w:rPr>
            <w:rStyle w:val="Hyperlink"/>
          </w:rPr>
          <w:t xml:space="preserve">10.1007/s10681-010-0296-7</w:t>
        </w:r>
      </w:hyperlink>
    </w:p>
    <w:bookmarkEnd w:id="75"/>
    <w:bookmarkStart w:id="76"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6"/>
    <w:bookmarkStart w:id="77"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77"/>
    <w:bookmarkStart w:id="79"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8">
        <w:r>
          <w:rPr>
            <w:rStyle w:val="Hyperlink"/>
          </w:rPr>
          <w:t xml:space="preserve">10.1111/j.1365-2486.2005.00976.x</w:t>
        </w:r>
      </w:hyperlink>
    </w:p>
    <w:bookmarkEnd w:id="79"/>
    <w:bookmarkEnd w:id="80"/>
    <w:p>
      <w:pPr>
        <w:pStyle w:val="Heading5"/>
      </w:pPr>
      <w:bookmarkStart w:id="81" w:name="pagebreak-1"/>
      <w:r>
        <w:t xml:space="preserve">pagebreak</w:t>
      </w:r>
      <w:bookmarkEnd w:id="81"/>
    </w:p>
    <w:p>
      <w:pPr>
        <w:pStyle w:val="Heading1"/>
      </w:pPr>
      <w:bookmarkStart w:id="82" w:name="tables"/>
      <w:r>
        <w:t xml:space="preserve">Tables</w:t>
      </w:r>
      <w:bookmarkEnd w:id="82"/>
    </w:p>
    <w:p>
      <w:pPr>
        <w:pStyle w:val="FirstParagraph"/>
      </w:pPr>
      <w:r>
        <w:t xml:space="preserve">Tab.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3" w:name="pagebreak-2"/>
      <w:r>
        <w:t xml:space="preserve">pagebreak</w:t>
      </w:r>
      <w:bookmarkEnd w:id="83"/>
    </w:p>
    <w:p>
      <w:pPr>
        <w:pStyle w:val="Heading1"/>
      </w:pPr>
      <w:bookmarkStart w:id="84" w:name="figures"/>
      <w:r>
        <w:t xml:space="preserve">Figures</w:t>
      </w:r>
      <w:bookmarkEnd w:id="84"/>
    </w:p>
    <w:p>
      <w:pPr>
        <w:pStyle w:val="FirstParagraph"/>
      </w:pPr>
      <w:r>
        <w:t xml:space="preserve">Fig. 1: Sheath blight progress for 2015 and 2016 experiments. Disease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r>
        <w:t xml:space="preserve"> </w:t>
      </w:r>
      <w:r>
        <w:drawing>
          <wp:inline>
            <wp:extent cx="5943600" cy="5943600"/>
            <wp:effectExtent b="0" l="0" r="0" t="0"/>
            <wp:docPr descr="(#fig:fig_1)fig.1_cap" title="" id="1" name="Picture"/>
            <a:graphic>
              <a:graphicData uri="http://schemas.openxmlformats.org/drawingml/2006/picture">
                <pic:pic>
                  <pic:nvPicPr>
                    <pic:cNvPr descr="../figures/fig_1-1.eps" id="0"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86" w:name="shb-n-progress"/>
      <w:r>
        <w:t xml:space="preserve">ShB N progress</w:t>
      </w:r>
      <w:bookmarkEnd w:id="86"/>
    </w:p>
    <w:p>
      <w:pPr>
        <w:pStyle w:val="FirstParagraph"/>
      </w:pPr>
      <w:r>
        <w:t xml:space="preserve">Fig.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Points represent the mean of four replications.</w:t>
      </w:r>
      <w:r>
        <w:t xml:space="preserve"> </w:t>
      </w:r>
      <w:r>
        <w:drawing>
          <wp:inline>
            <wp:extent cx="5943600" cy="5943600"/>
            <wp:effectExtent b="0" l="0" r="0" t="0"/>
            <wp:docPr descr="(#fig:fig_2)fig.2_cap" title="" id="1" name="Picture"/>
            <a:graphic>
              <a:graphicData uri="http://schemas.openxmlformats.org/drawingml/2006/picture">
                <pic:pic>
                  <pic:nvPicPr>
                    <pic:cNvPr descr="../figures/fig_2-1.eps" id="0" name="Picture"/>
                    <pic:cNvPicPr>
                      <a:picLocks noChangeArrowheads="1" noChangeAspect="1"/>
                    </pic:cNvPicPr>
                  </pic:nvPicPr>
                  <pic:blipFill>
                    <a:blip r:embed="rId87"/>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88" w:name="shb-boxplot---wmgt"/>
      <w:r>
        <w:t xml:space="preserve">ShB boxplot - WMGT</w:t>
      </w:r>
      <w:bookmarkEnd w:id="88"/>
    </w:p>
    <w:p>
      <w:pPr>
        <w:pStyle w:val="FirstParagraph"/>
      </w:pPr>
      <w:r>
        <w:t xml:space="preserve">Fig.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r>
        <w:t xml:space="preserve"> </w:t>
      </w:r>
      <w:r>
        <w:drawing>
          <wp:inline>
            <wp:extent cx="5943600" cy="5943600"/>
            <wp:effectExtent b="0" l="0" r="0" t="0"/>
            <wp:docPr descr="(#fig:fig_3)fig.3_cap" title="" id="1" name="Picture"/>
            <a:graphic>
              <a:graphicData uri="http://schemas.openxmlformats.org/drawingml/2006/picture">
                <pic:pic>
                  <pic:nvPicPr>
                    <pic:cNvPr descr="../figures/fig_3-1.eps" id="0" name="Picture"/>
                    <pic:cNvPicPr>
                      <a:picLocks noChangeArrowheads="1" noChangeAspect="1"/>
                    </pic:cNvPicPr>
                  </pic:nvPicPr>
                  <pic:blipFill>
                    <a:blip r:embed="rId89"/>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90" w:name="shb-boxplot---nrte"/>
      <w:r>
        <w:t xml:space="preserve">ShB boxplot - NRTE</w:t>
      </w:r>
      <w:bookmarkEnd w:id="90"/>
    </w:p>
    <w:p>
      <w:pPr>
        <w:pStyle w:val="FirstParagraph"/>
      </w:pPr>
      <w:r>
        <w:t xml:space="preserve">Fig.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r>
        <w:t xml:space="preserve"> </w:t>
      </w:r>
      <w:r>
        <w:drawing>
          <wp:inline>
            <wp:extent cx="5943600" cy="5943600"/>
            <wp:effectExtent b="0" l="0" r="0" t="0"/>
            <wp:docPr descr="(#fig:fig_4)fig.4_cap" title="" id="1" name="Picture"/>
            <a:graphic>
              <a:graphicData uri="http://schemas.openxmlformats.org/drawingml/2006/picture">
                <pic:pic>
                  <pic:nvPicPr>
                    <pic:cNvPr descr="../figures/fig_4-1.eps" id="0" name="Picture"/>
                    <pic:cNvPicPr>
                      <a:picLocks noChangeArrowheads="1" noChangeAspect="1"/>
                    </pic:cNvPicPr>
                  </pic:nvPicPr>
                  <pic:blipFill>
                    <a:blip r:embed="rId91"/>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92" w:name="tiller-estimates-plots"/>
      <w:r>
        <w:t xml:space="preserve">Tiller estimates plots</w:t>
      </w:r>
      <w:bookmarkEnd w:id="92"/>
    </w:p>
    <w:p>
      <w:pPr>
        <w:pStyle w:val="FirstParagraph"/>
      </w:pPr>
      <w:r>
        <w:t xml:space="preserve">Fig. 5: Posterior means and 95%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r>
        <w:t xml:space="preserve"> </w:t>
      </w:r>
      <w:r>
        <w:drawing>
          <wp:inline>
            <wp:extent cx="5943600" cy="5943600"/>
            <wp:effectExtent b="0" l="0" r="0" t="0"/>
            <wp:docPr descr="(#fig:fig_5)fig.5_cap" title="" id="1" name="Picture"/>
            <a:graphic>
              <a:graphicData uri="http://schemas.openxmlformats.org/drawingml/2006/picture">
                <pic:pic>
                  <pic:nvPicPr>
                    <pic:cNvPr descr="../figures/fig_5-1.eps" id="0" name="Picture"/>
                    <pic:cNvPicPr>
                      <a:picLocks noChangeArrowheads="1" noChangeAspect="1"/>
                    </pic:cNvPicPr>
                  </pic:nvPicPr>
                  <pic:blipFill>
                    <a:blip r:embed="rId93"/>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94" w:name="leaf-estimates-plots"/>
      <w:r>
        <w:t xml:space="preserve">Leaf estimates plots</w:t>
      </w:r>
      <w:bookmarkEnd w:id="94"/>
    </w:p>
    <w:p>
      <w:pPr>
        <w:pStyle w:val="FirstParagraph"/>
      </w:pPr>
      <w:r>
        <w:t xml:space="preserve">Fig. 6: Posterior means and 95%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r>
        <w:t xml:space="preserve"> </w:t>
      </w:r>
      <w:r>
        <w:drawing>
          <wp:inline>
            <wp:extent cx="5943600" cy="5943600"/>
            <wp:effectExtent b="0" l="0" r="0" t="0"/>
            <wp:docPr descr="(#fig:fig_6)fig.5_cap" title="" id="1" name="Picture"/>
            <a:graphic>
              <a:graphicData uri="http://schemas.openxmlformats.org/drawingml/2006/picture">
                <pic:pic>
                  <pic:nvPicPr>
                    <pic:cNvPr descr="../figures/fig_6-1.eps" id="0" name="Picture"/>
                    <pic:cNvPicPr>
                      <a:picLocks noChangeArrowheads="1" noChangeAspect="1"/>
                    </pic:cNvPicPr>
                  </pic:nvPicPr>
                  <pic:blipFill>
                    <a:blip r:embed="rId95"/>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96" w:name="pagebreak-3"/>
      <w:r>
        <w:t xml:space="preserve">pagebreak</w:t>
      </w:r>
      <w:bookmarkEnd w:id="96"/>
    </w:p>
    <w:p>
      <w:pPr>
        <w:pStyle w:val="Heading3"/>
      </w:pPr>
      <w:bookmarkStart w:id="97" w:name="colophon"/>
      <w:r>
        <w:t xml:space="preserve">Colophon</w:t>
      </w:r>
      <w:bookmarkEnd w:id="97"/>
    </w:p>
    <w:p>
      <w:pPr>
        <w:pStyle w:val="FirstParagraph"/>
      </w:pPr>
      <w:r>
        <w:t xml:space="preserve">This report was generated on 2018-07-07 12:08:29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darwin17.6.0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2018-07-07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3.5.1)</w:t>
      </w:r>
      <w:r>
        <w:br w:type="textWrapping"/>
      </w:r>
      <w:r>
        <w:rPr>
          <w:rStyle w:val="VerbatimChar"/>
        </w:rPr>
        <w:t xml:space="preserve">#&gt;  backports        1.1.2      2017-12-13 CRAN (R 3.5.1)</w:t>
      </w:r>
      <w:r>
        <w:br w:type="textWrapping"/>
      </w:r>
      <w:r>
        <w:rPr>
          <w:rStyle w:val="VerbatimChar"/>
        </w:rPr>
        <w:t xml:space="preserve">#&gt;  base           * 3.5.1      2018-07-03 local         </w:t>
      </w:r>
      <w:r>
        <w:br w:type="textWrapping"/>
      </w:r>
      <w:r>
        <w:rPr>
          <w:rStyle w:val="VerbatimChar"/>
        </w:rPr>
        <w:t xml:space="preserve">#&gt;  bindr            0.1.1      2018-03-13 CRAN (R 3.5.1)</w:t>
      </w:r>
      <w:r>
        <w:br w:type="textWrapping"/>
      </w:r>
      <w:r>
        <w:rPr>
          <w:rStyle w:val="VerbatimChar"/>
        </w:rPr>
        <w:t xml:space="preserve">#&gt;  bindrcpp         0.2.2      2018-03-29 CRAN (R 3.5.1)</w:t>
      </w:r>
      <w:r>
        <w:br w:type="textWrapping"/>
      </w:r>
      <w:r>
        <w:rPr>
          <w:rStyle w:val="VerbatimChar"/>
        </w:rPr>
        <w:t xml:space="preserve">#&gt;  bookdown       * 0.7        2018-02-18 CRAN (R 3.5.1)</w:t>
      </w:r>
      <w:r>
        <w:br w:type="textWrapping"/>
      </w:r>
      <w:r>
        <w:rPr>
          <w:rStyle w:val="VerbatimChar"/>
        </w:rPr>
        <w:t xml:space="preserve">#&gt;  captioner      * 2.2.3      2015-07-16 CRAN (R 3.5.1)</w:t>
      </w:r>
      <w:r>
        <w:br w:type="textWrapping"/>
      </w:r>
      <w:r>
        <w:rPr>
          <w:rStyle w:val="VerbatimChar"/>
        </w:rPr>
        <w:t xml:space="preserve">#&gt;  coda           * 0.19-1     2016-12-08 CRAN (R 3.5.1)</w:t>
      </w:r>
      <w:r>
        <w:br w:type="textWrapping"/>
      </w:r>
      <w:r>
        <w:rPr>
          <w:rStyle w:val="VerbatimChar"/>
        </w:rPr>
        <w:t xml:space="preserve">#&gt;  colorspace       1.3-2      2016-12-14 CRAN (R 3.5.1)</w:t>
      </w:r>
      <w:r>
        <w:br w:type="textWrapping"/>
      </w:r>
      <w:r>
        <w:rPr>
          <w:rStyle w:val="VerbatimChar"/>
        </w:rPr>
        <w:t xml:space="preserve">#&gt;  compiler         3.5.1      2018-07-03 local         </w:t>
      </w:r>
      <w:r>
        <w:br w:type="textWrapping"/>
      </w:r>
      <w:r>
        <w:rPr>
          <w:rStyle w:val="VerbatimChar"/>
        </w:rPr>
        <w:t xml:space="preserve">#&gt;  datasets       * 3.5.1      2018-07-03 local         </w:t>
      </w:r>
      <w:r>
        <w:br w:type="textWrapping"/>
      </w:r>
      <w:r>
        <w:rPr>
          <w:rStyle w:val="VerbatimChar"/>
        </w:rPr>
        <w:t xml:space="preserve">#&gt;  devtools         1.13.6     2018-06-27 CRAN (R 3.5.1)</w:t>
      </w:r>
      <w:r>
        <w:br w:type="textWrapping"/>
      </w:r>
      <w:r>
        <w:rPr>
          <w:rStyle w:val="VerbatimChar"/>
        </w:rPr>
        <w:t xml:space="preserve">#&gt;  digest           0.6.15     2018-01-28 CRAN (R 3.5.1)</w:t>
      </w:r>
      <w:r>
        <w:br w:type="textWrapping"/>
      </w:r>
      <w:r>
        <w:rPr>
          <w:rStyle w:val="VerbatimChar"/>
        </w:rPr>
        <w:t xml:space="preserve">#&gt;  dplyr            0.7.6      2018-06-29 CRAN (R 3.5.1)</w:t>
      </w:r>
      <w:r>
        <w:br w:type="textWrapping"/>
      </w:r>
      <w:r>
        <w:rPr>
          <w:rStyle w:val="VerbatimChar"/>
        </w:rPr>
        <w:t xml:space="preserve">#&gt;  evaluate         0.10.1     2017-06-24 CRAN (R 3.5.1)</w:t>
      </w:r>
      <w:r>
        <w:br w:type="textWrapping"/>
      </w:r>
      <w:r>
        <w:rPr>
          <w:rStyle w:val="VerbatimChar"/>
        </w:rPr>
        <w:t xml:space="preserve">#&gt;  ggplot2        * 3.0.0      2018-07-03 cran (@3.0.0) </w:t>
      </w:r>
      <w:r>
        <w:br w:type="textWrapping"/>
      </w:r>
      <w:r>
        <w:rPr>
          <w:rStyle w:val="VerbatimChar"/>
        </w:rPr>
        <w:t xml:space="preserve">#&gt;  ggpubr         * 0.1.7      2018-06-23 CRAN (R 3.5.1)</w:t>
      </w:r>
      <w:r>
        <w:br w:type="textWrapping"/>
      </w:r>
      <w:r>
        <w:rPr>
          <w:rStyle w:val="VerbatimChar"/>
        </w:rPr>
        <w:t xml:space="preserve">#&gt;  glue             1.2.0      2017-10-29 CRAN (R 3.5.1)</w:t>
      </w:r>
      <w:r>
        <w:br w:type="textWrapping"/>
      </w:r>
      <w:r>
        <w:rPr>
          <w:rStyle w:val="VerbatimChar"/>
        </w:rPr>
        <w:t xml:space="preserve">#&gt;  graphics       * 3.5.1      2018-07-03 local         </w:t>
      </w:r>
      <w:r>
        <w:br w:type="textWrapping"/>
      </w:r>
      <w:r>
        <w:rPr>
          <w:rStyle w:val="VerbatimChar"/>
        </w:rPr>
        <w:t xml:space="preserve">#&gt;  grDevices      * 3.5.1      2018-07-03 local         </w:t>
      </w:r>
      <w:r>
        <w:br w:type="textWrapping"/>
      </w:r>
      <w:r>
        <w:rPr>
          <w:rStyle w:val="VerbatimChar"/>
        </w:rPr>
        <w:t xml:space="preserve">#&gt;  grid           * 3.5.1      2018-07-03 local         </w:t>
      </w:r>
      <w:r>
        <w:br w:type="textWrapping"/>
      </w:r>
      <w:r>
        <w:rPr>
          <w:rStyle w:val="VerbatimChar"/>
        </w:rPr>
        <w:t xml:space="preserve">#&gt;  gridExtra      * 2.3        2017-09-09 CRAN (R 3.5.1)</w:t>
      </w:r>
      <w:r>
        <w:br w:type="textWrapping"/>
      </w:r>
      <w:r>
        <w:rPr>
          <w:rStyle w:val="VerbatimChar"/>
        </w:rPr>
        <w:t xml:space="preserve">#&gt;  gtable           0.2.0      2016-02-26 CRAN (R 3.5.1)</w:t>
      </w:r>
      <w:r>
        <w:br w:type="textWrapping"/>
      </w:r>
      <w:r>
        <w:rPr>
          <w:rStyle w:val="VerbatimChar"/>
        </w:rPr>
        <w:t xml:space="preserve">#&gt;  highr            0.7        2018-06-09 CRAN (R 3.5.1)</w:t>
      </w:r>
      <w:r>
        <w:br w:type="textWrapping"/>
      </w:r>
      <w:r>
        <w:rPr>
          <w:rStyle w:val="VerbatimChar"/>
        </w:rPr>
        <w:t xml:space="preserve">#&gt;  htmltools        0.3.6      2017-04-28 CRAN (R 3.5.1)</w:t>
      </w:r>
      <w:r>
        <w:br w:type="textWrapping"/>
      </w:r>
      <w:r>
        <w:rPr>
          <w:rStyle w:val="VerbatimChar"/>
        </w:rPr>
        <w:t xml:space="preserve">#&gt;  knitr          * 1.20       2018-02-20 CRAN (R 3.5.1)</w:t>
      </w:r>
      <w:r>
        <w:br w:type="textWrapping"/>
      </w:r>
      <w:r>
        <w:rPr>
          <w:rStyle w:val="VerbatimChar"/>
        </w:rPr>
        <w:t xml:space="preserve">#&gt;  labeling         0.3        2014-08-23 CRAN (R 3.5.1)</w:t>
      </w:r>
      <w:r>
        <w:br w:type="textWrapping"/>
      </w:r>
      <w:r>
        <w:rPr>
          <w:rStyle w:val="VerbatimChar"/>
        </w:rPr>
        <w:t xml:space="preserve">#&gt;  lattice          0.20-35    2017-03-25 CRAN (R 3.5.1)</w:t>
      </w:r>
      <w:r>
        <w:br w:type="textWrapping"/>
      </w:r>
      <w:r>
        <w:rPr>
          <w:rStyle w:val="VerbatimChar"/>
        </w:rPr>
        <w:t xml:space="preserve">#&gt;  lazyeval         0.2.1      2017-10-29 CRAN (R 3.5.1)</w:t>
      </w:r>
      <w:r>
        <w:br w:type="textWrapping"/>
      </w:r>
      <w:r>
        <w:rPr>
          <w:rStyle w:val="VerbatimChar"/>
        </w:rPr>
        <w:t xml:space="preserve">#&gt;  magrittr       * 1.5        2014-11-22 CRAN (R 3.5.1)</w:t>
      </w:r>
      <w:r>
        <w:br w:type="textWrapping"/>
      </w:r>
      <w:r>
        <w:rPr>
          <w:rStyle w:val="VerbatimChar"/>
        </w:rPr>
        <w:t xml:space="preserve">#&gt;  memoise          1.1.0      2017-04-21 CRAN (R 3.5.1)</w:t>
      </w:r>
      <w:r>
        <w:br w:type="textWrapping"/>
      </w:r>
      <w:r>
        <w:rPr>
          <w:rStyle w:val="VerbatimChar"/>
        </w:rPr>
        <w:t xml:space="preserve">#&gt;  methods        * 3.5.1      2018-07-03 local         </w:t>
      </w:r>
      <w:r>
        <w:br w:type="textWrapping"/>
      </w:r>
      <w:r>
        <w:rPr>
          <w:rStyle w:val="VerbatimChar"/>
        </w:rPr>
        <w:t xml:space="preserve">#&gt;  munsell          0.5.0      2018-06-12 CRAN (R 3.5.1)</w:t>
      </w:r>
      <w:r>
        <w:br w:type="textWrapping"/>
      </w:r>
      <w:r>
        <w:rPr>
          <w:rStyle w:val="VerbatimChar"/>
        </w:rPr>
        <w:t xml:space="preserve">#&gt;  pillar           1.2.3      2018-05-25 CRAN (R 3.5.1)</w:t>
      </w:r>
      <w:r>
        <w:br w:type="textWrapping"/>
      </w:r>
      <w:r>
        <w:rPr>
          <w:rStyle w:val="VerbatimChar"/>
        </w:rPr>
        <w:t xml:space="preserve">#&gt;  pkgconfig        2.0.1      2017-03-21 CRAN (R 3.5.1)</w:t>
      </w:r>
      <w:r>
        <w:br w:type="textWrapping"/>
      </w:r>
      <w:r>
        <w:rPr>
          <w:rStyle w:val="VerbatimChar"/>
        </w:rPr>
        <w:t xml:space="preserve">#&gt;  plyr             1.8.4      2016-06-08 CRAN (R 3.5.1)</w:t>
      </w:r>
      <w:r>
        <w:br w:type="textWrapping"/>
      </w:r>
      <w:r>
        <w:rPr>
          <w:rStyle w:val="VerbatimChar"/>
        </w:rPr>
        <w:t xml:space="preserve">#&gt;  purrr            0.2.5      2018-05-29 CRAN (R 3.5.1)</w:t>
      </w:r>
      <w:r>
        <w:br w:type="textWrapping"/>
      </w:r>
      <w:r>
        <w:rPr>
          <w:rStyle w:val="VerbatimChar"/>
        </w:rPr>
        <w:t xml:space="preserve">#&gt;  R6               2.2.2      2017-06-17 CRAN (R 3.5.1)</w:t>
      </w:r>
      <w:r>
        <w:br w:type="textWrapping"/>
      </w:r>
      <w:r>
        <w:rPr>
          <w:rStyle w:val="VerbatimChar"/>
        </w:rPr>
        <w:t xml:space="preserve">#&gt;  Rcpp             0.12.17    2018-05-18 CRAN (R 3.5.1)</w:t>
      </w:r>
      <w:r>
        <w:br w:type="textWrapping"/>
      </w:r>
      <w:r>
        <w:rPr>
          <w:rStyle w:val="VerbatimChar"/>
        </w:rPr>
        <w:t xml:space="preserve">#&gt;  reshape2         1.4.3      2017-12-11 CRAN (R 3.5.1)</w:t>
      </w:r>
      <w:r>
        <w:br w:type="textWrapping"/>
      </w:r>
      <w:r>
        <w:rPr>
          <w:rStyle w:val="VerbatimChar"/>
        </w:rPr>
        <w:t xml:space="preserve">#&gt;  rice.awd.pests * 0.0.0.9000 2018-07-07 local         </w:t>
      </w:r>
      <w:r>
        <w:br w:type="textWrapping"/>
      </w:r>
      <w:r>
        <w:rPr>
          <w:rStyle w:val="VerbatimChar"/>
        </w:rPr>
        <w:t xml:space="preserve">#&gt;  rlang            0.2.1      2018-05-30 CRAN (R 3.5.1)</w:t>
      </w:r>
      <w:r>
        <w:br w:type="textWrapping"/>
      </w:r>
      <w:r>
        <w:rPr>
          <w:rStyle w:val="VerbatimChar"/>
        </w:rPr>
        <w:t xml:space="preserve">#&gt;  rmarkdown        1.10       2018-06-11 CRAN (R 3.5.1)</w:t>
      </w:r>
      <w:r>
        <w:br w:type="textWrapping"/>
      </w:r>
      <w:r>
        <w:rPr>
          <w:rStyle w:val="VerbatimChar"/>
        </w:rPr>
        <w:t xml:space="preserve">#&gt;  rprojroot        1.3-2      2018-01-03 CRAN (R 3.5.1)</w:t>
      </w:r>
      <w:r>
        <w:br w:type="textWrapping"/>
      </w:r>
      <w:r>
        <w:rPr>
          <w:rStyle w:val="VerbatimChar"/>
        </w:rPr>
        <w:t xml:space="preserve">#&gt;  scales           0.5.0      2017-08-24 CRAN (R 3.5.1)</w:t>
      </w:r>
      <w:r>
        <w:br w:type="textWrapping"/>
      </w:r>
      <w:r>
        <w:rPr>
          <w:rStyle w:val="VerbatimChar"/>
        </w:rPr>
        <w:t xml:space="preserve">#&gt;  stats          * 3.5.1      2018-07-03 local         </w:t>
      </w:r>
      <w:r>
        <w:br w:type="textWrapping"/>
      </w:r>
      <w:r>
        <w:rPr>
          <w:rStyle w:val="VerbatimChar"/>
        </w:rPr>
        <w:t xml:space="preserve">#&gt;  stringi          1.2.3      2018-06-12 CRAN (R 3.5.1)</w:t>
      </w:r>
      <w:r>
        <w:br w:type="textWrapping"/>
      </w:r>
      <w:r>
        <w:rPr>
          <w:rStyle w:val="VerbatimChar"/>
        </w:rPr>
        <w:t xml:space="preserve">#&gt;  stringr          1.3.1      2018-05-10 CRAN (R 3.5.1)</w:t>
      </w:r>
      <w:r>
        <w:br w:type="textWrapping"/>
      </w:r>
      <w:r>
        <w:rPr>
          <w:rStyle w:val="VerbatimChar"/>
        </w:rPr>
        <w:t xml:space="preserve">#&gt;  tibble           1.4.2      2018-01-22 CRAN (R 3.5.1)</w:t>
      </w:r>
      <w:r>
        <w:br w:type="textWrapping"/>
      </w:r>
      <w:r>
        <w:rPr>
          <w:rStyle w:val="VerbatimChar"/>
        </w:rPr>
        <w:t xml:space="preserve">#&gt;  tidyselect       0.2.4      2018-02-26 CRAN (R 3.5.1)</w:t>
      </w:r>
      <w:r>
        <w:br w:type="textWrapping"/>
      </w:r>
      <w:r>
        <w:rPr>
          <w:rStyle w:val="VerbatimChar"/>
        </w:rPr>
        <w:t xml:space="preserve">#&gt;  tools            3.5.1      2018-07-03 local         </w:t>
      </w:r>
      <w:r>
        <w:br w:type="textWrapping"/>
      </w:r>
      <w:r>
        <w:rPr>
          <w:rStyle w:val="VerbatimChar"/>
        </w:rPr>
        <w:t xml:space="preserve">#&gt;  utils          * 3.5.1      2018-07-03 local         </w:t>
      </w:r>
      <w:r>
        <w:br w:type="textWrapping"/>
      </w:r>
      <w:r>
        <w:rPr>
          <w:rStyle w:val="VerbatimChar"/>
        </w:rPr>
        <w:t xml:space="preserve">#&gt;  withr            2.1.2      2018-03-15 CRAN (R 3.5.1)</w:t>
      </w:r>
      <w:r>
        <w:br w:type="textWrapping"/>
      </w:r>
      <w:r>
        <w:rPr>
          <w:rStyle w:val="VerbatimChar"/>
        </w:rPr>
        <w:t xml:space="preserve">#&gt;  xfun             0.3        2018-07-06 cran (@0.3)   </w:t>
      </w:r>
      <w:r>
        <w:br w:type="textWrapping"/>
      </w:r>
      <w:r>
        <w:rPr>
          <w:rStyle w:val="VerbatimChar"/>
        </w:rPr>
        <w:t xml:space="preserve">#&gt;  yaml             2.1.19     2018-05-01 CRAN (R 3.5.1)</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[1f849ef] 2018-07-07: Correct function names for plotting estimates for paper</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eps" /><Relationship Type="http://schemas.openxmlformats.org/officeDocument/2006/relationships/image" Id="rId87" Target="media/rId87.eps" /><Relationship Type="http://schemas.openxmlformats.org/officeDocument/2006/relationships/image" Id="rId89" Target="media/rId89.eps" /><Relationship Type="http://schemas.openxmlformats.org/officeDocument/2006/relationships/image" Id="rId91" Target="media/rId91.eps" /><Relationship Type="http://schemas.openxmlformats.org/officeDocument/2006/relationships/image" Id="rId93" Target="media/rId93.eps" /><Relationship Type="http://schemas.openxmlformats.org/officeDocument/2006/relationships/image" Id="rId95" Target="media/rId95.eps" /><Relationship Type="http://schemas.openxmlformats.org/officeDocument/2006/relationships/hyperlink" Id="rId55" Target="http://www.jstatsoft.org/v33/i02/"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74"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58" Target="https://doi.org/10.1016/j.agwat.2006.10.006" TargetMode="External" /><Relationship Type="http://schemas.openxmlformats.org/officeDocument/2006/relationships/hyperlink" Id="rId78"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3" Target="https://journal.r-project.org/archive/" TargetMode="External" /><Relationship Type="http://schemas.openxmlformats.org/officeDocument/2006/relationships/hyperlink" Id="rId6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5" Target="http://www.jstatsoft.org/v33/i02/"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74"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58" Target="https://doi.org/10.1016/j.agwat.2006.10.006" TargetMode="External" /><Relationship Type="http://schemas.openxmlformats.org/officeDocument/2006/relationships/hyperlink" Id="rId78"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3" Target="https://journal.r-project.org/archive/" TargetMode="External" /><Relationship Type="http://schemas.openxmlformats.org/officeDocument/2006/relationships/hyperlink" Id="rId65"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2018-07-07T02:08:34Z</dcterms:created>
  <dcterms:modified xsi:type="dcterms:W3CDTF">2018-07-07T02:08:34Z</dcterms:modified>
</cp:coreProperties>
</file>