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 </w:t>
      </w:r>
      <w:r>
        <w:t xml:space="preserve">(Sparks</w:t>
      </w:r>
      <w:r>
        <w:t xml:space="preserve"> </w:t>
      </w:r>
      <w:r>
        <w:t xml:space="preserve">et</w:t>
      </w:r>
      <w:r>
        <w:t xml:space="preserve"> </w:t>
      </w:r>
      <w:r>
        <w:t xml:space="preserve">al.</w:t>
      </w:r>
      <w:r>
        <w:t xml:space="preserve"> </w:t>
      </w:r>
      <w:r>
        <w:t xml:space="preserve">2018)</w:t>
      </w:r>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2018-11-02 18:26:37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Asia/Manila                 </w:t>
      </w:r>
      <w:r>
        <w:br w:type="textWrapping"/>
      </w:r>
      <w:r>
        <w:rPr>
          <w:rStyle w:val="VerbatimChar"/>
        </w:rPr>
        <w:t xml:space="preserve">#&gt;  date     2018-11-02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0.2.0      2017-04-11 [1]</w:t>
      </w:r>
      <w:r>
        <w:br w:type="textWrapping"/>
      </w:r>
      <w:r>
        <w:rPr>
          <w:rStyle w:val="VerbatimChar"/>
        </w:rPr>
        <w:t xml:space="preserve">#&gt;  backports        1.1.2      2017-12-13 [1]</w:t>
      </w:r>
      <w:r>
        <w:br w:type="textWrapping"/>
      </w:r>
      <w:r>
        <w:rPr>
          <w:rStyle w:val="VerbatimChar"/>
        </w:rPr>
        <w:t xml:space="preserve">#&gt;  bindr            0.1.1      2018-03-13 [1]</w:t>
      </w:r>
      <w:r>
        <w:br w:type="textWrapping"/>
      </w:r>
      <w:r>
        <w:rPr>
          <w:rStyle w:val="VerbatimChar"/>
        </w:rPr>
        <w:t xml:space="preserve">#&gt;  bindrcpp         0.2.2      2018-03-29 [1]</w:t>
      </w:r>
      <w:r>
        <w:br w:type="textWrapping"/>
      </w:r>
      <w:r>
        <w:rPr>
          <w:rStyle w:val="VerbatimChar"/>
        </w:rPr>
        <w:t xml:space="preserve">#&gt;  bookdown       * 0.7        2018-02-18 [1]</w:t>
      </w:r>
      <w:r>
        <w:br w:type="textWrapping"/>
      </w:r>
      <w:r>
        <w:rPr>
          <w:rStyle w:val="VerbatimChar"/>
        </w:rPr>
        <w:t xml:space="preserve">#&gt;  cli              1.0.1      2018-09-25 [1]</w:t>
      </w:r>
      <w:r>
        <w:br w:type="textWrapping"/>
      </w:r>
      <w:r>
        <w:rPr>
          <w:rStyle w:val="VerbatimChar"/>
        </w:rPr>
        <w:t xml:space="preserve">#&gt;  coda           * 0.19-2     2018-10-08 [1]</w:t>
      </w:r>
      <w:r>
        <w:br w:type="textWrapping"/>
      </w:r>
      <w:r>
        <w:rPr>
          <w:rStyle w:val="VerbatimChar"/>
        </w:rPr>
        <w:t xml:space="preserve">#&gt;  colorout       * 1.2-0      2018-10-17 [1]</w:t>
      </w:r>
      <w:r>
        <w:br w:type="textWrapping"/>
      </w:r>
      <w:r>
        <w:rPr>
          <w:rStyle w:val="VerbatimChar"/>
        </w:rPr>
        <w:t xml:space="preserve">#&gt;  colorspace       1.3-2      2016-12-14 [1]</w:t>
      </w:r>
      <w:r>
        <w:br w:type="textWrapping"/>
      </w:r>
      <w:r>
        <w:rPr>
          <w:rStyle w:val="VerbatimChar"/>
        </w:rPr>
        <w:t xml:space="preserve">#&gt;  crayon           1.3.4      2017-09-16 [1]</w:t>
      </w:r>
      <w:r>
        <w:br w:type="textWrapping"/>
      </w:r>
      <w:r>
        <w:rPr>
          <w:rStyle w:val="VerbatimChar"/>
        </w:rPr>
        <w:t xml:space="preserve">#&gt;  digest           0.6.18     2018-10-10 [1]</w:t>
      </w:r>
      <w:r>
        <w:br w:type="textWrapping"/>
      </w:r>
      <w:r>
        <w:rPr>
          <w:rStyle w:val="VerbatimChar"/>
        </w:rPr>
        <w:t xml:space="preserve">#&gt;  dplyr            0.7.7      2018-10-16 [1]</w:t>
      </w:r>
      <w:r>
        <w:br w:type="textWrapping"/>
      </w:r>
      <w:r>
        <w:rPr>
          <w:rStyle w:val="VerbatimChar"/>
        </w:rPr>
        <w:t xml:space="preserve">#&gt;  evaluate         0.12       2018-10-09 [1]</w:t>
      </w:r>
      <w:r>
        <w:br w:type="textWrapping"/>
      </w:r>
      <w:r>
        <w:rPr>
          <w:rStyle w:val="VerbatimChar"/>
        </w:rPr>
        <w:t xml:space="preserve">#&gt;  ggplot2        * 3.1.0      2018-10-25 [1]</w:t>
      </w:r>
      <w:r>
        <w:br w:type="textWrapping"/>
      </w:r>
      <w:r>
        <w:rPr>
          <w:rStyle w:val="VerbatimChar"/>
        </w:rPr>
        <w:t xml:space="preserve">#&gt;  ggpubr         * 0.1.8      2018-08-30 [1]</w:t>
      </w:r>
      <w:r>
        <w:br w:type="textWrapping"/>
      </w:r>
      <w:r>
        <w:rPr>
          <w:rStyle w:val="VerbatimChar"/>
        </w:rPr>
        <w:t xml:space="preserve">#&gt;  glue             1.3.0      2018-07-17 [1]</w:t>
      </w:r>
      <w:r>
        <w:br w:type="textWrapping"/>
      </w:r>
      <w:r>
        <w:rPr>
          <w:rStyle w:val="VerbatimChar"/>
        </w:rPr>
        <w:t xml:space="preserve">#&gt;  gridExtra      * 2.3        2017-09-09 [1]</w:t>
      </w:r>
      <w:r>
        <w:br w:type="textWrapping"/>
      </w:r>
      <w:r>
        <w:rPr>
          <w:rStyle w:val="VerbatimChar"/>
        </w:rPr>
        <w:t xml:space="preserve">#&gt;  gtable           0.2.0      2016-02-26 [1]</w:t>
      </w:r>
      <w:r>
        <w:br w:type="textWrapping"/>
      </w:r>
      <w:r>
        <w:rPr>
          <w:rStyle w:val="VerbatimChar"/>
        </w:rPr>
        <w:t xml:space="preserve">#&gt;  highr            0.7        2018-06-09 [1]</w:t>
      </w:r>
      <w:r>
        <w:br w:type="textWrapping"/>
      </w:r>
      <w:r>
        <w:rPr>
          <w:rStyle w:val="VerbatimChar"/>
        </w:rPr>
        <w:t xml:space="preserve">#&gt;  htmltools        0.3.6      2017-04-28 [1]</w:t>
      </w:r>
      <w:r>
        <w:br w:type="textWrapping"/>
      </w:r>
      <w:r>
        <w:rPr>
          <w:rStyle w:val="VerbatimChar"/>
        </w:rPr>
        <w:t xml:space="preserve">#&gt;  knitr          * 1.20       2018-02-20 [1]</w:t>
      </w:r>
      <w:r>
        <w:br w:type="textWrapping"/>
      </w:r>
      <w:r>
        <w:rPr>
          <w:rStyle w:val="VerbatimChar"/>
        </w:rPr>
        <w:t xml:space="preserve">#&gt;  labeling         0.3        2014-08-23 [1]</w:t>
      </w:r>
      <w:r>
        <w:br w:type="textWrapping"/>
      </w:r>
      <w:r>
        <w:rPr>
          <w:rStyle w:val="VerbatimChar"/>
        </w:rPr>
        <w:t xml:space="preserve">#&gt;  lattice          0.20-35    2017-03-25 [2]</w:t>
      </w:r>
      <w:r>
        <w:br w:type="textWrapping"/>
      </w:r>
      <w:r>
        <w:rPr>
          <w:rStyle w:val="VerbatimChar"/>
        </w:rPr>
        <w:t xml:space="preserve">#&gt;  lazyeval         0.2.1      2017-10-29 [1]</w:t>
      </w:r>
      <w:r>
        <w:br w:type="textWrapping"/>
      </w:r>
      <w:r>
        <w:rPr>
          <w:rStyle w:val="VerbatimChar"/>
        </w:rPr>
        <w:t xml:space="preserve">#&gt;  magrittr       * 1.5        2014-11-22 [1]</w:t>
      </w:r>
      <w:r>
        <w:br w:type="textWrapping"/>
      </w:r>
      <w:r>
        <w:rPr>
          <w:rStyle w:val="VerbatimChar"/>
        </w:rPr>
        <w:t xml:space="preserve">#&gt;  munsell          0.5.0      2018-06-12 [1]</w:t>
      </w:r>
      <w:r>
        <w:br w:type="textWrapping"/>
      </w:r>
      <w:r>
        <w:rPr>
          <w:rStyle w:val="VerbatimChar"/>
        </w:rPr>
        <w:t xml:space="preserve">#&gt;  pillar           1.3.0      2018-07-14 [1]</w:t>
      </w:r>
      <w:r>
        <w:br w:type="textWrapping"/>
      </w:r>
      <w:r>
        <w:rPr>
          <w:rStyle w:val="VerbatimChar"/>
        </w:rPr>
        <w:t xml:space="preserve">#&gt;  pkgconfig        2.0.2      2018-08-16 [1]</w:t>
      </w:r>
      <w:r>
        <w:br w:type="textWrapping"/>
      </w:r>
      <w:r>
        <w:rPr>
          <w:rStyle w:val="VerbatimChar"/>
        </w:rPr>
        <w:t xml:space="preserve">#&gt;  plyr             1.8.4      2016-06-08 [1]</w:t>
      </w:r>
      <w:r>
        <w:br w:type="textWrapping"/>
      </w:r>
      <w:r>
        <w:rPr>
          <w:rStyle w:val="VerbatimChar"/>
        </w:rPr>
        <w:t xml:space="preserve">#&gt;  purrr            0.2.5      2018-05-29 [1]</w:t>
      </w:r>
      <w:r>
        <w:br w:type="textWrapping"/>
      </w:r>
      <w:r>
        <w:rPr>
          <w:rStyle w:val="VerbatimChar"/>
        </w:rPr>
        <w:t xml:space="preserve">#&gt;  R6               2.3.0      2018-10-04 [1]</w:t>
      </w:r>
      <w:r>
        <w:br w:type="textWrapping"/>
      </w:r>
      <w:r>
        <w:rPr>
          <w:rStyle w:val="VerbatimChar"/>
        </w:rPr>
        <w:t xml:space="preserve">#&gt;  Rcpp             0.12.19    2018-10-01 [1]</w:t>
      </w:r>
      <w:r>
        <w:br w:type="textWrapping"/>
      </w:r>
      <w:r>
        <w:rPr>
          <w:rStyle w:val="VerbatimChar"/>
        </w:rPr>
        <w:t xml:space="preserve">#&gt;  reshape2         1.4.3      2017-12-11 [1]</w:t>
      </w:r>
      <w:r>
        <w:br w:type="textWrapping"/>
      </w:r>
      <w:r>
        <w:rPr>
          <w:rStyle w:val="VerbatimChar"/>
        </w:rPr>
        <w:t xml:space="preserve">#&gt;  rice.awd.pests * 0.0.0.9000 2018-11-02 [1]</w:t>
      </w:r>
      <w:r>
        <w:br w:type="textWrapping"/>
      </w:r>
      <w:r>
        <w:rPr>
          <w:rStyle w:val="VerbatimChar"/>
        </w:rPr>
        <w:t xml:space="preserve">#&gt;  rlang            0.3.0.1    2018-10-25 [1]</w:t>
      </w:r>
      <w:r>
        <w:br w:type="textWrapping"/>
      </w:r>
      <w:r>
        <w:rPr>
          <w:rStyle w:val="VerbatimChar"/>
        </w:rPr>
        <w:t xml:space="preserve">#&gt;  rmarkdown        1.10       2018-06-11 [1]</w:t>
      </w:r>
      <w:r>
        <w:br w:type="textWrapping"/>
      </w:r>
      <w:r>
        <w:rPr>
          <w:rStyle w:val="VerbatimChar"/>
        </w:rPr>
        <w:t xml:space="preserve">#&gt;  rprojroot        1.3-2      2018-01-03 [1]</w:t>
      </w:r>
      <w:r>
        <w:br w:type="textWrapping"/>
      </w:r>
      <w:r>
        <w:rPr>
          <w:rStyle w:val="VerbatimChar"/>
        </w:rPr>
        <w:t xml:space="preserve">#&gt;  scales           1.0.0      2018-08-09 [1]</w:t>
      </w:r>
      <w:r>
        <w:br w:type="textWrapping"/>
      </w:r>
      <w:r>
        <w:rPr>
          <w:rStyle w:val="VerbatimChar"/>
        </w:rPr>
        <w:t xml:space="preserve">#&gt;  sessioninfo      1.1.0      2018-09-25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tibble           1.4.2      2018-01-22 [1]</w:t>
      </w:r>
      <w:r>
        <w:br w:type="textWrapping"/>
      </w:r>
      <w:r>
        <w:rPr>
          <w:rStyle w:val="VerbatimChar"/>
        </w:rPr>
        <w:t xml:space="preserve">#&gt;  tidyselect       0.2.5      2018-10-11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(jalvesaq/colorout@cc5fbfa)</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/Users/asparks/Library/R/3.x/library</w:t>
      </w:r>
      <w:r>
        <w:br w:type="textWrapping"/>
      </w:r>
      <w:r>
        <w:rPr>
          <w:rStyle w:val="VerbatimChar"/>
        </w:rPr>
        <w:t xml:space="preserve">#&gt; [2] /usr/local/Cellar/r/3.5.1/lib/R/library</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[2d16ab4] 2018-11-02: Update DOCKER instructions in README</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2018-11-02T10:26:45Z</dcterms:created>
  <dcterms:modified xsi:type="dcterms:W3CDTF">2018-11-02T10:26:45Z</dcterms:modified>
</cp:coreProperties>
</file>