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eps" ContentType="application/eps"/>
  <Override PartName="/word/media/rId92.eps" ContentType="application/eps"/>
  <Override PartName="/word/media/rId94.eps" ContentType="application/eps"/>
  <Override PartName="/word/media/rId96.eps" ContentType="application/eps"/>
  <Override PartName="/word/media/rId98.eps" ContentType="application/eps"/>
  <Override PartName="/word/media/rId100.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r>
        <w:t xml:space="preserve"> </w:t>
      </w:r>
      <w:r>
        <w:t xml:space="preserve">All</w:t>
      </w:r>
      <w:r>
        <w:t xml:space="preserve"> </w:t>
      </w:r>
      <w:r>
        <w:t xml:space="preserve">data</w:t>
      </w:r>
      <w:r>
        <w:t xml:space="preserve"> </w:t>
      </w:r>
      <w:r>
        <w:t xml:space="preserve">generated</w:t>
      </w:r>
      <w:r>
        <w:t xml:space="preserve"> </w:t>
      </w:r>
      <w:r>
        <w:t xml:space="preserve">from</w:t>
      </w:r>
      <w:r>
        <w:t xml:space="preserve"> </w:t>
      </w:r>
      <w:r>
        <w:t xml:space="preserve">this</w:t>
      </w:r>
      <w:r>
        <w:t xml:space="preserve"> </w:t>
      </w:r>
      <w:r>
        <w:t xml:space="preserve">project</w:t>
      </w:r>
      <w:r>
        <w:t xml:space="preserve"> </w:t>
      </w:r>
      <w:r>
        <w:t xml:space="preserve">and</w:t>
      </w:r>
      <w:r>
        <w:t xml:space="preserve"> </w:t>
      </w:r>
      <w:r>
        <w:t xml:space="preserve">code</w:t>
      </w:r>
      <w:r>
        <w:t xml:space="preserve"> </w:t>
      </w:r>
      <w:r>
        <w:t xml:space="preserve">used</w:t>
      </w:r>
      <w:r>
        <w:t xml:space="preserve"> </w:t>
      </w:r>
      <w:r>
        <w:t xml:space="preserve">for</w:t>
      </w:r>
      <w:r>
        <w:t xml:space="preserve"> </w:t>
      </w:r>
      <w:r>
        <w:t xml:space="preserve">analysis</w:t>
      </w:r>
      <w:r>
        <w:t xml:space="preserve"> </w:t>
      </w:r>
      <w:r>
        <w:t xml:space="preserve">are</w:t>
      </w:r>
      <w:r>
        <w:t xml:space="preserve"> </w:t>
      </w:r>
      <w:r>
        <w:t xml:space="preserve">available</w:t>
      </w:r>
      <w:r>
        <w:t xml:space="preserve"> </w:t>
      </w:r>
      <w:r>
        <w:t xml:space="preserve">as</w:t>
      </w:r>
      <w:r>
        <w:t xml:space="preserve"> </w:t>
      </w:r>
      <w:r>
        <w:t xml:space="preserve">a</w:t>
      </w:r>
      <w:r>
        <w:t xml:space="preserve"> </w:t>
      </w:r>
      <w:r>
        <w:t xml:space="preserve">reproducible</w:t>
      </w:r>
      <w:r>
        <w:t xml:space="preserve"> </w:t>
      </w:r>
      <w:r>
        <w:t xml:space="preserve">research</w:t>
      </w:r>
      <w:r>
        <w:t xml:space="preserve"> </w:t>
      </w:r>
      <w:r>
        <w:t xml:space="preserve">compendium</w:t>
      </w:r>
      <w:r>
        <w:t xml:space="preserve"> </w:t>
      </w:r>
      <w:r>
        <w:t xml:space="preserve">from</w:t>
      </w:r>
      <w:r>
        <w:t xml:space="preserve"> </w:t>
      </w:r>
      <w:hyperlink r:id="rId20">
        <w:r>
          <w:rPr>
            <w:rStyle w:val="Hyperlink"/>
          </w:rPr>
          <w:t xml:space="preserve">https://github.com/openplantpathology/rice_awd_pests</w:t>
        </w:r>
      </w:hyperlink>
      <w:r>
        <w:t xml:space="preserve"> </w:t>
      </w:r>
      <w:r>
        <w:t xml:space="preserve">(Sparks</w:t>
      </w:r>
      <w:r>
        <w:t xml:space="preserve"> </w:t>
      </w:r>
      <w:r>
        <w:t xml:space="preserve">et</w:t>
      </w:r>
      <w:r>
        <w:t xml:space="preserve"> </w:t>
      </w:r>
      <w:r>
        <w:t xml:space="preserve">al.</w:t>
      </w:r>
      <w:r>
        <w:t xml:space="preserve"> </w:t>
      </w:r>
      <w:r>
        <w:t xml:space="preserve">2018)</w:t>
      </w:r>
      <w:r>
        <w:t xml:space="preserve">.</w:t>
      </w:r>
    </w:p>
    <w:p>
      <w:pPr>
        <w:pStyle w:val="Heading1"/>
      </w:pPr>
      <w:bookmarkStart w:id="21" w:name="introduction"/>
      <w:r>
        <w:t xml:space="preserve">Introduction</w:t>
      </w:r>
      <w:bookmarkEnd w:id="21"/>
    </w:p>
    <w:p>
      <w:pPr>
        <w:pStyle w:val="FirstParagraph"/>
      </w:pPr>
      <w:r>
        <w:t xml:space="preserve">Sheath blight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the disease can cause up to 50 %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15–40 % of irrigation water while not affecting yield</w:t>
      </w:r>
      <w:r>
        <w:t xml:space="preserve"> </w:t>
      </w:r>
      <w:r>
        <w:t xml:space="preserve">(Bouman and Tuong 2001; Liping et al. 2007)</w:t>
      </w:r>
      <w:r>
        <w:t xml:space="preserve">. In AWD rice, fields are exposed to several dry phases during the growing season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 cm below the soil surface</w:t>
      </w:r>
      <w:r>
        <w:t xml:space="preserve"> </w:t>
      </w:r>
      <w:r>
        <w:t xml:space="preserve">(Richards and Sander 2014)</w:t>
      </w:r>
      <w:r>
        <w:t xml:space="preserve">. Fields are furthermore kept puddled during the flowering period to avoid plant stress. As an added benefit to saving water, AWD also reduces greenhouse gas (GHG) emissions of rice fields, which are a substantial factor in the GHG budget of rice producing countries, by around 50  %</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Philippines, plan to widely apply AWD to rice production</w:t>
      </w:r>
      <w:r>
        <w:t xml:space="preserve"> </w:t>
      </w:r>
      <w:r>
        <w:t xml:space="preserve">(Ministry of Environment and Forests (MOEF) Government of the People’s Republic of Bangladesh 2015)</w:t>
      </w:r>
      <w:r>
        <w:t xml:space="preserve">. However, a change like this in the water regime in rice fields on a large scale might trigger different other effects, for example changes in disease intensity or severity.</w:t>
      </w:r>
    </w:p>
    <w:p>
      <w:pPr>
        <w:pStyle w:val="BodyText"/>
      </w:pPr>
      <w:r>
        <w:t xml:space="preserve">While the effects of climate change directly on rice disease have been studied</w:t>
      </w:r>
      <w:r>
        <w:t xml:space="preserve"> </w:t>
      </w:r>
      <w:r>
        <w:t xml:space="preserve">(Duku et al. 2016; Luo et al. 1998)</w:t>
      </w:r>
      <w:r>
        <w:t xml:space="preserve"> </w:t>
      </w:r>
      <w:r>
        <w:t xml:space="preserve">the effects of mitigation practices have not. And because of the well documented effects of irrigation practices (CITATION XXXX) and N on sheath blight (CITATION XXXX); we established field experiments to study what effects AWD irrigation technologies and N fertilisation in combination could have on sheath blight incidence and severity in tropical rice production.</w:t>
      </w:r>
    </w:p>
    <w:p>
      <w:pPr>
        <w:pStyle w:val="Heading1"/>
      </w:pPr>
      <w:bookmarkStart w:id="22" w:name="materials-and-methods"/>
      <w:r>
        <w:t xml:space="preserve">Materials and Methods</w:t>
      </w:r>
      <w:bookmarkEnd w:id="22"/>
    </w:p>
    <w:p>
      <w:pPr>
        <w:pStyle w:val="FirstParagraph"/>
      </w:pPr>
      <w:r>
        <w:t xml:space="preserve">Two experiments were conducted at the International Rice Research Institute’s (IRRI) Ziegler Experiment Station in Los Baños, Calabarzon, Philippines (latitude 14° 11’ N, longitude 121° 15’ E) in 2015 and 2016 dry seasons from December to May. In the 2016 experiment changes were made to optimize the experiment based on findings from the 2015 experiment. The differences are detailed in the following sections.</w:t>
      </w:r>
    </w:p>
    <w:p>
      <w:pPr>
        <w:pStyle w:val="Heading2"/>
      </w:pPr>
      <w:bookmarkStart w:id="23" w:name="experiment"/>
      <w:r>
        <w:t xml:space="preserve">2015 Experiment</w:t>
      </w:r>
      <w:bookmarkEnd w:id="23"/>
    </w:p>
    <w:p>
      <w:pPr>
        <w:pStyle w:val="Heading3"/>
      </w:pPr>
      <w:bookmarkStart w:id="24" w:name="experimental-design"/>
      <w:r>
        <w:t xml:space="preserve">Experimental Design</w:t>
      </w:r>
      <w:bookmarkEnd w:id="24"/>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 The main plot size was 12 m x 12 m (144 m</w:t>
      </w:r>
      <w:r>
        <w:rPr>
          <w:vertAlign w:val="superscript"/>
        </w:rPr>
        <w:t xml:space="preserve">2</w:t>
      </w:r>
      <w:r>
        <w:t xml:space="preserve">), with a split–plot size of 5 m x 5 m (25 m</w:t>
      </w:r>
      <w:r>
        <w:rPr>
          <w:vertAlign w:val="superscript"/>
        </w:rPr>
        <w:t xml:space="preserve">2</w:t>
      </w:r>
      <w:r>
        <w:t xml:space="preserve">). 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when the water level reached 15 cm below the soil surface irrigation water was applied to a level of 5 cm. In puddled plots a standing water layer of 3–5 cm was maintained throughout the growing season.</w:t>
      </w:r>
    </w:p>
    <w:p>
      <w:pPr>
        <w:pStyle w:val="BodyText"/>
      </w:pPr>
      <w:r>
        <w:t xml:space="preserve">The split–plot treatment rates of N were N0 (no N supply), N100 (100 kg per ha applied as urea in three splits) and N120 (120 kg per ha applied as urea in three splits) (Tab. @ref(tab:N_rate)).</w:t>
      </w:r>
    </w:p>
    <w:p>
      <w:pPr>
        <w:pStyle w:val="Heading3"/>
      </w:pPr>
      <w:bookmarkStart w:id="25" w:name="crop-establishment"/>
      <w:r>
        <w:t xml:space="preserve">Crop Establishment</w:t>
      </w:r>
      <w:bookmarkEnd w:id="25"/>
    </w:p>
    <w:p>
      <w:pPr>
        <w:pStyle w:val="FirstParagraph"/>
      </w:pPr>
      <w:r>
        <w:t xml:space="preserve">Trays of NSIC Rc222 were seeded on 19 December 2014. NSIC Rc222 is an inbred variety released by the Philippine Rice Research Institute (PhilRice), with a 114 day maturity when transplanted. The variety is commonly grown by farmers in the area, having good yields and moderate resistance to brown plant hopper, green leaf hopper and yellow stem borer, but susceptibility to tungro. Plots were established by manually transplanting seedlings on 9 January 2015 in hills with six to eight seedlings per hill and a distance of 20 cm within and between rows.</w:t>
      </w:r>
    </w:p>
    <w:p>
      <w:pPr>
        <w:pStyle w:val="Heading3"/>
      </w:pPr>
      <w:bookmarkStart w:id="26" w:name="inoculum-preparation-and-application"/>
      <w:r>
        <w:t xml:space="preserve">Inoculum Preparation and Application</w:t>
      </w:r>
      <w:bookmarkEnd w:id="26"/>
    </w:p>
    <w:p>
      <w:pPr>
        <w:pStyle w:val="FirstParagraph"/>
      </w:pPr>
      <w:r>
        <w:t xml:space="preserve">An isolate of</w:t>
      </w:r>
      <w:r>
        <w:t xml:space="preserve"> </w:t>
      </w:r>
      <w:r>
        <w:rPr>
          <w:i/>
        </w:rPr>
        <w:t xml:space="preserve">Rhizoctonia solani</w:t>
      </w:r>
      <w:r>
        <w:t xml:space="preserve"> </w:t>
      </w:r>
      <w:r>
        <w:t xml:space="preserve">AG1–1a previously isolated from infected rice was maintained on potato dextrose agar (PDA) medium in tubes. The isolate was transferred to 90 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 g of inoculum over the split–plot area with a 1 m buffer on either end (4 m x 11 m).</w:t>
      </w:r>
    </w:p>
    <w:p>
      <w:pPr>
        <w:pStyle w:val="Heading2"/>
      </w:pPr>
      <w:bookmarkStart w:id="27" w:name="experiment-1"/>
      <w:r>
        <w:t xml:space="preserve">2016 Experiment</w:t>
      </w:r>
      <w:bookmarkEnd w:id="27"/>
    </w:p>
    <w:p>
      <w:pPr>
        <w:pStyle w:val="Heading3"/>
      </w:pPr>
      <w:bookmarkStart w:id="28" w:name="experimental-design-1"/>
      <w:r>
        <w:t xml:space="preserve">Experimental Design</w:t>
      </w:r>
      <w:bookmarkEnd w:id="28"/>
    </w:p>
    <w:p>
      <w:pPr>
        <w:pStyle w:val="FirstParagraph"/>
      </w:pPr>
      <w:r>
        <w:t xml:space="preserve">The 2016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 The replication sizes were B1 — 42 m x 20.5 m (861 m</w:t>
      </w:r>
      <w:r>
        <w:rPr>
          <w:vertAlign w:val="superscript"/>
        </w:rPr>
        <w:t xml:space="preserve">2</w:t>
      </w:r>
      <w:r>
        <w:t xml:space="preserve">) and B2 — 40.5 m x 21.6 m (874.8 m</w:t>
      </w:r>
      <w:r>
        <w:rPr>
          <w:vertAlign w:val="superscript"/>
        </w:rPr>
        <w:t xml:space="preserve">2</w:t>
      </w:r>
      <w:r>
        <w:t xml:space="preserve">). 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 / ha as urea split into two applications) and N180 (180 kg / ha in three splits) being applied (Tab. @ref(tab:N_rate)).</w:t>
      </w:r>
    </w:p>
    <w:p>
      <w:pPr>
        <w:pStyle w:val="Heading3"/>
      </w:pPr>
      <w:bookmarkStart w:id="29" w:name="crop-establishment-1"/>
      <w:r>
        <w:t xml:space="preserve">Crop Establishment</w:t>
      </w:r>
      <w:bookmarkEnd w:id="29"/>
    </w:p>
    <w:p>
      <w:pPr>
        <w:pStyle w:val="FirstParagraph"/>
      </w:pPr>
      <w:r>
        <w:t xml:space="preserve">Nurseries of NSIC Rc222 were established on 7 January 2016. Seedlings were manually transplanted from 20 to 22 January 2016 in hills with six to eight seedlings per hill with a distance of 20 cm within and between rows.</w:t>
      </w:r>
    </w:p>
    <w:p>
      <w:pPr>
        <w:pStyle w:val="Heading3"/>
      </w:pPr>
      <w:bookmarkStart w:id="30" w:name="inoculum-preparation-and-application-1"/>
      <w:r>
        <w:t xml:space="preserve">Inoculum Preparation and Application</w:t>
      </w:r>
      <w:bookmarkEnd w:id="30"/>
    </w:p>
    <w:p>
      <w:pPr>
        <w:pStyle w:val="FirstParagraph"/>
      </w:pPr>
      <w:r>
        <w:t xml:space="preserve">Based on the 2015 results, the inoculation methods were modified in 2016 to increase the amount of inoculum and applied to a smaller area. Plots were inoculated 41 days after transplanting using ten bottles per one sampling area (1 m x 1 m) per plot, where one bottle contained 151 g inoculum. A total amount of 1,510 g of inoculum was applied to a 1 m x 1 m area.</w:t>
      </w:r>
    </w:p>
    <w:p>
      <w:pPr>
        <w:pStyle w:val="Heading2"/>
      </w:pPr>
      <w:bookmarkStart w:id="31" w:name="data-collection"/>
      <w:r>
        <w:t xml:space="preserve">Data Collection</w:t>
      </w:r>
      <w:bookmarkEnd w:id="31"/>
    </w:p>
    <w:p>
      <w:pPr>
        <w:pStyle w:val="FirstParagraph"/>
      </w:pPr>
      <w:r>
        <w:t xml:space="preserve">In both experiments, two sample areas, sized 1 m x 1 m, per plot were assessed. 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 The scale is an unequally spaced categorical scale where 0 – no disease; 1 – trace to 1 % severity; 2 – 1 to 5 % severity; 3 – 5 to 15 % severity; 4 – 15 to 50 % severity; 5 – 50 to 100 % severity. Severity was considered to be the amount of leaf or sheath tissue covered by sheath blight lesions. Leaves were rated as green (living) having at least XXX % living tissue or dead, defined as having less than XXX % living tissue. The same rating methodology was used in both experiments. Five disease assessments were made in the 2015 experiment and four disease assessments were made in the 2016 experiment, respectively.</w:t>
      </w:r>
    </w:p>
    <w:p>
      <w:pPr>
        <w:pStyle w:val="Heading2"/>
      </w:pPr>
      <w:bookmarkStart w:id="32" w:name="statistical-analysis"/>
      <w:r>
        <w:t xml:space="preserve">Statistical Analysis</w:t>
      </w:r>
      <w:bookmarkEnd w:id="32"/>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Due to the scale used for collection, the severity data were converted to the midpoint percent value of the scale range for each value.</w:t>
      </w:r>
    </w:p>
    <w:p>
      <w:pPr>
        <w:pStyle w:val="BodyText"/>
      </w:pPr>
      <w:r>
        <w:t xml:space="preserve">The correlations between tiller sheath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sheath blight incidence, 2015 tiller sheath blight severity, 2015 leaf sheath blight severity; 2016 tiller sheath blight incidence, 2016 tiller sheath blight severity; 2016 leaf sheath blight severity, respectively. The independent variables were the irrigation management and N rate with replicate treated as a random variable. The base levels (control treatments) for the analyses for 2015 were: N rate – N0, irrigation management – puddled and for 2016 they were: N rate – N60, irrigation management – puddled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 Water management was not clearly statistically different (Fig. </w:t>
      </w:r>
      <w:r>
        <w:t xml:space="preserve">3</w:t>
      </w:r>
      <w:r>
        <w:t xml:space="preserve">a,</w:t>
      </w:r>
      <w:r>
        <w:t xml:space="preserve"> </w:t>
      </w:r>
      <w:r>
        <w:t xml:space="preserve">5</w:t>
      </w:r>
      <w:r>
        <w:t xml:space="preserve">a). However, the N treatments, N100 and N120, were both clearly statistically different when compared with the control N0 treatment (Fig.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sheath blight severity remained below 2 % (Fig. </w:t>
      </w:r>
      <w:r>
        <w:t xml:space="preserve">2</w:t>
      </w:r>
      <w:r>
        <w:t xml:space="preserve">c,</w:t>
      </w:r>
      <w:r>
        <w:t xml:space="preserve"> </w:t>
      </w:r>
      <w:r>
        <w:t xml:space="preserve">1</w:t>
      </w:r>
      <w:r>
        <w:t xml:space="preserve">c). Both the N100 and N120 treatments were clearly statistically different than the control N0 treatment (Fig. </w:t>
      </w:r>
      <w:r>
        <w:t xml:space="preserve">4</w:t>
      </w:r>
      <w:r>
        <w:t xml:space="preserve">c,</w:t>
      </w:r>
      <w:r>
        <w:t xml:space="preserve"> </w:t>
      </w:r>
      <w:r>
        <w:t xml:space="preserve">5</w:t>
      </w:r>
      <w:r>
        <w:t xml:space="preserve">c). However, the AWD water management was not clearly statistically different from the puddled treatment (Fig.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sheath blight remained low, less than 0.4 % across all treatments (Fig. </w:t>
      </w:r>
      <w:r>
        <w:t xml:space="preserve">1</w:t>
      </w:r>
      <w:r>
        <w:t xml:space="preserve">e,</w:t>
      </w:r>
      <w:r>
        <w:t xml:space="preserve"> </w:t>
      </w:r>
      <w:r>
        <w:t xml:space="preserve">2</w:t>
      </w:r>
      <w:r>
        <w:t xml:space="preserve">e). Both the N100 and N120 treatments were clearly statistically different than the N0 treatment (Fig. </w:t>
      </w:r>
      <w:r>
        <w:t xml:space="preserve">4</w:t>
      </w:r>
      <w:r>
        <w:t xml:space="preserve">e,</w:t>
      </w:r>
      <w:r>
        <w:t xml:space="preserve"> </w:t>
      </w:r>
      <w:r>
        <w:t xml:space="preserve">5</w:t>
      </w:r>
      <w:r>
        <w:t xml:space="preserve">e). However, the AWD water management was not clearly statistically different from the puddled treatment (Fig. </w:t>
      </w:r>
      <w:r>
        <w:t xml:space="preserve">3</w:t>
      </w:r>
      <w:r>
        <w:t xml:space="preserve">e,</w:t>
      </w:r>
      <w:r>
        <w:t xml:space="preserve"> </w:t>
      </w:r>
      <w:r>
        <w:t xml:space="preserve">5</w:t>
      </w:r>
      <w:r>
        <w:t xml:space="preserve">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 The N treatment N180, was clearly statistically different than the control N60 treatment (Fig. </w:t>
      </w:r>
      <w:r>
        <w:t xml:space="preserve">4</w:t>
      </w:r>
      <w:r>
        <w:t xml:space="preserve">b,</w:t>
      </w:r>
      <w:r>
        <w:t xml:space="preserve"> </w:t>
      </w:r>
      <w:r>
        <w:t xml:space="preserve">5</w:t>
      </w:r>
      <w:r>
        <w:t xml:space="preserve">b). As in the 2015 study, water management did not clearly statistically differ (Fig. </w:t>
      </w:r>
      <w:r>
        <w:t xml:space="preserve">3</w:t>
      </w:r>
      <w:r>
        <w:t xml:space="preserve">b,</w:t>
      </w:r>
      <w:r>
        <w:t xml:space="preserve"> </w:t>
      </w:r>
      <w:r>
        <w:t xml:space="preserve">5</w:t>
      </w:r>
      <w:r>
        <w:t xml:space="preserve">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puddled treatment (Fig. </w:t>
      </w:r>
      <w:r>
        <w:t xml:space="preserve">2</w:t>
      </w:r>
      <w:r>
        <w:t xml:space="preserve">d). In 2016 the N180 treatment was clearly statistically different from the N60 treatment, with N180 severity being higher (Fig. </w:t>
      </w:r>
      <w:r>
        <w:t xml:space="preserve">4</w:t>
      </w:r>
      <w:r>
        <w:t xml:space="preserve">d,</w:t>
      </w:r>
      <w:r>
        <w:t xml:space="preserve"> </w:t>
      </w:r>
      <w:r>
        <w:t xml:space="preserve">5</w:t>
      </w:r>
      <w:r>
        <w:t xml:space="preserve">d). The AWD water management, which was lower than the puddled treatment, was also clearly statistically different (Fig. </w:t>
      </w:r>
      <w:r>
        <w:t xml:space="preserve">3</w:t>
      </w:r>
      <w:r>
        <w:t xml:space="preserve">d,</w:t>
      </w:r>
      <w:r>
        <w:t xml:space="preserve"> </w:t>
      </w:r>
      <w:r>
        <w:t xml:space="preserve">5</w:t>
      </w:r>
      <w:r>
        <w:t xml:space="preserve">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clearly statistically different from the control treatments for leaf sheath blight severity (Fig.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3" w:name="the-interaction-of-irrigation-and-n-management-1"/>
      <w:r>
        <w:t xml:space="preserve">The Interaction of Irrigation and N Management</w:t>
      </w:r>
      <w:bookmarkEnd w:id="43"/>
    </w:p>
    <w:p>
      <w:pPr>
        <w:pStyle w:val="Heading1"/>
      </w:pPr>
      <w:bookmarkStart w:id="44" w:name="discussion"/>
      <w:r>
        <w:t xml:space="preserve">Discussion</w:t>
      </w:r>
      <w:bookmarkEnd w:id="44"/>
    </w:p>
    <w:p>
      <w:pPr>
        <w:pStyle w:val="FirstParagraph"/>
      </w:pPr>
      <w:r>
        <w:t xml:space="preserve">In both experiments we were unable to detect any statistically clear effect of AWD on sheath blight that led to increases in the disease that could hinder adoption of the technology. In fact, in only one instance were we able to detect any statistically clear effect of AWD on sheath blight. In the 2016 experiment the tiller sheath blight severity was clearly lower for the AWD treatment than puddled treatment (Fig. </w:t>
      </w:r>
      <w:r>
        <w:t xml:space="preserve">3</w:t>
      </w:r>
      <w:r>
        <w:t xml:space="preserve">d,</w:t>
      </w:r>
      <w:r>
        <w:t xml:space="preserve"> </w:t>
      </w:r>
      <w:r>
        <w:t xml:space="preserve">5</w:t>
      </w:r>
      <w:r>
        <w:t xml:space="preserve">d), indicating a possible adverse effect of using AWD on tiller sheath blight severity under high sheath blight pressure.</w:t>
      </w:r>
    </w:p>
    <w:p>
      <w:pPr>
        <w:pStyle w:val="BodyText"/>
      </w:pPr>
      <w:r>
        <w:t xml:space="preserve">The findings of the effects of N rates on sheath blight were as expected in both experiments. 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 In 2015 there were no clear differences in the interaction of irrigation and N rate between any of the three treatments. 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 The 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p>
    <w:p>
      <w:pPr>
        <w:pStyle w:val="BodyText"/>
      </w:pPr>
      <w:r>
        <w:t xml:space="preserve">It should be noted that the levels of leaf severity remained low (&lt; 1 %) throughout the growing season in all treatments for both years. As AWD can only feasibly be implemented in the dry season, the sheath blight disease levels in these studies may be lower than they would be if conducted in the wet season. However, sheath blight remains an issue in both seasons and the use of AWD would not appear to increase the disease but may be effective in reducing it in some cases.</w:t>
      </w:r>
    </w:p>
    <w:p>
      <w:pPr>
        <w:pStyle w:val="BodyText"/>
      </w:pPr>
      <w:r>
        <w:t xml:space="preserve">The rice establishment method is known to affect the spread of sheath blight</w:t>
      </w:r>
      <w:r>
        <w:t xml:space="preserve"> </w:t>
      </w:r>
      <w:r>
        <w:t xml:space="preserve">(Willocquet et al. 2000)</w:t>
      </w:r>
      <w:r>
        <w:t xml:space="preserve">. Manually transplanted rice had higher apparent infection rates than direct seeded rice. As manual transplanting becomes less common due to labor constraints, sheath blight risk may be decreased.</w:t>
      </w:r>
    </w:p>
    <w:p>
      <w:pPr>
        <w:pStyle w:val="BodyText"/>
      </w:pPr>
      <w:r>
        <w:t xml:space="preserve">Climate change is predicted to decrease sheath blight risk in the Korean peninsula over the longer term. However, over the next 10 – 20 years the risk is predicted to remain the same as from 2000 – 2010</w:t>
      </w:r>
      <w:r>
        <w:t xml:space="preserve"> </w:t>
      </w:r>
      <w:r>
        <w:t xml:space="preserve">(Kim et al. 2015)</w:t>
      </w:r>
      <w:r>
        <w:t xml:space="preserve">. Therefore, it is likely to remain an important diease in the near future with little resistance available in current varieties. However, based on these studies the use of AWD technologies would not appear to be a factor that increases the incidence or severity of rice sheath blight disease.</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our team mate Michael Noel, a part of the plant disease management team at IRRI and who helped design and managed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4"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5" w:name="ref-Duku2016"/>
    <w:p>
      <w:pPr>
        <w:pStyle w:val="BodyText"/>
      </w:pPr>
      <w:r>
        <w:t xml:space="preserve">Duku, C., Sparks, A. H., &amp; Zwart, S. J. (2016). Spatial modelling of rice yield losses in tanzania due to bacterial leaf blight and leaf blast in a changing climate.</w:t>
      </w:r>
      <w:r>
        <w:t xml:space="preserve"> </w:t>
      </w:r>
      <w:r>
        <w:rPr>
          <w:i/>
        </w:rPr>
        <w:t xml:space="preserve">Climatic Change</w:t>
      </w:r>
      <w:r>
        <w:t xml:space="preserve">,</w:t>
      </w:r>
      <w:r>
        <w:t xml:space="preserve"> </w:t>
      </w:r>
      <w:r>
        <w:rPr>
          <w:i/>
        </w:rPr>
        <w:t xml:space="preserve">135</w:t>
      </w:r>
      <w:r>
        <w:t xml:space="preserve">(3-4), 569–583. doi:</w:t>
      </w:r>
      <w:hyperlink r:id="rId54">
        <w:r>
          <w:rPr>
            <w:rStyle w:val="Hyperlink"/>
          </w:rPr>
          <w:t xml:space="preserve">10.1007/s10584-015-1580-2</w:t>
        </w:r>
      </w:hyperlink>
    </w:p>
    <w:bookmarkEnd w:id="55"/>
    <w:bookmarkStart w:id="56"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6"/>
    <w:bookmarkStart w:id="58"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7">
        <w:r>
          <w:rPr>
            <w:rStyle w:val="Hyperlink"/>
          </w:rPr>
          <w:t xml:space="preserve">http://www.jstatsoft.org/v33/i02/</w:t>
        </w:r>
      </w:hyperlink>
    </w:p>
    <w:bookmarkEnd w:id="58"/>
    <w:bookmarkStart w:id="59" w:name="ref-kim2015predicting"/>
    <w:p>
      <w:pPr>
        <w:pStyle w:val="BodyText"/>
      </w:pPr>
      <w:r>
        <w:t xml:space="preserve">Kim, K.-H., Cho, J., Lee, Y. H., &amp; Lee, W.-S. (2015). Predicting potential epidemics of rice leaf blast and sheath blight in south korea under the rcp 4.5 and rcp 8.5 climate change scenarios using a rice disease epidemiology model, epirice.</w:t>
      </w:r>
      <w:r>
        <w:t xml:space="preserve"> </w:t>
      </w:r>
      <w:r>
        <w:rPr>
          <w:i/>
        </w:rPr>
        <w:t xml:space="preserve">Agricultural and forest meteorology</w:t>
      </w:r>
      <w:r>
        <w:t xml:space="preserve">,</w:t>
      </w:r>
      <w:r>
        <w:t xml:space="preserve"> </w:t>
      </w:r>
      <w:r>
        <w:rPr>
          <w:i/>
        </w:rPr>
        <w:t xml:space="preserve">203</w:t>
      </w:r>
      <w:r>
        <w:t xml:space="preserve">, 191–207.</w:t>
      </w:r>
    </w:p>
    <w:bookmarkEnd w:id="59"/>
    <w:bookmarkStart w:id="60"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60"/>
    <w:bookmarkStart w:id="62"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61">
        <w:r>
          <w:rPr>
            <w:rStyle w:val="Hyperlink"/>
          </w:rPr>
          <w:t xml:space="preserve">10.1016/j.agwat.2006.10.006</w:t>
        </w:r>
      </w:hyperlink>
    </w:p>
    <w:bookmarkEnd w:id="62"/>
    <w:bookmarkStart w:id="63" w:name="ref-luo1998effects"/>
    <w:p>
      <w:pPr>
        <w:pStyle w:val="BodyText"/>
      </w:pPr>
      <w:r>
        <w:t xml:space="preserve">Luo, Y., Teng, P., Fabellar, N., &amp; TeBeest, D. (1998). The effects of global temperature change on rice leaf blast epidemics: A simulation study in three agroecological zones.</w:t>
      </w:r>
      <w:r>
        <w:t xml:space="preserve"> </w:t>
      </w:r>
      <w:r>
        <w:rPr>
          <w:i/>
        </w:rPr>
        <w:t xml:space="preserve">Agriculture, Ecosystems &amp; Environment</w:t>
      </w:r>
      <w:r>
        <w:t xml:space="preserve">,</w:t>
      </w:r>
      <w:r>
        <w:t xml:space="preserve"> </w:t>
      </w:r>
      <w:r>
        <w:rPr>
          <w:i/>
        </w:rPr>
        <w:t xml:space="preserve">68</w:t>
      </w:r>
      <w:r>
        <w:t xml:space="preserve">(3), 187–196.</w:t>
      </w:r>
    </w:p>
    <w:bookmarkEnd w:id="63"/>
    <w:bookmarkStart w:id="64"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4"/>
    <w:bookmarkStart w:id="66" w:name="ref-MOEF2015"/>
    <w:p>
      <w:pPr>
        <w:pStyle w:val="BodyText"/>
      </w:pPr>
      <w:r>
        <w:t xml:space="preserve">Ministry of Environment and Forests (MOEF) Government of the People’s Republic of Bangladesh. (2015). Intended nationally determined contributions (INDC).</w:t>
      </w:r>
      <w:r>
        <w:t xml:space="preserve"> </w:t>
      </w:r>
      <w:hyperlink r:id="rId65">
        <w:r>
          <w:rPr>
            <w:rStyle w:val="Hyperlink"/>
          </w:rPr>
          <w:t xml:space="preserve">http://www4.unfccc.int/ndcregistry/PublishedDocuments/Bangladesh%20First/INDC_2015_of_Bangladesh.pdf</w:t>
        </w:r>
      </w:hyperlink>
    </w:p>
    <w:bookmarkEnd w:id="66"/>
    <w:bookmarkStart w:id="68"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7">
        <w:r>
          <w:rPr>
            <w:rStyle w:val="Hyperlink"/>
          </w:rPr>
          <w:t xml:space="preserve">https://journal.r-project.org/archive/</w:t>
        </w:r>
      </w:hyperlink>
    </w:p>
    <w:bookmarkEnd w:id="68"/>
    <w:bookmarkStart w:id="70"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9">
        <w:r>
          <w:rPr>
            <w:rStyle w:val="Hyperlink"/>
          </w:rPr>
          <w:t xml:space="preserve">https://www.R-project.org/</w:t>
        </w:r>
      </w:hyperlink>
    </w:p>
    <w:bookmarkEnd w:id="70"/>
    <w:bookmarkStart w:id="71"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71"/>
    <w:bookmarkStart w:id="72"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72"/>
    <w:bookmarkStart w:id="73"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73"/>
    <w:bookmarkStart w:id="74"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4"/>
    <w:bookmarkStart w:id="75"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5"/>
    <w:bookmarkStart w:id="76"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6"/>
    <w:bookmarkStart w:id="77" w:name="ref-Sparks2018"/>
    <w:p>
      <w:pPr>
        <w:pStyle w:val="BodyText"/>
      </w:pPr>
      <w:r>
        <w:t xml:space="preserve">Sparks, A. H., Castilla, N. P., &amp; Sander, B. O. (2018). Reproducible research compendium for analysing effects of water management and nitrogen on rice sheath blight.</w:t>
      </w:r>
    </w:p>
    <w:bookmarkEnd w:id="77"/>
    <w:bookmarkStart w:id="79"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8">
        <w:r>
          <w:rPr>
            <w:rStyle w:val="Hyperlink"/>
          </w:rPr>
          <w:t xml:space="preserve">10.1007/s10681-010-0296-7</w:t>
        </w:r>
      </w:hyperlink>
    </w:p>
    <w:bookmarkEnd w:id="79"/>
    <w:bookmarkStart w:id="80"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80"/>
    <w:bookmarkStart w:id="81"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81"/>
    <w:bookmarkStart w:id="83"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82">
        <w:r>
          <w:rPr>
            <w:rStyle w:val="Hyperlink"/>
          </w:rPr>
          <w:t xml:space="preserve">10.1111/j.1365-2486.2005.00976.x</w:t>
        </w:r>
      </w:hyperlink>
    </w:p>
    <w:bookmarkEnd w:id="83"/>
    <w:bookmarkEnd w:id="84"/>
    <w:p>
      <w:pPr>
        <w:pStyle w:val="Heading5"/>
      </w:pPr>
      <w:bookmarkStart w:id="85" w:name="pagebreak-1"/>
      <w:r>
        <w:t xml:space="preserve">pagebreak</w:t>
      </w:r>
      <w:bookmarkEnd w:id="85"/>
    </w:p>
    <w:p>
      <w:pPr>
        <w:pStyle w:val="Heading1"/>
      </w:pPr>
      <w:bookmarkStart w:id="86" w:name="tables"/>
      <w:r>
        <w:t xml:space="preserve">Tables</w:t>
      </w:r>
      <w:bookmarkEnd w:id="86"/>
    </w:p>
    <w:p>
      <w:pPr>
        <w:pStyle w:val="TableCaption"/>
      </w:pPr>
      <w:r>
        <w:t xml:space="preserve">Table 1 Nitrogen application rates for 2015 and 2016. Five different nitrogen treatments were applied depending on the experiment. In the 2015 experiment three nitrogen rate treatments were applied: no N (N0), 100 kgkg /^ ha N (N100) and 180 kgkg /^ ha N (N120). In the 2016 experiment, two nitrogen rate treatments were applied: 60 kgkg /^ ha N (N60) and 180 kgkg /^ ha N (N180). Treatments in both years were applied in splits at: basal, tillering growth stages for all treatments and panicle initiation growth stage for treatments with three applications.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kg /^ ha N (N100) and 180 kgkg /^ ha N (N120). In the 2016 experiment, two nitrogen rate treatments were applied: 60 kgkg /^ ha N (N60) and 180 kgkg /^ ha N (N180). Treatments in both years were applied in splits at: basal, tillering growth stages for all treatments and panicle initiation growth stage for treatments with three application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7" w:name="pagebreak-2"/>
      <w:r>
        <w:t xml:space="preserve">pagebreak</w:t>
      </w:r>
      <w:bookmarkEnd w:id="87"/>
    </w:p>
    <w:p>
      <w:pPr>
        <w:pStyle w:val="Heading1"/>
      </w:pPr>
      <w:bookmarkStart w:id="88" w:name="figures"/>
      <w:r>
        <w:t xml:space="preserve">Figures</w:t>
      </w:r>
      <w:bookmarkEnd w:id="88"/>
    </w:p>
    <w:p>
      <w:pPr>
        <w:pStyle w:val="Heading5"/>
      </w:pPr>
      <w:bookmarkStart w:id="89" w:name="sheath-blight-progress-for-water-management-treatments"/>
      <w:r>
        <w:t xml:space="preserve">Sheath blight progress for water management treatments</w:t>
      </w:r>
      <w:bookmarkEnd w:id="89"/>
    </w:p>
    <w:p>
      <w:pPr>
        <w:pStyle w:val="CaptionedFigure"/>
      </w:pPr>
      <w:r>
        <w:drawing>
          <wp:inline>
            <wp:extent cx="5943600" cy="5943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Heading5"/>
      </w:pPr>
      <w:bookmarkStart w:id="91" w:name="sheath-blight-progress-for-n-treatments"/>
      <w:r>
        <w:t xml:space="preserve">Sheath blight progress for N treatments</w:t>
      </w:r>
      <w:bookmarkEnd w:id="91"/>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kg /^ ha N (N100) and 180 kgkg /^ ha N (N120). In the 2016 experiment, two N rate treatments were applied: 60 kgkg /^ ha N (N60) and 180 kgkg /^ 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kgkg /^ ha N (N100) and 180 kgkg /^ ha N (N120). In the 2016 experiment, two N rate treatments were applied: 60 kgkg /^ ha N (N60) and 180 kgkg /^ ha N (N180). Points represent the mean observations of four replications.</w:t>
      </w:r>
    </w:p>
    <w:p>
      <w:pPr>
        <w:pStyle w:val="Heading5"/>
      </w:pPr>
      <w:bookmarkStart w:id="93" w:name="sheath-blight-incidence-boxplot-for-water-management"/>
      <w:r>
        <w:t xml:space="preserve">Sheath Blight Incidence Boxplot for water management</w:t>
      </w:r>
      <w:bookmarkEnd w:id="93"/>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Heading5"/>
      </w:pPr>
      <w:bookmarkStart w:id="95" w:name="tiller-sheath-blight-incidence-boxplot-for-n-rate"/>
      <w:r>
        <w:t xml:space="preserve">Tiller sheath blight incidence boxplot for N rate</w:t>
      </w:r>
      <w:bookmarkEnd w:id="95"/>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kg /^ ha N (N100) and 180 kgkg /^ ha N (N120). In the 2016 experiment, two N rate treatments were applied: 60 kgkg /^ ha N (N60) and 180 kgkg /^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kgkg /^ ha N (N100) and 180 kgkg /^ ha N (N120). In the 2016 experiment, two N rate treatments were applied: 60 kgkg /^ ha N (N60) and 180 kgkg /^ ha N (N180).</w:t>
      </w:r>
    </w:p>
    <w:p>
      <w:pPr>
        <w:pStyle w:val="Heading5"/>
      </w:pPr>
      <w:bookmarkStart w:id="97" w:name="tiller-estimates-plots"/>
      <w:r>
        <w:t xml:space="preserve">Tiller Estimates Plots</w:t>
      </w:r>
      <w:bookmarkEnd w:id="97"/>
    </w:p>
    <w:p>
      <w:pPr>
        <w:pStyle w:val="CaptionedFigure"/>
      </w:pPr>
      <w:r>
        <w:drawing>
          <wp:inline>
            <wp:extent cx="5943600" cy="5943600"/>
            <wp:effectExtent b="0" l="0" r="0" t="0"/>
            <wp:docPr descr="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kg /^ ha N (N100) and 180 kgkg /^ ha N (N120). In the 2016 experiment, two N rate treatments were applied: 60 kgkg /^ ha N (N60) and 180 kgkg /^ ha N (N180)." title="" id="1" name="Picture"/>
            <a:graphic>
              <a:graphicData uri="http://schemas.openxmlformats.org/drawingml/2006/picture">
                <pic:pic>
                  <pic:nvPicPr>
                    <pic:cNvPr descr="../figures/fig-5-1.eps" id="0" name="Picture"/>
                    <pic:cNvPicPr>
                      <a:picLocks noChangeArrowheads="1" noChangeAspect="1"/>
                    </pic:cNvPicPr>
                  </pic:nvPicPr>
                  <pic:blipFill>
                    <a:blip r:embed="rId9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kgkg /^ ha N (N100) and 180 kgkg /^ ha N (N120). In the 2016 experiment, two N rate treatments were applied: 60 kgkg /^ ha N (N60) and 180 kgkg /^ ha N (N180).</w:t>
      </w:r>
    </w:p>
    <w:p>
      <w:pPr>
        <w:pStyle w:val="Heading5"/>
      </w:pPr>
      <w:bookmarkStart w:id="99" w:name="leaf-estimates-plots"/>
      <w:r>
        <w:t xml:space="preserve">Leaf estimates plots</w:t>
      </w:r>
      <w:bookmarkEnd w:id="99"/>
    </w:p>
    <w:p>
      <w:pPr>
        <w:pStyle w:val="CaptionedFigure"/>
      </w:pPr>
      <w:r>
        <w:drawing>
          <wp:inline>
            <wp:extent cx="5943600" cy="5943600"/>
            <wp:effectExtent b="0" l="0" r="0" t="0"/>
            <wp:docPr descr="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kg /^ ha N (N100) and 180 kgkg /^ ha N (N120). In the 2016 experiment, two N rate treatments were applied: 60 kgkg /^ ha N (N60) and 180 kgkg /^ ha N (N180)." title="" id="1" name="Picture"/>
            <a:graphic>
              <a:graphicData uri="http://schemas.openxmlformats.org/drawingml/2006/picture">
                <pic:pic>
                  <pic:nvPicPr>
                    <pic:cNvPr descr="../figures/fig-6-1.eps" id="0" name="Picture"/>
                    <pic:cNvPicPr>
                      <a:picLocks noChangeArrowheads="1" noChangeAspect="1"/>
                    </pic:cNvPicPr>
                  </pic:nvPicPr>
                  <pic:blipFill>
                    <a:blip r:embed="rId10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kgkg /^ ha N (N100) and 180 kgkg /^ ha N (N120). In the 2016 experiment, two N rate treatments were applied: 60 kgkg /^ ha N (N60) and 180 kgkg /^ ha N (N180).</w:t>
      </w:r>
    </w:p>
    <w:p>
      <w:pPr>
        <w:pStyle w:val="Heading5"/>
      </w:pPr>
      <w:bookmarkStart w:id="101" w:name="pagebreak-3"/>
      <w:r>
        <w:t xml:space="preserve">pagebreak</w:t>
      </w:r>
      <w:bookmarkEnd w:id="101"/>
    </w:p>
    <w:p>
      <w:pPr>
        <w:pStyle w:val="Heading3"/>
      </w:pPr>
      <w:bookmarkStart w:id="102" w:name="colophon"/>
      <w:r>
        <w:t xml:space="preserve">Colophon</w:t>
      </w:r>
      <w:bookmarkEnd w:id="102"/>
    </w:p>
    <w:p>
      <w:pPr>
        <w:pStyle w:val="FirstParagraph"/>
      </w:pPr>
      <w:r>
        <w:t xml:space="preserve">This report was generated on 2018-11-02 11:09:41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macOS  10.14                </w:t>
      </w:r>
      <w:r>
        <w:br w:type="textWrapping"/>
      </w:r>
      <w:r>
        <w:rPr>
          <w:rStyle w:val="VerbatimChar"/>
        </w:rPr>
        <w:t xml:space="preserve">#&gt;  system   x86_64, darwin18.0.0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ctype    en_AU.UTF-8                 </w:t>
      </w:r>
      <w:r>
        <w:br w:type="textWrapping"/>
      </w:r>
      <w:r>
        <w:rPr>
          <w:rStyle w:val="VerbatimChar"/>
        </w:rPr>
        <w:t xml:space="preserve">#&gt;  tz       Asia/Manila                 </w:t>
      </w:r>
      <w:r>
        <w:br w:type="textWrapping"/>
      </w:r>
      <w:r>
        <w:rPr>
          <w:rStyle w:val="VerbatimChar"/>
        </w:rPr>
        <w:t xml:space="preserve">#&gt;  date     2018-11-02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w:t>
      </w:r>
      <w:r>
        <w:br w:type="textWrapping"/>
      </w:r>
      <w:r>
        <w:rPr>
          <w:rStyle w:val="VerbatimChar"/>
        </w:rPr>
        <w:t xml:space="preserve">#&gt;  assertthat       0.2.0      2017-04-11 [1]</w:t>
      </w:r>
      <w:r>
        <w:br w:type="textWrapping"/>
      </w:r>
      <w:r>
        <w:rPr>
          <w:rStyle w:val="VerbatimChar"/>
        </w:rPr>
        <w:t xml:space="preserve">#&gt;  backports        1.1.2      2017-12-13 [1]</w:t>
      </w:r>
      <w:r>
        <w:br w:type="textWrapping"/>
      </w:r>
      <w:r>
        <w:rPr>
          <w:rStyle w:val="VerbatimChar"/>
        </w:rPr>
        <w:t xml:space="preserve">#&gt;  bindr            0.1.1      2018-03-13 [1]</w:t>
      </w:r>
      <w:r>
        <w:br w:type="textWrapping"/>
      </w:r>
      <w:r>
        <w:rPr>
          <w:rStyle w:val="VerbatimChar"/>
        </w:rPr>
        <w:t xml:space="preserve">#&gt;  bindrcpp         0.2.2      2018-03-29 [1]</w:t>
      </w:r>
      <w:r>
        <w:br w:type="textWrapping"/>
      </w:r>
      <w:r>
        <w:rPr>
          <w:rStyle w:val="VerbatimChar"/>
        </w:rPr>
        <w:t xml:space="preserve">#&gt;  bookdown       * 0.7        2018-02-18 [1]</w:t>
      </w:r>
      <w:r>
        <w:br w:type="textWrapping"/>
      </w:r>
      <w:r>
        <w:rPr>
          <w:rStyle w:val="VerbatimChar"/>
        </w:rPr>
        <w:t xml:space="preserve">#&gt;  cli              1.0.1      2018-09-25 [1]</w:t>
      </w:r>
      <w:r>
        <w:br w:type="textWrapping"/>
      </w:r>
      <w:r>
        <w:rPr>
          <w:rStyle w:val="VerbatimChar"/>
        </w:rPr>
        <w:t xml:space="preserve">#&gt;  coda           * 0.19-2     2018-10-08 [1]</w:t>
      </w:r>
      <w:r>
        <w:br w:type="textWrapping"/>
      </w:r>
      <w:r>
        <w:rPr>
          <w:rStyle w:val="VerbatimChar"/>
        </w:rPr>
        <w:t xml:space="preserve">#&gt;  colorout       * 1.2-0      2018-10-17 [1]</w:t>
      </w:r>
      <w:r>
        <w:br w:type="textWrapping"/>
      </w:r>
      <w:r>
        <w:rPr>
          <w:rStyle w:val="VerbatimChar"/>
        </w:rPr>
        <w:t xml:space="preserve">#&gt;  colorspace       1.3-2      2016-12-14 [1]</w:t>
      </w:r>
      <w:r>
        <w:br w:type="textWrapping"/>
      </w:r>
      <w:r>
        <w:rPr>
          <w:rStyle w:val="VerbatimChar"/>
        </w:rPr>
        <w:t xml:space="preserve">#&gt;  crayon           1.3.4      2017-09-16 [1]</w:t>
      </w:r>
      <w:r>
        <w:br w:type="textWrapping"/>
      </w:r>
      <w:r>
        <w:rPr>
          <w:rStyle w:val="VerbatimChar"/>
        </w:rPr>
        <w:t xml:space="preserve">#&gt;  digest           0.6.18     2018-10-10 [1]</w:t>
      </w:r>
      <w:r>
        <w:br w:type="textWrapping"/>
      </w:r>
      <w:r>
        <w:rPr>
          <w:rStyle w:val="VerbatimChar"/>
        </w:rPr>
        <w:t xml:space="preserve">#&gt;  dplyr            0.7.7      2018-10-16 [1]</w:t>
      </w:r>
      <w:r>
        <w:br w:type="textWrapping"/>
      </w:r>
      <w:r>
        <w:rPr>
          <w:rStyle w:val="VerbatimChar"/>
        </w:rPr>
        <w:t xml:space="preserve">#&gt;  evaluate         0.12       2018-10-09 [1]</w:t>
      </w:r>
      <w:r>
        <w:br w:type="textWrapping"/>
      </w:r>
      <w:r>
        <w:rPr>
          <w:rStyle w:val="VerbatimChar"/>
        </w:rPr>
        <w:t xml:space="preserve">#&gt;  ggplot2        * 3.1.0      2018-10-25 [1]</w:t>
      </w:r>
      <w:r>
        <w:br w:type="textWrapping"/>
      </w:r>
      <w:r>
        <w:rPr>
          <w:rStyle w:val="VerbatimChar"/>
        </w:rPr>
        <w:t xml:space="preserve">#&gt;  ggpubr         * 0.1.8      2018-08-30 [1]</w:t>
      </w:r>
      <w:r>
        <w:br w:type="textWrapping"/>
      </w:r>
      <w:r>
        <w:rPr>
          <w:rStyle w:val="VerbatimChar"/>
        </w:rPr>
        <w:t xml:space="preserve">#&gt;  glue             1.3.0      2018-07-17 [1]</w:t>
      </w:r>
      <w:r>
        <w:br w:type="textWrapping"/>
      </w:r>
      <w:r>
        <w:rPr>
          <w:rStyle w:val="VerbatimChar"/>
        </w:rPr>
        <w:t xml:space="preserve">#&gt;  gridExtra      * 2.3        2017-09-09 [1]</w:t>
      </w:r>
      <w:r>
        <w:br w:type="textWrapping"/>
      </w:r>
      <w:r>
        <w:rPr>
          <w:rStyle w:val="VerbatimChar"/>
        </w:rPr>
        <w:t xml:space="preserve">#&gt;  gtable           0.2.0      2016-02-26 [1]</w:t>
      </w:r>
      <w:r>
        <w:br w:type="textWrapping"/>
      </w:r>
      <w:r>
        <w:rPr>
          <w:rStyle w:val="VerbatimChar"/>
        </w:rPr>
        <w:t xml:space="preserve">#&gt;  highr            0.7        2018-06-09 [1]</w:t>
      </w:r>
      <w:r>
        <w:br w:type="textWrapping"/>
      </w:r>
      <w:r>
        <w:rPr>
          <w:rStyle w:val="VerbatimChar"/>
        </w:rPr>
        <w:t xml:space="preserve">#&gt;  htmltools        0.3.6      2017-04-28 [1]</w:t>
      </w:r>
      <w:r>
        <w:br w:type="textWrapping"/>
      </w:r>
      <w:r>
        <w:rPr>
          <w:rStyle w:val="VerbatimChar"/>
        </w:rPr>
        <w:t xml:space="preserve">#&gt;  knitr          * 1.20       2018-02-20 [1]</w:t>
      </w:r>
      <w:r>
        <w:br w:type="textWrapping"/>
      </w:r>
      <w:r>
        <w:rPr>
          <w:rStyle w:val="VerbatimChar"/>
        </w:rPr>
        <w:t xml:space="preserve">#&gt;  labeling         0.3        2014-08-23 [1]</w:t>
      </w:r>
      <w:r>
        <w:br w:type="textWrapping"/>
      </w:r>
      <w:r>
        <w:rPr>
          <w:rStyle w:val="VerbatimChar"/>
        </w:rPr>
        <w:t xml:space="preserve">#&gt;  lattice          0.20-35    2017-03-25 [2]</w:t>
      </w:r>
      <w:r>
        <w:br w:type="textWrapping"/>
      </w:r>
      <w:r>
        <w:rPr>
          <w:rStyle w:val="VerbatimChar"/>
        </w:rPr>
        <w:t xml:space="preserve">#&gt;  lazyeval         0.2.1      2017-10-29 [1]</w:t>
      </w:r>
      <w:r>
        <w:br w:type="textWrapping"/>
      </w:r>
      <w:r>
        <w:rPr>
          <w:rStyle w:val="VerbatimChar"/>
        </w:rPr>
        <w:t xml:space="preserve">#&gt;  magrittr       * 1.5        2014-11-22 [1]</w:t>
      </w:r>
      <w:r>
        <w:br w:type="textWrapping"/>
      </w:r>
      <w:r>
        <w:rPr>
          <w:rStyle w:val="VerbatimChar"/>
        </w:rPr>
        <w:t xml:space="preserve">#&gt;  munsell          0.5.0      2018-06-12 [1]</w:t>
      </w:r>
      <w:r>
        <w:br w:type="textWrapping"/>
      </w:r>
      <w:r>
        <w:rPr>
          <w:rStyle w:val="VerbatimChar"/>
        </w:rPr>
        <w:t xml:space="preserve">#&gt;  pillar           1.3.0      2018-07-14 [1]</w:t>
      </w:r>
      <w:r>
        <w:br w:type="textWrapping"/>
      </w:r>
      <w:r>
        <w:rPr>
          <w:rStyle w:val="VerbatimChar"/>
        </w:rPr>
        <w:t xml:space="preserve">#&gt;  pkgconfig        2.0.2      2018-08-16 [1]</w:t>
      </w:r>
      <w:r>
        <w:br w:type="textWrapping"/>
      </w:r>
      <w:r>
        <w:rPr>
          <w:rStyle w:val="VerbatimChar"/>
        </w:rPr>
        <w:t xml:space="preserve">#&gt;  plyr             1.8.4      2016-06-08 [1]</w:t>
      </w:r>
      <w:r>
        <w:br w:type="textWrapping"/>
      </w:r>
      <w:r>
        <w:rPr>
          <w:rStyle w:val="VerbatimChar"/>
        </w:rPr>
        <w:t xml:space="preserve">#&gt;  purrr            0.2.5      2018-05-29 [1]</w:t>
      </w:r>
      <w:r>
        <w:br w:type="textWrapping"/>
      </w:r>
      <w:r>
        <w:rPr>
          <w:rStyle w:val="VerbatimChar"/>
        </w:rPr>
        <w:t xml:space="preserve">#&gt;  R6               2.3.0      2018-10-04 [1]</w:t>
      </w:r>
      <w:r>
        <w:br w:type="textWrapping"/>
      </w:r>
      <w:r>
        <w:rPr>
          <w:rStyle w:val="VerbatimChar"/>
        </w:rPr>
        <w:t xml:space="preserve">#&gt;  Rcpp             0.12.19    2018-10-01 [1]</w:t>
      </w:r>
      <w:r>
        <w:br w:type="textWrapping"/>
      </w:r>
      <w:r>
        <w:rPr>
          <w:rStyle w:val="VerbatimChar"/>
        </w:rPr>
        <w:t xml:space="preserve">#&gt;  reshape2         1.4.3      2017-12-11 [1]</w:t>
      </w:r>
      <w:r>
        <w:br w:type="textWrapping"/>
      </w:r>
      <w:r>
        <w:rPr>
          <w:rStyle w:val="VerbatimChar"/>
        </w:rPr>
        <w:t xml:space="preserve">#&gt;  rice.awd.pests * 0.0.0.9000 2018-11-02 [1]</w:t>
      </w:r>
      <w:r>
        <w:br w:type="textWrapping"/>
      </w:r>
      <w:r>
        <w:rPr>
          <w:rStyle w:val="VerbatimChar"/>
        </w:rPr>
        <w:t xml:space="preserve">#&gt;  rlang            0.3.0.1    2018-10-25 [1]</w:t>
      </w:r>
      <w:r>
        <w:br w:type="textWrapping"/>
      </w:r>
      <w:r>
        <w:rPr>
          <w:rStyle w:val="VerbatimChar"/>
        </w:rPr>
        <w:t xml:space="preserve">#&gt;  rmarkdown        1.10       2018-06-11 [1]</w:t>
      </w:r>
      <w:r>
        <w:br w:type="textWrapping"/>
      </w:r>
      <w:r>
        <w:rPr>
          <w:rStyle w:val="VerbatimChar"/>
        </w:rPr>
        <w:t xml:space="preserve">#&gt;  rprojroot        1.3-2      2018-01-03 [1]</w:t>
      </w:r>
      <w:r>
        <w:br w:type="textWrapping"/>
      </w:r>
      <w:r>
        <w:rPr>
          <w:rStyle w:val="VerbatimChar"/>
        </w:rPr>
        <w:t xml:space="preserve">#&gt;  scales           1.0.0      2018-08-09 [1]</w:t>
      </w:r>
      <w:r>
        <w:br w:type="textWrapping"/>
      </w:r>
      <w:r>
        <w:rPr>
          <w:rStyle w:val="VerbatimChar"/>
        </w:rPr>
        <w:t xml:space="preserve">#&gt;  sessioninfo      1.1.0      2018-09-25 [1]</w:t>
      </w:r>
      <w:r>
        <w:br w:type="textWrapping"/>
      </w:r>
      <w:r>
        <w:rPr>
          <w:rStyle w:val="VerbatimChar"/>
        </w:rPr>
        <w:t xml:space="preserve">#&gt;  stringi          1.2.4      2018-07-20 [1]</w:t>
      </w:r>
      <w:r>
        <w:br w:type="textWrapping"/>
      </w:r>
      <w:r>
        <w:rPr>
          <w:rStyle w:val="VerbatimChar"/>
        </w:rPr>
        <w:t xml:space="preserve">#&gt;  stringr          1.3.1      2018-05-10 [1]</w:t>
      </w:r>
      <w:r>
        <w:br w:type="textWrapping"/>
      </w:r>
      <w:r>
        <w:rPr>
          <w:rStyle w:val="VerbatimChar"/>
        </w:rPr>
        <w:t xml:space="preserve">#&gt;  tibble           1.4.2      2018-01-22 [1]</w:t>
      </w:r>
      <w:r>
        <w:br w:type="textWrapping"/>
      </w:r>
      <w:r>
        <w:rPr>
          <w:rStyle w:val="VerbatimChar"/>
        </w:rPr>
        <w:t xml:space="preserve">#&gt;  tidyselect       0.2.5      2018-10-11 [1]</w:t>
      </w:r>
      <w:r>
        <w:br w:type="textWrapping"/>
      </w:r>
      <w:r>
        <w:rPr>
          <w:rStyle w:val="VerbatimChar"/>
        </w:rPr>
        <w:t xml:space="preserve">#&gt;  withr            2.1.2      2018-03-15 [1]</w:t>
      </w:r>
      <w:r>
        <w:br w:type="textWrapping"/>
      </w:r>
      <w:r>
        <w:rPr>
          <w:rStyle w:val="VerbatimChar"/>
        </w:rPr>
        <w:t xml:space="preserve">#&gt;  xfun             0.4        2018-10-23 [1]</w:t>
      </w:r>
      <w:r>
        <w:br w:type="textWrapping"/>
      </w:r>
      <w:r>
        <w:rPr>
          <w:rStyle w:val="VerbatimChar"/>
        </w:rPr>
        <w:t xml:space="preserve">#&gt;  yaml             2.2.0      2018-07-25 [1]</w:t>
      </w:r>
      <w:r>
        <w:br w:type="textWrapping"/>
      </w:r>
      <w:r>
        <w:rPr>
          <w:rStyle w:val="VerbatimChar"/>
        </w:rPr>
        <w:t xml:space="preserve">#&gt;  source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Github (jalvesaq/colorout@cc5fbfa)</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w:t>
      </w:r>
      <w:r>
        <w:br w:type="textWrapping"/>
      </w:r>
      <w:r>
        <w:rPr>
          <w:rStyle w:val="VerbatimChar"/>
        </w:rPr>
        <w:t xml:space="preserve">#&gt; [1] /Users/asparks/Library/R/3.x/library</w:t>
      </w:r>
      <w:r>
        <w:br w:type="textWrapping"/>
      </w:r>
      <w:r>
        <w:rPr>
          <w:rStyle w:val="VerbatimChar"/>
        </w:rPr>
        <w:t xml:space="preserve">#&gt; [2] /usr/local/Cellar/r/3.5.1/lib/R/library</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[110414d] 2018-11-02: Autodeploy site to GitHub from Travis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eps" /><Relationship Type="http://schemas.openxmlformats.org/officeDocument/2006/relationships/image" Id="rId92" Target="media/rId92.eps" /><Relationship Type="http://schemas.openxmlformats.org/officeDocument/2006/relationships/image" Id="rId94" Target="media/rId94.eps" /><Relationship Type="http://schemas.openxmlformats.org/officeDocument/2006/relationships/image" Id="rId96" Target="media/rId96.eps" /><Relationship Type="http://schemas.openxmlformats.org/officeDocument/2006/relationships/image" Id="rId98" Target="media/rId98.eps" /><Relationship Type="http://schemas.openxmlformats.org/officeDocument/2006/relationships/image" Id="rId100" Target="media/rId100.eps" /><Relationship Type="http://schemas.openxmlformats.org/officeDocument/2006/relationships/hyperlink" Id="rId57" Target="http://www.jstatsoft.org/v33/i02/"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8"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1" Target="https://doi.org/10.1016/j.agwat.2006.10.006" TargetMode="External" /><Relationship Type="http://schemas.openxmlformats.org/officeDocument/2006/relationships/hyperlink" Id="rId82"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7" Target="https://journal.r-project.org/archive/" TargetMode="External" /><Relationship Type="http://schemas.openxmlformats.org/officeDocument/2006/relationships/hyperlink" Id="rId6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7" Target="http://www.jstatsoft.org/v33/i02/"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8"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1" Target="https://doi.org/10.1016/j.agwat.2006.10.006" TargetMode="External" /><Relationship Type="http://schemas.openxmlformats.org/officeDocument/2006/relationships/hyperlink" Id="rId82"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7" Target="https://journal.r-project.org/archive/" TargetMode="External" /><Relationship Type="http://schemas.openxmlformats.org/officeDocument/2006/relationships/hyperlink" Id="rId69"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2018-11-02T03:09:54Z</dcterms:created>
  <dcterms:modified xsi:type="dcterms:W3CDTF">2018-11-02T03:09:54Z</dcterms:modified>
</cp:coreProperties>
</file>