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s" ContentType="application/postscript"/>
  <Override PartName="/word/media/rId77.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The disease can cause up to 50% yield losses</w:t>
      </w:r>
      <w:r>
        <w:t xml:space="preserve"> </w:t>
      </w:r>
      <w:r>
        <w:t xml:space="preserve">(Marchetti and Bollich 1991)</w:t>
      </w:r>
      <w:r>
        <w:t xml:space="preserve"> </w:t>
      </w:r>
      <w:r>
        <w:t xml:space="preserve">under conducive conditions. Studies by Savary et al.</w:t>
      </w:r>
      <w:r>
        <w:t xml:space="preserve"> </w:t>
      </w:r>
      <w:r>
        <w:t xml:space="preserve">(2000)</w:t>
      </w:r>
      <w:r>
        <w:t xml:space="preserve"> </w:t>
      </w:r>
      <w:r>
        <w:t xml:space="preserve">estimated yield losses in tropical irrigated lowland rice in Asia at 5-10%. As resistance is difficult to breed for</w:t>
      </w:r>
      <w:r>
        <w:t xml:space="preserve"> </w:t>
      </w:r>
      <w:r>
        <w:t xml:space="preserve">(Srinivasachary et al. 2011)</w:t>
      </w:r>
      <w:r>
        <w:t xml:space="preserve">, the disease is best managed through an integrated disease management approach which includes resistance</w:t>
      </w:r>
      <w:r>
        <w:t xml:space="preserve"> </w:t>
      </w:r>
      <w:r>
        <w:t xml:space="preserve">(Kumar et al. 2009)</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interactions between irrigation and N, we established field experiments to determine what effects AWD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treatment. The main plot treatments were alternate wetting and drying (AWD) and continuously flooded (FLD) or farmers’ practice,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treatments were different rates of nitrogen, N</w:t>
      </w:r>
      <w:r>
        <w:rPr>
          <w:vertAlign w:val="subscript"/>
        </w:rPr>
        <w:t xml:space="preserve">0</w:t>
      </w:r>
      <w:r>
        <w:t xml:space="preserve"> </w:t>
      </w:r>
      <w:r>
        <w:t xml:space="preserve">(no nitrogen supply), N</w:t>
      </w:r>
      <w:r>
        <w:rPr>
          <w:vertAlign w:val="subscript"/>
        </w:rPr>
        <w:t xml:space="preserve">1</w:t>
      </w:r>
      <w:r>
        <w:t xml:space="preserve"> </w:t>
      </w:r>
      <w:r>
        <w:t xml:space="preserve">(100 kg per ha applied as urea in three splits at final harrowing, active tillering and panicle initiation) and N</w:t>
      </w:r>
      <w:r>
        <w:rPr>
          <w:vertAlign w:val="subscript"/>
        </w:rPr>
        <w:t xml:space="preserve">2</w:t>
      </w:r>
      <w:r>
        <w:t xml:space="preserve"> </w:t>
      </w:r>
      <w:r>
        <w:t xml:space="preserve">(120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using 151g of inoculum per plot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w:t>
      </w:r>
      <w:r>
        <w:rPr>
          <w:vertAlign w:val="subscript"/>
        </w:rPr>
        <w:t xml:space="preserve">3</w:t>
      </w:r>
      <w:r>
        <w:t xml:space="preserve"> </w:t>
      </w:r>
      <w:r>
        <w:t xml:space="preserve">(60 kg per ha as urea split into two applications) and N</w:t>
      </w:r>
      <w:r>
        <w:rPr>
          <w:vertAlign w:val="subscript"/>
        </w:rPr>
        <w:t xml:space="preserve">4</w:t>
      </w:r>
      <w:r>
        <w:t xml:space="preserve"> </w:t>
      </w:r>
      <w:r>
        <w:t xml:space="preserve">(180 kg per ha in three splits) was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2015 for the 2015 and 2016 experiments, respectively. Seedlings were transplanted on 9 January 2015 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and-analysis"/>
      <w:r>
        <w:t xml:space="preserve">Data Collection and Analysis</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Because the data were collected on an ordinal scale, but not evenly spaced, the data are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31" w:name="results"/>
      <w:r>
        <w:t xml:space="preserve">Results</w:t>
      </w:r>
      <w:bookmarkEnd w:id="31"/>
    </w:p>
    <w:p>
      <w:pPr>
        <w:pStyle w:val="Heading2"/>
      </w:pPr>
      <w:bookmarkStart w:id="32" w:name="experiment-2"/>
      <w:r>
        <w:t xml:space="preserve">2015 Experiment</w:t>
      </w:r>
      <w:bookmarkEnd w:id="32"/>
    </w:p>
    <w:p>
      <w:pPr>
        <w:pStyle w:val="Heading3"/>
      </w:pPr>
      <w:bookmarkStart w:id="33" w:name="tiller-sheath-blight-incidence"/>
      <w:r>
        <w:t xml:space="preserve">Tiller Sheath Blight Incidence</w:t>
      </w:r>
      <w:bookmarkEnd w:id="33"/>
    </w:p>
    <w:p>
      <w:pPr>
        <w:pStyle w:val="FirstParagraph"/>
      </w:pPr>
      <w:r>
        <w:t xml:space="preserve">In 2015 the incidence of tiller ShB remained low throughout the growing season only reaching 15% in 2015 in the N</w:t>
      </w:r>
      <w:r>
        <w:rPr>
          <w:vertAlign w:val="subscript"/>
        </w:rPr>
        <w:t xml:space="preserve">2</w:t>
      </w:r>
      <w:r>
        <w:t xml:space="preserve">, flooded treatment (Figure</w:t>
      </w:r>
      <w:r>
        <w:t xml:space="preserve"> </w:t>
      </w:r>
      <w:r>
        <w:t xml:space="preserve">1</w:t>
      </w:r>
      <w:r>
        <w:t xml:space="preserve">). The nitrogen treatments, N</w:t>
      </w:r>
      <w:r>
        <w:rPr>
          <w:vertAlign w:val="subscript"/>
        </w:rPr>
        <w:t xml:space="preserve">1</w:t>
      </w:r>
      <w:r>
        <w:t xml:space="preserve"> </w:t>
      </w:r>
      <w:r>
        <w:t xml:space="preserve">and N</w:t>
      </w:r>
      <w:r>
        <w:rPr>
          <w:vertAlign w:val="subscript"/>
        </w:rPr>
        <w:t xml:space="preserve">2</w:t>
      </w:r>
      <w:r>
        <w:t xml:space="preserve">, were both significantly different when compared with the control N</w:t>
      </w:r>
      <w:r>
        <w:rPr>
          <w:vertAlign w:val="subscript"/>
        </w:rPr>
        <w:t xml:space="preserve">0</w:t>
      </w:r>
      <w:r>
        <w:t xml:space="preserve"> </w:t>
      </w:r>
      <w:r>
        <w:t xml:space="preserve">treatment. However, water management was not significantly different.</w:t>
      </w:r>
    </w:p>
    <w:p>
      <w:pPr>
        <w:pStyle w:val="Heading3"/>
      </w:pPr>
      <w:bookmarkStart w:id="34" w:name="tiller-sheath-blight-severity"/>
      <w:r>
        <w:t xml:space="preserve">Tiller Sheath Blight Severity</w:t>
      </w:r>
      <w:bookmarkEnd w:id="34"/>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control N</w:t>
      </w:r>
      <w:r>
        <w:rPr>
          <w:vertAlign w:val="subscript"/>
        </w:rPr>
        <w:t xml:space="preserve">0</w:t>
      </w:r>
      <w:r>
        <w:t xml:space="preserve"> </w:t>
      </w:r>
      <w:r>
        <w:t xml:space="preserve">treatment. However, the AWD water management was not significantly different from the FLD treatment.</w:t>
      </w:r>
    </w:p>
    <w:p>
      <w:pPr>
        <w:pStyle w:val="Heading3"/>
      </w:pPr>
      <w:bookmarkStart w:id="35" w:name="leaf-sheath-blight-severity"/>
      <w:r>
        <w:t xml:space="preserve">Leaf Sheath Blight Severity</w:t>
      </w:r>
      <w:bookmarkEnd w:id="35"/>
    </w:p>
    <w:p>
      <w:pPr>
        <w:pStyle w:val="FirstParagraph"/>
      </w:pPr>
      <w:r>
        <w:t xml:space="preserve">In 2015 both the N</w:t>
      </w:r>
      <w:r>
        <w:rPr>
          <w:vertAlign w:val="subscript"/>
        </w:rPr>
        <w:t xml:space="preserve">1</w:t>
      </w:r>
      <w:r>
        <w:t xml:space="preserve"> </w:t>
      </w:r>
      <w:r>
        <w:t xml:space="preserve">and N</w:t>
      </w:r>
      <w:r>
        <w:rPr>
          <w:vertAlign w:val="subscript"/>
        </w:rPr>
        <w:t xml:space="preserve">2</w:t>
      </w:r>
      <w:r>
        <w:t xml:space="preserve"> </w:t>
      </w:r>
      <w:r>
        <w:t xml:space="preserve">treatments were significantly different than the N</w:t>
      </w:r>
      <w:r>
        <w:rPr>
          <w:vertAlign w:val="subscript"/>
        </w:rPr>
        <w:t xml:space="preserve">0</w:t>
      </w:r>
      <w:r>
        <w:t xml:space="preserve"> </w:t>
      </w:r>
      <w:r>
        <w:t xml:space="preserve">treatment. However, the AWD water management was not significantly different from the FLD treatment.</w:t>
      </w:r>
    </w:p>
    <w:p>
      <w:pPr>
        <w:pStyle w:val="Heading2"/>
      </w:pPr>
      <w:bookmarkStart w:id="36" w:name="experiment-3"/>
      <w:r>
        <w:t xml:space="preserve">2016 Experiment</w:t>
      </w:r>
      <w:bookmarkEnd w:id="36"/>
    </w:p>
    <w:p>
      <w:pPr>
        <w:pStyle w:val="Heading3"/>
      </w:pPr>
      <w:bookmarkStart w:id="37" w:name="tiller-sheath-blight-incidence-1"/>
      <w:r>
        <w:t xml:space="preserve">Tiller Sheath Blight Incidence</w:t>
      </w:r>
      <w:bookmarkEnd w:id="37"/>
    </w:p>
    <w:p>
      <w:pPr>
        <w:pStyle w:val="FirstParagraph"/>
      </w:pPr>
      <w:r>
        <w:t xml:space="preserve">The changes to the inoculation methodology resulted in a much higher rate of infection in 2016, with the N</w:t>
      </w:r>
      <w:r>
        <w:rPr>
          <w:vertAlign w:val="subscript"/>
        </w:rPr>
        <w:t xml:space="preserve">4</w:t>
      </w:r>
      <w:r>
        <w:t xml:space="preserve">, flooded treatment reaching a maximum value of 98% incidence at the third observation (Figure</w:t>
      </w:r>
      <w:r>
        <w:t xml:space="preserve"> </w:t>
      </w:r>
      <w:r>
        <w:t xml:space="preserve">1</w:t>
      </w:r>
      <w:r>
        <w:t xml:space="preserve">). The nitrogen treatment N</w:t>
      </w:r>
      <w:r>
        <w:rPr>
          <w:vertAlign w:val="subscript"/>
        </w:rPr>
        <w:t xml:space="preserve">4</w:t>
      </w:r>
      <w:r>
        <w:t xml:space="preserve">, was significantly different than the control N</w:t>
      </w:r>
      <w:r>
        <w:rPr>
          <w:vertAlign w:val="subscript"/>
        </w:rPr>
        <w:t xml:space="preserve">3</w:t>
      </w:r>
      <w:r>
        <w:t xml:space="preserve"> </w:t>
      </w:r>
      <w:r>
        <w:t xml:space="preserve">treatment. As in the 2015 study, water management did not significantly differ.</w:t>
      </w:r>
    </w:p>
    <w:p>
      <w:pPr>
        <w:pStyle w:val="Heading3"/>
      </w:pPr>
      <w:bookmarkStart w:id="38" w:name="tiller-sheath-blight-severity-1"/>
      <w:r>
        <w:t xml:space="preserve">Tiller Sheath Blight Severity</w:t>
      </w:r>
      <w:bookmarkEnd w:id="38"/>
    </w:p>
    <w:p>
      <w:pPr>
        <w:pStyle w:val="FirstParagraph"/>
      </w:pPr>
      <w:r>
        <w:t xml:space="preserve">In 2016 the N</w:t>
      </w:r>
      <w:r>
        <w:rPr>
          <w:vertAlign w:val="subscript"/>
        </w:rPr>
        <w:t xml:space="preserve">4</w:t>
      </w:r>
      <w:r>
        <w:t xml:space="preserve"> </w:t>
      </w:r>
      <w:r>
        <w:t xml:space="preserve">treatment was significantly different from the N</w:t>
      </w:r>
      <w:r>
        <w:rPr>
          <w:vertAlign w:val="subscript"/>
        </w:rPr>
        <w:t xml:space="preserve">3</w:t>
      </w:r>
      <w:r>
        <w:t xml:space="preserve"> </w:t>
      </w:r>
      <w:r>
        <w:t xml:space="preserve">treatment. The AWD water management was also significantly different from the control flooding treatment.</w:t>
      </w:r>
    </w:p>
    <w:p>
      <w:pPr>
        <w:pStyle w:val="Heading3"/>
      </w:pPr>
      <w:bookmarkStart w:id="39" w:name="leaf-sheath-blight-severity-1"/>
      <w:r>
        <w:t xml:space="preserve">Leaf Sheath Blight Severity</w:t>
      </w:r>
      <w:bookmarkEnd w:id="39"/>
    </w:p>
    <w:p>
      <w:pPr>
        <w:pStyle w:val="FirstParagraph"/>
      </w:pPr>
      <w:r>
        <w:t xml:space="preserve">In 2016 the none of the treatments, nitrogen rate or water management, were significantly different from the control treatment for leaf ShB severity.</w:t>
      </w:r>
    </w:p>
    <w:p>
      <w:pPr>
        <w:pStyle w:val="Heading1"/>
      </w:pPr>
      <w:bookmarkStart w:id="40" w:name="discussion"/>
      <w:r>
        <w:t xml:space="preserve">Discussion</w:t>
      </w:r>
      <w:bookmarkEnd w:id="40"/>
    </w:p>
    <w:p>
      <w:pPr>
        <w:pStyle w:val="Heading1"/>
      </w:pPr>
      <w:bookmarkStart w:id="41" w:name="notes"/>
      <w:r>
        <w:t xml:space="preserve">Notes</w:t>
      </w:r>
      <w:bookmarkEnd w:id="41"/>
    </w:p>
    <w:p>
      <w:pPr>
        <w:pStyle w:val="Heading2"/>
      </w:pPr>
      <w:bookmarkStart w:id="42" w:name="acknowledgments"/>
      <w:r>
        <w:t xml:space="preserve">Acknowledgments</w:t>
      </w:r>
      <w:bookmarkEnd w:id="42"/>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3" w:name="pagebreak"/>
      <w:r>
        <w:t xml:space="preserve">pagebreak</w:t>
      </w:r>
      <w:bookmarkEnd w:id="43"/>
    </w:p>
    <w:p>
      <w:pPr>
        <w:pStyle w:val="Heading1"/>
      </w:pPr>
      <w:bookmarkStart w:id="44" w:name="references"/>
      <w:r>
        <w:t xml:space="preserve">References</w:t>
      </w:r>
      <w:bookmarkEnd w:id="44"/>
    </w:p>
    <w:bookmarkStart w:id="70" w:name="refs"/>
    <w:bookmarkStart w:id="46"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5">
        <w:r>
          <w:rPr>
            <w:rStyle w:val="Hyperlink"/>
          </w:rPr>
          <w:t xml:space="preserve">10.1016/S0378-3774(00)00128-1</w:t>
        </w:r>
      </w:hyperlink>
    </w:p>
    <w:bookmarkEnd w:id="46"/>
    <w:bookmarkStart w:id="47"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7"/>
    <w:bookmarkStart w:id="48"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48"/>
    <w:bookmarkStart w:id="50"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9">
        <w:r>
          <w:rPr>
            <w:rStyle w:val="Hyperlink"/>
          </w:rPr>
          <w:t xml:space="preserve">http://www.jstatsoft.org/v33/i02/</w:t>
        </w:r>
      </w:hyperlink>
    </w:p>
    <w:bookmarkEnd w:id="50"/>
    <w:bookmarkStart w:id="51"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1"/>
    <w:bookmarkStart w:id="53"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2">
        <w:r>
          <w:rPr>
            <w:rStyle w:val="Hyperlink"/>
          </w:rPr>
          <w:t xml:space="preserve">10.1016/j.agwat.2006.10.006</w:t>
        </w:r>
      </w:hyperlink>
    </w:p>
    <w:bookmarkEnd w:id="53"/>
    <w:bookmarkStart w:id="5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4"/>
    <w:bookmarkStart w:id="56" w:name="ref-MOEF2015"/>
    <w:p>
      <w:pPr>
        <w:pStyle w:val="BodyText"/>
      </w:pPr>
      <w:r>
        <w:t xml:space="preserve">Ministry of Environment and Forests (MOEF) Government of the People’s Republic of Bangladesh. (2015). Intended nationally determined contributions (INDC).</w:t>
      </w:r>
      <w:r>
        <w:t xml:space="preserve"> </w:t>
      </w:r>
      <w:hyperlink r:id="rId55">
        <w:r>
          <w:rPr>
            <w:rStyle w:val="Hyperlink"/>
          </w:rPr>
          <w:t xml:space="preserve">http://www4.unfccc.int/ndcregistry/PublishedDocuments/Bangladesh%20First/INDC_2015_of_Bangladesh.pdf</w:t>
        </w:r>
      </w:hyperlink>
    </w:p>
    <w:bookmarkEnd w:id="56"/>
    <w:bookmarkStart w:id="58"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7">
        <w:r>
          <w:rPr>
            <w:rStyle w:val="Hyperlink"/>
          </w:rPr>
          <w:t xml:space="preserve">https://www.R-project.org/</w:t>
        </w:r>
      </w:hyperlink>
    </w:p>
    <w:bookmarkEnd w:id="58"/>
    <w:bookmarkStart w:id="59"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59"/>
    <w:bookmarkStart w:id="60"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0"/>
    <w:bookmarkStart w:id="61"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1"/>
    <w:bookmarkStart w:id="62"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2"/>
    <w:bookmarkStart w:id="63"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3"/>
    <w:bookmarkStart w:id="64"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4"/>
    <w:bookmarkStart w:id="66"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5">
        <w:r>
          <w:rPr>
            <w:rStyle w:val="Hyperlink"/>
          </w:rPr>
          <w:t xml:space="preserve">10.1007/s10681-010-0296-7</w:t>
        </w:r>
      </w:hyperlink>
    </w:p>
    <w:bookmarkEnd w:id="66"/>
    <w:bookmarkStart w:id="67"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67"/>
    <w:bookmarkStart w:id="69"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68">
        <w:r>
          <w:rPr>
            <w:rStyle w:val="Hyperlink"/>
          </w:rPr>
          <w:t xml:space="preserve">10.1111/j.1365-2486.2005.00976.x</w:t>
        </w:r>
      </w:hyperlink>
    </w:p>
    <w:bookmarkEnd w:id="69"/>
    <w:bookmarkEnd w:id="70"/>
    <w:p>
      <w:pPr>
        <w:pStyle w:val="Heading5"/>
      </w:pPr>
      <w:bookmarkStart w:id="71" w:name="pagebreak-1"/>
      <w:r>
        <w:t xml:space="preserve">pagebreak</w:t>
      </w:r>
      <w:bookmarkEnd w:id="71"/>
    </w:p>
    <w:p>
      <w:pPr>
        <w:pStyle w:val="Heading1"/>
      </w:pPr>
      <w:bookmarkStart w:id="72" w:name="tables"/>
      <w:r>
        <w:t xml:space="preserve">Tables</w:t>
      </w:r>
      <w:bookmarkEnd w:id="72"/>
    </w:p>
    <w:p>
      <w:pPr>
        <w:pStyle w:val="FirstParagraph"/>
      </w:pPr>
      <w:r>
        <w:t xml:space="preserve">Table of N application timings and dates here…</w:t>
      </w:r>
    </w:p>
    <w:p>
      <w:pPr>
        <w:pStyle w:val="Heading5"/>
      </w:pPr>
      <w:bookmarkStart w:id="73" w:name="pagebreak-2"/>
      <w:r>
        <w:t xml:space="preserve">pagebreak</w:t>
      </w:r>
      <w:bookmarkEnd w:id="73"/>
    </w:p>
    <w:p>
      <w:pPr>
        <w:pStyle w:val="Heading1"/>
      </w:pPr>
      <w:bookmarkStart w:id="74" w:name="figures"/>
      <w:r>
        <w:t xml:space="preserve">Figures</w:t>
      </w:r>
      <w:bookmarkEnd w:id="74"/>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5"/>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6" w:name="pagebreak-3"/>
      <w:r>
        <w:t xml:space="preserve">pagebreak</w:t>
      </w:r>
      <w:bookmarkEnd w:id="76"/>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77"/>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78" w:name="pagebreak-4"/>
      <w:r>
        <w:t xml:space="preserve">pagebreak</w:t>
      </w:r>
      <w:bookmarkEnd w:id="78"/>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 and 180 kg per ha N (N2). In the 2016 experiment, two nitrogen rate treatments were applied: 60 kg per ha N (N3) and 180 kg per ha N (N4).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79"/>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w:t>
      </w:r>
      <w:r>
        <w:rPr>
          <w:vertAlign w:val="subscript"/>
        </w:rPr>
        <w:t xml:space="preserve">0</w:t>
      </w:r>
      <w:r>
        <w:t xml:space="preserve">), 100 kg per ha N (N</w:t>
      </w:r>
      <w:r>
        <w:rPr>
          <w:vertAlign w:val="subscript"/>
        </w:rPr>
        <w:t xml:space="preserve">1</w:t>
      </w:r>
      <w:r>
        <w:t xml:space="preserve">) and 180 kg per ha N (N</w:t>
      </w:r>
      <w:r>
        <w:rPr>
          <w:vertAlign w:val="subscript"/>
        </w:rPr>
        <w:t xml:space="preserve">2</w:t>
      </w:r>
      <w:r>
        <w:t xml:space="preserve">). In the 2016 experiment, two nitrogen rate treatments were applied: 60 kg per ha N (N</w:t>
      </w:r>
      <w:r>
        <w:rPr>
          <w:vertAlign w:val="subscript"/>
        </w:rPr>
        <w:t xml:space="preserve">3</w:t>
      </w:r>
      <w:r>
        <w:t xml:space="preserve">) and 180 kg per ha N (N</w:t>
      </w:r>
      <w:r>
        <w:rPr>
          <w:vertAlign w:val="subscript"/>
        </w:rPr>
        <w:t xml:space="preserve">4</w:t>
      </w:r>
      <w:r>
        <w:t xml:space="preserve">). Points represent the mean of four replications.</w:t>
      </w:r>
    </w:p>
    <w:p>
      <w:pPr>
        <w:pStyle w:val="Heading5"/>
      </w:pPr>
      <w:bookmarkStart w:id="80" w:name="pagebreak-5"/>
      <w:r>
        <w:t xml:space="preserve">pagebreak</w:t>
      </w:r>
      <w:bookmarkEnd w:id="80"/>
    </w:p>
    <w:p>
      <w:pPr>
        <w:pStyle w:val="Heading3"/>
      </w:pPr>
      <w:bookmarkStart w:id="81" w:name="colophon"/>
      <w:r>
        <w:t xml:space="preserve">Colophon</w:t>
      </w:r>
      <w:bookmarkEnd w:id="81"/>
    </w:p>
    <w:p>
      <w:pPr>
        <w:pStyle w:val="FirstParagraph"/>
      </w:pPr>
      <w:r>
        <w:t xml:space="preserve">This report was generated on 2018-04-23 21:55:51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      2016-12-30 CRAN (R 3.4.4)                </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2018-04-14 local                         </w:t>
      </w:r>
      <w:r>
        <w:br w:type="textWrapping"/>
      </w:r>
      <w:r>
        <w:rPr>
          <w:rStyle w:val="VerbatimChar"/>
        </w:rPr>
        <w:t xml:space="preserve">#&gt;  rlang            0.2.0      2018-02-20 CRAN (R 3.4.4)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[40a956c] 2018-04-23: Update word document</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s" /><Relationship Type="http://schemas.openxmlformats.org/officeDocument/2006/relationships/image" Id="rId77" Target="media/rId77.ps" /><Relationship Type="http://schemas.openxmlformats.org/officeDocument/2006/relationships/image" Id="rId79" Target="media/rId79.ps" /><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9" Target="http://www.jstatsoft.org/v33/i02/" TargetMode="External" /><Relationship Type="http://schemas.openxmlformats.org/officeDocument/2006/relationships/hyperlink" Id="rId55" Target="http://www4.unfccc.int/ndcregistry/PublishedDocuments/Bangladesh%20First/INDC_2015_of_Bangladesh.pdf" TargetMode="External" /><Relationship Type="http://schemas.openxmlformats.org/officeDocument/2006/relationships/hyperlink" Id="rId65" Target="https://doi.org/10.1007/s10681-010-0296-7" TargetMode="External" /><Relationship Type="http://schemas.openxmlformats.org/officeDocument/2006/relationships/hyperlink" Id="rId45" Target="https://doi.org/10.1016/S0378-3774(00)00128-1" TargetMode="External" /><Relationship Type="http://schemas.openxmlformats.org/officeDocument/2006/relationships/hyperlink" Id="rId52" Target="https://doi.org/10.1016/j.agwat.2006.10.006" TargetMode="External" /><Relationship Type="http://schemas.openxmlformats.org/officeDocument/2006/relationships/hyperlink" Id="rId68" Target="https://doi.org/10.1111/j.1365-2486.2005.00976.x" TargetMode="External" /><Relationship Type="http://schemas.openxmlformats.org/officeDocument/2006/relationships/hyperlink" Id="rId57"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2018-04-23T11:55:58Z</dcterms:created>
  <dcterms:modified xsi:type="dcterms:W3CDTF">2018-04-23T11:55:58Z</dcterms:modified>
</cp:coreProperties>
</file>