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s" ContentType="application/postscript"/>
  <Override PartName="/word/media/rId59.ps" ContentType="application/postscript"/>
  <Override PartName="/word/media/rId60.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 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Nitrogen is known to affect sheath blight</w:t>
      </w:r>
      <w:r>
        <w:t xml:space="preserve"> </w:t>
      </w:r>
      <w:r>
        <w:t xml:space="preserve">(Castilla et al. 1996)</w:t>
      </w:r>
      <w:r>
        <w:t xml:space="preserve">…</w:t>
      </w:r>
    </w:p>
    <w:p>
      <w:pPr>
        <w:pStyle w:val="BodyText"/>
      </w:pPr>
      <w:r>
        <w:t xml:space="preserve">We therefore established field experiments in order to determine what effects AWD could have on sheath blight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et al.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Heading2"/>
      </w:pPr>
      <w:bookmarkStart w:id="22" w:name="crop-establishment"/>
      <w:r>
        <w:t xml:space="preserve">Crop establishment</w:t>
      </w:r>
      <w:bookmarkEnd w:id="22"/>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the 2016 season changes were made to optimize the experiment based on findings from the 2015 season.</w:t>
      </w:r>
    </w:p>
    <w:p>
      <w:pPr>
        <w:pStyle w:val="BodyText"/>
      </w:pPr>
      <w:r>
        <w:t xml:space="preserve">Nurseries of NSIC Rc222, a short-season in-bred irrigated lowland rice variety with 114 day maturity when transplanted were established on 27 December 2014 and 7 January 2015 for the 2015 and 2016 experiments, respectively. Seedlings were transplanted on 9 January 2015 and 20 to 22 January 2016 in hills with six to eight seedlings per hill with a distance of 20 cm within and between rows.</w:t>
      </w:r>
    </w:p>
    <w:p>
      <w:pPr>
        <w:pStyle w:val="Heading2"/>
      </w:pPr>
      <w:bookmarkStart w:id="23" w:name="inoculum"/>
      <w:r>
        <w:t xml:space="preserve">Inoculum</w:t>
      </w:r>
      <w:bookmarkEnd w:id="23"/>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Heading2"/>
      </w:pPr>
      <w:bookmarkStart w:id="24" w:name="experimental-design"/>
      <w:r>
        <w:t xml:space="preserve">Experimental Design</w:t>
      </w:r>
      <w:bookmarkEnd w:id="24"/>
    </w:p>
    <w:p>
      <w:pPr>
        <w:pStyle w:val="FirstParagraph"/>
      </w:pPr>
      <w:r>
        <w:t xml:space="preserve">Both experiments consisted of split-plot design with four replicates where irrigation was the main plot and nitrogen (N) rate was the split plot treatment. The main plot treatments were alternate wetting and drying (AWD) and continuously flooded (CF) or farmers’ practice, the control treatment. The changes between seasons and experiments are detailed following.</w:t>
      </w:r>
    </w:p>
    <w:p>
      <w:pPr>
        <w:pStyle w:val="Heading3"/>
      </w:pPr>
      <w:bookmarkStart w:id="25" w:name="dry-season-experiment"/>
      <w:r>
        <w:t xml:space="preserve">2015 Dry Season Experiment</w:t>
      </w:r>
      <w:bookmarkEnd w:id="25"/>
    </w:p>
    <w:p>
      <w:pPr>
        <w:pStyle w:val="FirstParagraph"/>
      </w:pPr>
      <w:r>
        <w:t xml:space="preserve">The main plot size was 12m x 12m (144 sq m), with a sub-plot size of 5m x 5m (25 sq m). Replication size was 12m x 24m (288 sq m) with a buffer of 1m per sub-plot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CF plots a standing water layer of 3-5cm was maintained throughout the growing season.</w:t>
      </w:r>
    </w:p>
    <w:p>
      <w:pPr>
        <w:pStyle w:val="BodyText"/>
      </w:pPr>
      <w:r>
        <w:t xml:space="preserve">The sub-plot treatments were different rates of nitrogen, N0 (no nitrogen supply), N100 (100 kg per ha applied as urea in three splits at final harrowing, active tillering and panicle initiation) and N120 (120 kg per ha applied as urea in three splits at final harrowing, active tillering and panicle initiation).</w:t>
      </w:r>
    </w:p>
    <w:p>
      <w:pPr>
        <w:pStyle w:val="BodyText"/>
      </w:pPr>
      <w:r>
        <w:t xml:space="preserve">The plots were inoculated 20 days after transplanting using 151g of inoculum per plot (4m x 11m).</w:t>
      </w:r>
    </w:p>
    <w:p>
      <w:pPr>
        <w:pStyle w:val="Heading3"/>
      </w:pPr>
      <w:bookmarkStart w:id="26" w:name="dry-season-experiment-1"/>
      <w:r>
        <w:t xml:space="preserve">2016 Dry Season Experiment</w:t>
      </w:r>
      <w:bookmarkEnd w:id="26"/>
    </w:p>
    <w:p>
      <w:pPr>
        <w:pStyle w:val="FirstParagraph"/>
      </w:pPr>
      <w:r>
        <w:t xml:space="preserve">In 2016 dry season the plot size was increased and due to these changes, the replicate sizes are are not equal as necessitated by the use of a larger area for the experiment. The main plot sizes were: Block 1 (B1) 21m x 20.5m (412.5 sq m) and Block 2 (B2) 20.25m x 21.6m (437.4 sq m). The sub-plot sizes were B1 21m x 10.25m (215.25 sq m), B2 20.25m x 10.8m (218.7 sq m). The replication sizes were B1 - 42m x 20.5m (861 sq m) and B2 - 40.5m x 21.6m (874.8 sq m). A buffer 0.5m per sub-plot was used and the overall experiment size was 3471.6 sq m.</w:t>
      </w:r>
    </w:p>
    <w:p>
      <w:pPr>
        <w:pStyle w:val="BodyText"/>
      </w:pPr>
      <w:r>
        <w:t xml:space="preserve">Sub-plot N rates differed from the 2015 rates with only two nitrogen treatments, N60 (60 kg per ha as urea split into two applications) and N180 (180 kg per ha in three splits) was applied.</w:t>
      </w:r>
    </w:p>
    <w:p>
      <w:pPr>
        <w:pStyle w:val="BodyText"/>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27" w:name="data-collection-and-analysis"/>
      <w:r>
        <w:t xml:space="preserve">Data Collection and Analysis</w:t>
      </w:r>
      <w:bookmarkEnd w:id="27"/>
    </w:p>
    <w:p>
      <w:pPr>
        <w:pStyle w:val="FirstParagraph"/>
      </w:pPr>
      <w:r>
        <w:t xml:space="preserve">Disease scoring was the same in both experiments using the same sheath blight disease assessment scale for field evaluation developed at IRRI where 0 - no disease; 1 - trace to 1% severity; 2 - 1 to 5%; 3 - 5 to 15%; 4 - 15 to 50%; 5 - 50 to 100%. Where severity was considered to be the amount of leaf or sheath tissue covered by sheath blight lesions.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BodyText"/>
      </w:pPr>
      <w:r>
        <w:t xml:space="preserve">Disease severity values were converted to the midpoint percentage value of the disease assessment scale. Area under the disease progress stairs (AUDPS)</w:t>
      </w:r>
      <w:r>
        <w:t xml:space="preserve"> </w:t>
      </w:r>
      <w:r>
        <w:t xml:space="preserve">(Simko and Piepho 2012)</w:t>
      </w:r>
      <w:r>
        <w:t xml:space="preserve"> </w:t>
      </w:r>
      <w:r>
        <w:t xml:space="preserve">was calculated for both disease incidence and severity. 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Heading1"/>
      </w:pPr>
      <w:bookmarkStart w:id="28" w:name="results"/>
      <w:r>
        <w:t xml:space="preserve">Results</w:t>
      </w:r>
      <w:bookmarkEnd w:id="28"/>
    </w:p>
    <w:p>
      <w:pPr>
        <w:pStyle w:val="Heading2"/>
      </w:pPr>
      <w:bookmarkStart w:id="29" w:name="tiller-sheath-blight-incidence"/>
      <w:r>
        <w:t xml:space="preserve">Tiller Sheath Blight Incidence</w:t>
      </w:r>
      <w:bookmarkEnd w:id="29"/>
    </w:p>
    <w:p>
      <w:pPr>
        <w:pStyle w:val="FirstParagraph"/>
      </w:pPr>
      <w:r>
        <w:t xml:space="preserve">In 2015 the incidence of tiller sheath blight remained low throughout the growing season only reaching 15% in 2015 in the N120/flooded treatment (Figure</w:t>
      </w:r>
      <w:r>
        <w:t xml:space="preserve"> </w:t>
      </w:r>
      <w:r>
        <w:t xml:space="preserve">1</w:t>
      </w:r>
      <w:r>
        <w:t xml:space="preserve">). The nitrogen treatments, N100 and N120, were both significantly different when compared with the control N0 treatment. However, water management was not significantly different.</w:t>
      </w:r>
    </w:p>
    <w:p>
      <w:pPr>
        <w:pStyle w:val="BodyText"/>
      </w:pPr>
      <w:r>
        <w:t xml:space="preserve">The changes to the inoculation methodology resulted in a much higher rate of infection in 2016, with the N180/flooded treatment reaching a maximum value of 98% incidence at the third observation (Figure</w:t>
      </w:r>
      <w:r>
        <w:t xml:space="preserve"> </w:t>
      </w:r>
      <w:r>
        <w:t xml:space="preserve">1</w:t>
      </w:r>
      <w:r>
        <w:t xml:space="preserve">). The nitrogen treatment N180, was significantly different than the control N60 treatment. As in the 2015 study, water management did not significantly differ.</w:t>
      </w:r>
    </w:p>
    <w:p>
      <w:pPr>
        <w:pStyle w:val="Heading2"/>
      </w:pPr>
      <w:bookmarkStart w:id="30" w:name="tiller-sheath-blight-severity"/>
      <w:r>
        <w:t xml:space="preserve">Tiller Sheath Blight Severity</w:t>
      </w:r>
      <w:bookmarkEnd w:id="30"/>
    </w:p>
    <w:p>
      <w:pPr>
        <w:pStyle w:val="FirstParagraph"/>
      </w:pPr>
      <w:r>
        <w:t xml:space="preserve">In 2015 both the N100 and N120 treatments were significantly different than the control N0 treatment. The AWD water management was also significantly different from the control flooding treatment.</w:t>
      </w:r>
    </w:p>
    <w:p>
      <w:pPr>
        <w:pStyle w:val="BodyText"/>
      </w:pPr>
      <w:r>
        <w:t xml:space="preserve">In 2016 the N180 treatment was significantly different from the N60 treatment. The AWD water management was also significantly different from the control flooding treatment.</w:t>
      </w:r>
    </w:p>
    <w:p>
      <w:pPr>
        <w:pStyle w:val="Heading2"/>
      </w:pPr>
      <w:bookmarkStart w:id="31" w:name="leaf-sheath-blight-severity"/>
      <w:r>
        <w:t xml:space="preserve">Leaf Sheath Blight Severity</w:t>
      </w:r>
      <w:bookmarkEnd w:id="31"/>
    </w:p>
    <w:p>
      <w:pPr>
        <w:pStyle w:val="FirstParagraph"/>
      </w:pPr>
      <w:r>
        <w:t xml:space="preserve">In 2015 both the N100 and N120 treatments were significantly different than the N0 treatment. The AWD water management was also significantly different from the control flooding treatment.</w:t>
      </w:r>
    </w:p>
    <w:p>
      <w:pPr>
        <w:pStyle w:val="BodyText"/>
      </w:pPr>
      <w:r>
        <w:t xml:space="preserve">In 2016 the none of the treatments, nitrogen rate or water management, were significantly different from the control treatment for leaf sheath blight severity.</w:t>
      </w:r>
    </w:p>
    <w:p>
      <w:pPr>
        <w:pStyle w:val="Heading1"/>
      </w:pPr>
      <w:bookmarkStart w:id="32" w:name="discussion"/>
      <w:r>
        <w:t xml:space="preserve">Discussion</w:t>
      </w:r>
      <w:bookmarkEnd w:id="32"/>
    </w:p>
    <w:p>
      <w:pPr>
        <w:pStyle w:val="Heading1"/>
      </w:pPr>
      <w:bookmarkStart w:id="33" w:name="notes"/>
      <w:r>
        <w:t xml:space="preserve">Notes</w:t>
      </w:r>
      <w:bookmarkEnd w:id="33"/>
    </w:p>
    <w:p>
      <w:pPr>
        <w:pStyle w:val="Heading2"/>
      </w:pPr>
      <w:bookmarkStart w:id="34" w:name="acknowledgments"/>
      <w:r>
        <w:t xml:space="preserve">Acknowledgments</w:t>
      </w:r>
      <w:bookmarkEnd w:id="34"/>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35" w:name="pagebreak"/>
      <w:r>
        <w:t xml:space="preserve">pagebreak</w:t>
      </w:r>
      <w:bookmarkEnd w:id="35"/>
    </w:p>
    <w:p>
      <w:pPr>
        <w:pStyle w:val="Heading1"/>
      </w:pPr>
      <w:bookmarkStart w:id="36" w:name="references"/>
      <w:r>
        <w:t xml:space="preserve">References</w:t>
      </w:r>
      <w:bookmarkEnd w:id="36"/>
    </w:p>
    <w:bookmarkStart w:id="55" w:name="refs"/>
    <w:bookmarkStart w:id="38" w:name="ref-Bouman2001"/>
    <w:p>
      <w:pPr>
        <w:pStyle w:val="FirstParagraph"/>
      </w:pPr>
      <w:r>
        <w:t xml:space="preserve">Bouman, B.,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37">
        <w:r>
          <w:rPr>
            <w:rStyle w:val="Hyperlink"/>
          </w:rPr>
          <w:t xml:space="preserve">10.1016/S0378-3774(00)00128-1</w:t>
        </w:r>
      </w:hyperlink>
    </w:p>
    <w:bookmarkEnd w:id="38"/>
    <w:bookmarkStart w:id="39" w:name="ref-Castilla1996"/>
    <w:p>
      <w:pPr>
        <w:pStyle w:val="BodyText"/>
      </w:pPr>
      <w:r>
        <w:t xml:space="preserve">Castilla, N., Leano, R., Elazhour, F., Teng, P.,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39"/>
    <w:bookmarkStart w:id="41" w:name="ref-Feng2007"/>
    <w:p>
      <w:pPr>
        <w:pStyle w:val="BodyText"/>
      </w:pPr>
      <w:r>
        <w:t xml:space="preserve">Feng, L.,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40">
        <w:r>
          <w:rPr>
            <w:rStyle w:val="Hyperlink"/>
          </w:rPr>
          <w:t xml:space="preserve">10.1016/j.agwat.2006.10.006</w:t>
        </w:r>
      </w:hyperlink>
    </w:p>
    <w:bookmarkEnd w:id="41"/>
    <w:bookmarkStart w:id="43"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42">
        <w:r>
          <w:rPr>
            <w:rStyle w:val="Hyperlink"/>
          </w:rPr>
          <w:t xml:space="preserve">http://www.jstatsoft.org/v33/i02/</w:t>
        </w:r>
      </w:hyperlink>
    </w:p>
    <w:bookmarkEnd w:id="43"/>
    <w:bookmarkStart w:id="45" w:name="ref-MOEF2015"/>
    <w:p>
      <w:pPr>
        <w:pStyle w:val="BodyText"/>
      </w:pPr>
      <w:r>
        <w:t xml:space="preserve">Ministry of Environment and Forests (MOEF) Government of the People’s Republic of Bangladesh. (2015). Intended nationally determined contributions (indc).</w:t>
      </w:r>
      <w:r>
        <w:t xml:space="preserve"> </w:t>
      </w:r>
      <w:hyperlink r:id="rId44">
        <w:r>
          <w:rPr>
            <w:rStyle w:val="Hyperlink"/>
          </w:rPr>
          <w:t xml:space="preserve">http://www4.unfccc.int/ndcregistry/PublishedDocuments/Bangladesh%20First/INDC_2015_of_Bangladesh.pdf</w:t>
        </w:r>
      </w:hyperlink>
    </w:p>
    <w:bookmarkEnd w:id="45"/>
    <w:bookmarkStart w:id="47"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6">
        <w:r>
          <w:rPr>
            <w:rStyle w:val="Hyperlink"/>
          </w:rPr>
          <w:t xml:space="preserve">https://www.R-project.org/</w:t>
        </w:r>
      </w:hyperlink>
    </w:p>
    <w:bookmarkEnd w:id="47"/>
    <w:bookmarkStart w:id="48"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48"/>
    <w:bookmarkStart w:id="49"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49"/>
    <w:bookmarkStart w:id="50"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50"/>
    <w:bookmarkStart w:id="52" w:name="ref-Srinivasachary2011"/>
    <w:p>
      <w:pPr>
        <w:pStyle w:val="BodyText"/>
      </w:pPr>
      <w:r>
        <w:t xml:space="preserve">Srinivasachary, Willocquet, L., &amp; Savary, S. (2011). Resistance to rice sheath blight (rhizoctonia solani kühn) [(teleomorph: Thanatephorus cucumeris (a.B.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51">
        <w:r>
          <w:rPr>
            <w:rStyle w:val="Hyperlink"/>
          </w:rPr>
          <w:t xml:space="preserve">10.1007/s10681-010-0296-7</w:t>
        </w:r>
      </w:hyperlink>
    </w:p>
    <w:bookmarkEnd w:id="52"/>
    <w:bookmarkStart w:id="54"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53">
        <w:r>
          <w:rPr>
            <w:rStyle w:val="Hyperlink"/>
          </w:rPr>
          <w:t xml:space="preserve">10.1111/j.1365-2486.2005.00976.x</w:t>
        </w:r>
      </w:hyperlink>
    </w:p>
    <w:bookmarkEnd w:id="54"/>
    <w:bookmarkEnd w:id="55"/>
    <w:p>
      <w:pPr>
        <w:pStyle w:val="Heading5"/>
      </w:pPr>
      <w:bookmarkStart w:id="56" w:name="pagebreak-1"/>
      <w:r>
        <w:t xml:space="preserve">pagebreak</w:t>
      </w:r>
      <w:bookmarkEnd w:id="56"/>
    </w:p>
    <w:p>
      <w:pPr>
        <w:pStyle w:val="Heading1"/>
      </w:pPr>
      <w:bookmarkStart w:id="57" w:name="figures"/>
      <w:r>
        <w:t xml:space="preserve">Figures</w:t>
      </w:r>
      <w:bookmarkEnd w:id="57"/>
    </w:p>
    <w:p>
      <w:pPr>
        <w:pStyle w:val="CaptionedFigure"/>
      </w:pPr>
      <w:r>
        <w:drawing>
          <wp:inline>
            <wp:extent cx="3022600" cy="3022600"/>
            <wp:effectExtent b="0" l="0" r="0" t="0"/>
            <wp:docPr descr="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 title="" id="1" name="Picture"/>
            <a:graphic>
              <a:graphicData uri="http://schemas.openxmlformats.org/drawingml/2006/picture">
                <pic:pic>
                  <pic:nvPicPr>
                    <pic:cNvPr descr="../figures/figure-1-1.eps" id="0" name="Picture"/>
                    <pic:cNvPicPr>
                      <a:picLocks noChangeArrowheads="1" noChangeAspect="1"/>
                    </pic:cNvPicPr>
                  </pic:nvPicPr>
                  <pic:blipFill>
                    <a:blip r:embed="rId58"/>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1 Tiller sheath blight incidence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w:t>
      </w:r>
    </w:p>
    <w:p>
      <w:pPr>
        <w:pStyle w:val="CaptionedFigure"/>
      </w:pPr>
      <w:r>
        <w:drawing>
          <wp:inline>
            <wp:extent cx="3022600" cy="3022600"/>
            <wp:effectExtent b="0" l="0" r="0" t="0"/>
            <wp:docPr descr="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 title="" id="1" name="Picture"/>
            <a:graphic>
              <a:graphicData uri="http://schemas.openxmlformats.org/drawingml/2006/picture">
                <pic:pic>
                  <pic:nvPicPr>
                    <pic:cNvPr descr="../figures/figure-2-1.eps" id="0" name="Picture"/>
                    <pic:cNvPicPr>
                      <a:picLocks noChangeArrowheads="1" noChangeAspect="1"/>
                    </pic:cNvPicPr>
                  </pic:nvPicPr>
                  <pic:blipFill>
                    <a:blip r:embed="rId59"/>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2 Tiller sheath blight severity progress was measured in the 2015 experiment at five assessment points and 2016 experiment at four assessment points during the dry season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w:t>
      </w:r>
    </w:p>
    <w:p>
      <w:pPr>
        <w:pStyle w:val="CaptionedFigure"/>
      </w:pPr>
      <w:r>
        <w:drawing>
          <wp:inline>
            <wp:extent cx="3022600" cy="3022600"/>
            <wp:effectExtent b="0" l="0" r="0" t="0"/>
            <wp:docPr descr="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 title="" id="1" name="Picture"/>
            <a:graphic>
              <a:graphicData uri="http://schemas.openxmlformats.org/drawingml/2006/picture">
                <pic:pic>
                  <pic:nvPicPr>
                    <pic:cNvPr descr="../figures/figure-3-1.eps" id="0" name="Picture"/>
                    <pic:cNvPicPr>
                      <a:picLocks noChangeArrowheads="1" noChangeAspect="1"/>
                    </pic:cNvPicPr>
                  </pic:nvPicPr>
                  <pic:blipFill>
                    <a:blip r:embed="rId60"/>
                    <a:stretch>
                      <a:fillRect/>
                    </a:stretch>
                  </pic:blipFill>
                  <pic:spPr bwMode="auto">
                    <a:xfrm>
                      <a:off x="0" y="0"/>
                      <a:ext cx="3022600" cy="3022600"/>
                    </a:xfrm>
                    <a:prstGeom prst="rect">
                      <a:avLst/>
                    </a:prstGeom>
                    <a:noFill/>
                    <a:ln w="9525">
                      <a:noFill/>
                      <a:headEnd/>
                      <a:tailEnd/>
                    </a:ln>
                  </pic:spPr>
                </pic:pic>
              </a:graphicData>
            </a:graphic>
          </wp:inline>
        </w:drawing>
      </w:r>
    </w:p>
    <w:p>
      <w:pPr>
        <w:pStyle w:val="ImageCaption"/>
      </w:pPr>
      <w:r>
        <w:t xml:space="preserve">Figure 3 Leaf sheath blight severity progress was measured in the 2015 experiment at five assessment points and 2016 experiment at four assessment points during the dry season in both years. Main plot irrigation treatments were permanently flooded (FLD) and alternate wetting and drying (AWD). Five different nitrogen treatments were applied depending on the experiment. In the 2015 experiment three nitrogen rate treatements were applied: no N (N0), 100 units of N (N100) and 180 units of N (N180). In the 2016 experiment, two nitrogen rate treatments were applied: 60 units of N (N60) and 180 units of N (N180).</w:t>
      </w:r>
    </w:p>
    <w:p>
      <w:pPr>
        <w:pStyle w:val="Heading5"/>
      </w:pPr>
      <w:bookmarkStart w:id="61" w:name="pagebreak-2"/>
      <w:r>
        <w:t xml:space="preserve">pagebreak</w:t>
      </w:r>
      <w:bookmarkEnd w:id="61"/>
    </w:p>
    <w:p>
      <w:pPr>
        <w:pStyle w:val="Heading3"/>
      </w:pPr>
      <w:bookmarkStart w:id="62" w:name="colophon"/>
      <w:r>
        <w:t xml:space="preserve">Colophon</w:t>
      </w:r>
      <w:bookmarkEnd w:id="62"/>
    </w:p>
    <w:p>
      <w:pPr>
        <w:pStyle w:val="FirstParagraph"/>
      </w:pPr>
      <w:r>
        <w:t xml:space="preserve">This report was generated on 2018-04-14 18:36:46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3.4.4 (2018-03-15)</w:t>
      </w:r>
      <w:r>
        <w:br w:type="textWrapping"/>
      </w:r>
      <w:r>
        <w:rPr>
          <w:rStyle w:val="VerbatimChar"/>
        </w:rPr>
        <w:t xml:space="preserve">#&gt;  system   x86_64, darwin17.4.0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2018-04-14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3.4.2)                 </w:t>
      </w:r>
      <w:r>
        <w:br w:type="textWrapping"/>
      </w:r>
      <w:r>
        <w:rPr>
          <w:rStyle w:val="VerbatimChar"/>
        </w:rPr>
        <w:t xml:space="preserve">#&gt;  backports        1.1.2      2017-12-13 cran (@1.1.2)                  </w:t>
      </w:r>
      <w:r>
        <w:br w:type="textWrapping"/>
      </w:r>
      <w:r>
        <w:rPr>
          <w:rStyle w:val="VerbatimChar"/>
        </w:rPr>
        <w:t xml:space="preserve">#&gt;  base           * 3.4.4      2018-03-15 local                          </w:t>
      </w:r>
      <w:r>
        <w:br w:type="textWrapping"/>
      </w:r>
      <w:r>
        <w:rPr>
          <w:rStyle w:val="VerbatimChar"/>
        </w:rPr>
        <w:t xml:space="preserve">#&gt;  bindr            0.1.1      2018-03-13 CRAN (R 3.4.4)                 </w:t>
      </w:r>
      <w:r>
        <w:br w:type="textWrapping"/>
      </w:r>
      <w:r>
        <w:rPr>
          <w:rStyle w:val="VerbatimChar"/>
        </w:rPr>
        <w:t xml:space="preserve">#&gt;  bindrcpp         0.2.2      2018-03-29 cran (@0.2.2)                  </w:t>
      </w:r>
      <w:r>
        <w:br w:type="textWrapping"/>
      </w:r>
      <w:r>
        <w:rPr>
          <w:rStyle w:val="VerbatimChar"/>
        </w:rPr>
        <w:t xml:space="preserve">#&gt;  bookdown       * 0.7        2018-02-18 CRAN (R 3.4.4)                 </w:t>
      </w:r>
      <w:r>
        <w:br w:type="textWrapping"/>
      </w:r>
      <w:r>
        <w:rPr>
          <w:rStyle w:val="VerbatimChar"/>
        </w:rPr>
        <w:t xml:space="preserve">#&gt;  colorspace       1.3-2      2016-12-14 CRAN (R 3.4.2)                 </w:t>
      </w:r>
      <w:r>
        <w:br w:type="textWrapping"/>
      </w:r>
      <w:r>
        <w:rPr>
          <w:rStyle w:val="VerbatimChar"/>
        </w:rPr>
        <w:t xml:space="preserve">#&gt;  compiler         3.4.4      2018-03-15 local                          </w:t>
      </w:r>
      <w:r>
        <w:br w:type="textWrapping"/>
      </w:r>
      <w:r>
        <w:rPr>
          <w:rStyle w:val="VerbatimChar"/>
        </w:rPr>
        <w:t xml:space="preserve">#&gt;  datasets       * 3.4.4      2018-03-15 local                          </w:t>
      </w:r>
      <w:r>
        <w:br w:type="textWrapping"/>
      </w:r>
      <w:r>
        <w:rPr>
          <w:rStyle w:val="VerbatimChar"/>
        </w:rPr>
        <w:t xml:space="preserve">#&gt;  devtools         1.13.5     2018-02-18 CRAN (R 3.4.4)                 </w:t>
      </w:r>
      <w:r>
        <w:br w:type="textWrapping"/>
      </w:r>
      <w:r>
        <w:rPr>
          <w:rStyle w:val="VerbatimChar"/>
        </w:rPr>
        <w:t xml:space="preserve">#&gt;  digest           0.6.15     2018-01-28 cran (@0.6.15)                 </w:t>
      </w:r>
      <w:r>
        <w:br w:type="textWrapping"/>
      </w:r>
      <w:r>
        <w:rPr>
          <w:rStyle w:val="VerbatimChar"/>
        </w:rPr>
        <w:t xml:space="preserve">#&gt;  dplyr            0.7.4      2017-09-28 CRAN (R 3.4.4)                 </w:t>
      </w:r>
      <w:r>
        <w:br w:type="textWrapping"/>
      </w:r>
      <w:r>
        <w:rPr>
          <w:rStyle w:val="VerbatimChar"/>
        </w:rPr>
        <w:t xml:space="preserve">#&gt;  evaluate         0.10.1     2017-06-24 cran (@0.10.1)                 </w:t>
      </w:r>
      <w:r>
        <w:br w:type="textWrapping"/>
      </w:r>
      <w:r>
        <w:rPr>
          <w:rStyle w:val="VerbatimChar"/>
        </w:rPr>
        <w:t xml:space="preserve">#&gt;  ggplot2        * 2.2.1.9000 2018-04-07 Github (hadley/ggplot2@3c9c504)</w:t>
      </w:r>
      <w:r>
        <w:br w:type="textWrapping"/>
      </w:r>
      <w:r>
        <w:rPr>
          <w:rStyle w:val="VerbatimChar"/>
        </w:rPr>
        <w:t xml:space="preserve">#&gt;  ggpubr         * 0.1.6      2017-11-14 CRAN (R 3.4.4)                 </w:t>
      </w:r>
      <w:r>
        <w:br w:type="textWrapping"/>
      </w:r>
      <w:r>
        <w:rPr>
          <w:rStyle w:val="VerbatimChar"/>
        </w:rPr>
        <w:t xml:space="preserve">#&gt;  glue             1.2.0      2017-10-29 cran (@1.2.0)                  </w:t>
      </w:r>
      <w:r>
        <w:br w:type="textWrapping"/>
      </w:r>
      <w:r>
        <w:rPr>
          <w:rStyle w:val="VerbatimChar"/>
        </w:rPr>
        <w:t xml:space="preserve">#&gt;  graphics       * 3.4.4      2018-03-15 local                          </w:t>
      </w:r>
      <w:r>
        <w:br w:type="textWrapping"/>
      </w:r>
      <w:r>
        <w:rPr>
          <w:rStyle w:val="VerbatimChar"/>
        </w:rPr>
        <w:t xml:space="preserve">#&gt;  grDevices      * 3.4.4      2018-03-15 local                          </w:t>
      </w:r>
      <w:r>
        <w:br w:type="textWrapping"/>
      </w:r>
      <w:r>
        <w:rPr>
          <w:rStyle w:val="VerbatimChar"/>
        </w:rPr>
        <w:t xml:space="preserve">#&gt;  grid             3.4.4      2018-03-15 local                          </w:t>
      </w:r>
      <w:r>
        <w:br w:type="textWrapping"/>
      </w:r>
      <w:r>
        <w:rPr>
          <w:rStyle w:val="VerbatimChar"/>
        </w:rPr>
        <w:t xml:space="preserve">#&gt;  gtable           0.2.0      2016-02-26 CRAN (R 3.4.2)                 </w:t>
      </w:r>
      <w:r>
        <w:br w:type="textWrapping"/>
      </w:r>
      <w:r>
        <w:rPr>
          <w:rStyle w:val="VerbatimChar"/>
        </w:rPr>
        <w:t xml:space="preserve">#&gt;  highr            0.6        2016-05-09 cran (@0.6)                    </w:t>
      </w:r>
      <w:r>
        <w:br w:type="textWrapping"/>
      </w:r>
      <w:r>
        <w:rPr>
          <w:rStyle w:val="VerbatimChar"/>
        </w:rPr>
        <w:t xml:space="preserve">#&gt;  hms              0.4.2      2018-03-10 CRAN (R 3.4.4)                 </w:t>
      </w:r>
      <w:r>
        <w:br w:type="textWrapping"/>
      </w:r>
      <w:r>
        <w:rPr>
          <w:rStyle w:val="VerbatimChar"/>
        </w:rPr>
        <w:t xml:space="preserve">#&gt;  htmltools        0.3.6      2017-04-28 cran (@0.3.6)                  </w:t>
      </w:r>
      <w:r>
        <w:br w:type="textWrapping"/>
      </w:r>
      <w:r>
        <w:rPr>
          <w:rStyle w:val="VerbatimChar"/>
        </w:rPr>
        <w:t xml:space="preserve">#&gt;  httr             1.3.1      2017-08-20 CRAN (R 3.4.2)                 </w:t>
      </w:r>
      <w:r>
        <w:br w:type="textWrapping"/>
      </w:r>
      <w:r>
        <w:rPr>
          <w:rStyle w:val="VerbatimChar"/>
        </w:rPr>
        <w:t xml:space="preserve">#&gt;  kableExtra     * 0.8.0      2018-04-05 cran (@0.8.0)                  </w:t>
      </w:r>
      <w:r>
        <w:br w:type="textWrapping"/>
      </w:r>
      <w:r>
        <w:rPr>
          <w:rStyle w:val="VerbatimChar"/>
        </w:rPr>
        <w:t xml:space="preserve">#&gt;  knitr          * 1.20       2018-02-20 CRAN (R 3.4.4)                 </w:t>
      </w:r>
      <w:r>
        <w:br w:type="textWrapping"/>
      </w:r>
      <w:r>
        <w:rPr>
          <w:rStyle w:val="VerbatimChar"/>
        </w:rPr>
        <w:t xml:space="preserve">#&gt;  labeling         0.3        2014-08-23 CRAN (R 3.4.2)                 </w:t>
      </w:r>
      <w:r>
        <w:br w:type="textWrapping"/>
      </w:r>
      <w:r>
        <w:rPr>
          <w:rStyle w:val="VerbatimChar"/>
        </w:rPr>
        <w:t xml:space="preserve">#&gt;  lazyeval         0.2.1      2017-10-29 cran (@0.2.1)                  </w:t>
      </w:r>
      <w:r>
        <w:br w:type="textWrapping"/>
      </w:r>
      <w:r>
        <w:rPr>
          <w:rStyle w:val="VerbatimChar"/>
        </w:rPr>
        <w:t xml:space="preserve">#&gt;  magrittr       * 1.5        2014-11-22 CRAN (R 3.4.2)                 </w:t>
      </w:r>
      <w:r>
        <w:br w:type="textWrapping"/>
      </w:r>
      <w:r>
        <w:rPr>
          <w:rStyle w:val="VerbatimChar"/>
        </w:rPr>
        <w:t xml:space="preserve">#&gt;  memoise          1.1.0      2017-04-21 CRAN (R 3.4.2)                 </w:t>
      </w:r>
      <w:r>
        <w:br w:type="textWrapping"/>
      </w:r>
      <w:r>
        <w:rPr>
          <w:rStyle w:val="VerbatimChar"/>
        </w:rPr>
        <w:t xml:space="preserve">#&gt;  methods        * 3.4.4      2018-03-15 local                          </w:t>
      </w:r>
      <w:r>
        <w:br w:type="textWrapping"/>
      </w:r>
      <w:r>
        <w:rPr>
          <w:rStyle w:val="VerbatimChar"/>
        </w:rPr>
        <w:t xml:space="preserve">#&gt;  munsell          0.4.3      2016-02-13 CRAN (R 3.4.2)                 </w:t>
      </w:r>
      <w:r>
        <w:br w:type="textWrapping"/>
      </w:r>
      <w:r>
        <w:rPr>
          <w:rStyle w:val="VerbatimChar"/>
        </w:rPr>
        <w:t xml:space="preserve">#&gt;  pillar           1.2.1      2018-02-27 CRAN (R 3.4.4)                 </w:t>
      </w:r>
      <w:r>
        <w:br w:type="textWrapping"/>
      </w:r>
      <w:r>
        <w:rPr>
          <w:rStyle w:val="VerbatimChar"/>
        </w:rPr>
        <w:t xml:space="preserve">#&gt;  pkgconfig        2.0.1      2017-03-21 CRAN (R 3.4.2)                 </w:t>
      </w:r>
      <w:r>
        <w:br w:type="textWrapping"/>
      </w:r>
      <w:r>
        <w:rPr>
          <w:rStyle w:val="VerbatimChar"/>
        </w:rPr>
        <w:t xml:space="preserve">#&gt;  plyr             1.8.4      2016-06-08 CRAN (R 3.4.2)                 </w:t>
      </w:r>
      <w:r>
        <w:br w:type="textWrapping"/>
      </w:r>
      <w:r>
        <w:rPr>
          <w:rStyle w:val="VerbatimChar"/>
        </w:rPr>
        <w:t xml:space="preserve">#&gt;  R6               2.2.2      2017-06-17 CRAN (R 3.4.2)                 </w:t>
      </w:r>
      <w:r>
        <w:br w:type="textWrapping"/>
      </w:r>
      <w:r>
        <w:rPr>
          <w:rStyle w:val="VerbatimChar"/>
        </w:rPr>
        <w:t xml:space="preserve">#&gt;  Rcpp             0.12.16    2018-03-13 CRAN (R 3.4.4)                 </w:t>
      </w:r>
      <w:r>
        <w:br w:type="textWrapping"/>
      </w:r>
      <w:r>
        <w:rPr>
          <w:rStyle w:val="VerbatimChar"/>
        </w:rPr>
        <w:t xml:space="preserve">#&gt;  readr            1.1.1      2017-05-16 CRAN (R 3.4.2)                 </w:t>
      </w:r>
      <w:r>
        <w:br w:type="textWrapping"/>
      </w:r>
      <w:r>
        <w:rPr>
          <w:rStyle w:val="VerbatimChar"/>
        </w:rPr>
        <w:t xml:space="preserve">#&gt;  reshape2         1.4.3      2017-12-11 cran (@1.4.3)                  </w:t>
      </w:r>
      <w:r>
        <w:br w:type="textWrapping"/>
      </w:r>
      <w:r>
        <w:rPr>
          <w:rStyle w:val="VerbatimChar"/>
        </w:rPr>
        <w:t xml:space="preserve">#&gt;  rice.awd.pests * 0.0.0.9000 2018-04-12 local                          </w:t>
      </w:r>
      <w:r>
        <w:br w:type="textWrapping"/>
      </w:r>
      <w:r>
        <w:rPr>
          <w:rStyle w:val="VerbatimChar"/>
        </w:rPr>
        <w:t xml:space="preserve">#&gt;  rlang            0.2.0.9001 2018-04-12 Github (r-lib/rlang@82b2727)   </w:t>
      </w:r>
      <w:r>
        <w:br w:type="textWrapping"/>
      </w:r>
      <w:r>
        <w:rPr>
          <w:rStyle w:val="VerbatimChar"/>
        </w:rPr>
        <w:t xml:space="preserve">#&gt;  rmarkdown        1.9        2018-03-01 CRAN (R 3.4.4)                 </w:t>
      </w:r>
      <w:r>
        <w:br w:type="textWrapping"/>
      </w:r>
      <w:r>
        <w:rPr>
          <w:rStyle w:val="VerbatimChar"/>
        </w:rPr>
        <w:t xml:space="preserve">#&gt;  rprojroot        1.3-2      2018-01-03 cran (@1.3-2)                  </w:t>
      </w:r>
      <w:r>
        <w:br w:type="textWrapping"/>
      </w:r>
      <w:r>
        <w:rPr>
          <w:rStyle w:val="VerbatimChar"/>
        </w:rPr>
        <w:t xml:space="preserve">#&gt;  rstudioapi       0.7        2017-09-07 CRAN (R 3.4.2)                 </w:t>
      </w:r>
      <w:r>
        <w:br w:type="textWrapping"/>
      </w:r>
      <w:r>
        <w:rPr>
          <w:rStyle w:val="VerbatimChar"/>
        </w:rPr>
        <w:t xml:space="preserve">#&gt;  rvest            0.3.2      2016-06-17 CRAN (R 3.4.2)                 </w:t>
      </w:r>
      <w:r>
        <w:br w:type="textWrapping"/>
      </w:r>
      <w:r>
        <w:rPr>
          <w:rStyle w:val="VerbatimChar"/>
        </w:rPr>
        <w:t xml:space="preserve">#&gt;  scales           0.5.0.9000 2018-01-15 Github (hadley/scales@d767915) </w:t>
      </w:r>
      <w:r>
        <w:br w:type="textWrapping"/>
      </w:r>
      <w:r>
        <w:rPr>
          <w:rStyle w:val="VerbatimChar"/>
        </w:rPr>
        <w:t xml:space="preserve">#&gt;  stats          * 3.4.4      2018-03-15 local                          </w:t>
      </w:r>
      <w:r>
        <w:br w:type="textWrapping"/>
      </w:r>
      <w:r>
        <w:rPr>
          <w:rStyle w:val="VerbatimChar"/>
        </w:rPr>
        <w:t xml:space="preserve">#&gt;  stringi          1.1.7      2018-03-12 CRAN (R 3.4.4)                 </w:t>
      </w:r>
      <w:r>
        <w:br w:type="textWrapping"/>
      </w:r>
      <w:r>
        <w:rPr>
          <w:rStyle w:val="VerbatimChar"/>
        </w:rPr>
        <w:t xml:space="preserve">#&gt;  stringr          1.3.0      2018-02-19 CRAN (R 3.4.4)                 </w:t>
      </w:r>
      <w:r>
        <w:br w:type="textWrapping"/>
      </w:r>
      <w:r>
        <w:rPr>
          <w:rStyle w:val="VerbatimChar"/>
        </w:rPr>
        <w:t xml:space="preserve">#&gt;  tibble           1.4.2      2018-01-22 cran (@1.4.2)                  </w:t>
      </w:r>
      <w:r>
        <w:br w:type="textWrapping"/>
      </w:r>
      <w:r>
        <w:rPr>
          <w:rStyle w:val="VerbatimChar"/>
        </w:rPr>
        <w:t xml:space="preserve">#&gt;  tools            3.4.4      2018-03-15 local                          </w:t>
      </w:r>
      <w:r>
        <w:br w:type="textWrapping"/>
      </w:r>
      <w:r>
        <w:rPr>
          <w:rStyle w:val="VerbatimChar"/>
        </w:rPr>
        <w:t xml:space="preserve">#&gt;  utils          * 3.4.4      2018-03-15 local                          </w:t>
      </w:r>
      <w:r>
        <w:br w:type="textWrapping"/>
      </w:r>
      <w:r>
        <w:rPr>
          <w:rStyle w:val="VerbatimChar"/>
        </w:rPr>
        <w:t xml:space="preserve">#&gt;  viridisLite      0.3.0      2018-02-01 cran (@0.3.0)                  </w:t>
      </w:r>
      <w:r>
        <w:br w:type="textWrapping"/>
      </w:r>
      <w:r>
        <w:rPr>
          <w:rStyle w:val="VerbatimChar"/>
        </w:rPr>
        <w:t xml:space="preserve">#&gt;  withr            2.1.2      2018-03-15 Github (r-lib/withr@79d7b0d)   </w:t>
      </w:r>
      <w:r>
        <w:br w:type="textWrapping"/>
      </w:r>
      <w:r>
        <w:rPr>
          <w:rStyle w:val="VerbatimChar"/>
        </w:rPr>
        <w:t xml:space="preserve">#&gt;  xfun             0.1        2018-01-22 cran (@0.1)                    </w:t>
      </w:r>
      <w:r>
        <w:br w:type="textWrapping"/>
      </w:r>
      <w:r>
        <w:rPr>
          <w:rStyle w:val="VerbatimChar"/>
        </w:rPr>
        <w:t xml:space="preserve">#&gt;  xml2             1.2.0      2018-01-24 cran (@1.2.0)                  </w:t>
      </w:r>
      <w:r>
        <w:br w:type="textWrapping"/>
      </w:r>
      <w:r>
        <w:rPr>
          <w:rStyle w:val="VerbatimChar"/>
        </w:rPr>
        <w:t xml:space="preserve">#&gt;  yaml             2.1.18     2018-03-08 CRAN (R 3.4.4)</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[251db92] 2018-04-14: Figure formatting</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s" /><Relationship Type="http://schemas.openxmlformats.org/officeDocument/2006/relationships/image" Id="rId59" Target="media/rId59.ps" /><Relationship Type="http://schemas.openxmlformats.org/officeDocument/2006/relationships/image" Id="rId60" Target="media/rId60.ps" /><Relationship Type="http://schemas.openxmlformats.org/officeDocument/2006/relationships/hyperlink" Id="rId42" Target="http://www.jstatsoft.org/v33/i02/" TargetMode="External" /><Relationship Type="http://schemas.openxmlformats.org/officeDocument/2006/relationships/hyperlink" Id="rId44" Target="http://www4.unfccc.int/ndcregistry/PublishedDocuments/Bangladesh%20First/INDC_2015_of_Bangladesh.pdf" TargetMode="External" /><Relationship Type="http://schemas.openxmlformats.org/officeDocument/2006/relationships/hyperlink" Id="rId51" Target="https://doi.org/10.1007/s10681-010-0296-7" TargetMode="External" /><Relationship Type="http://schemas.openxmlformats.org/officeDocument/2006/relationships/hyperlink" Id="rId37" Target="https://doi.org/10.1016/S0378-3774(00)00128-1" TargetMode="External" /><Relationship Type="http://schemas.openxmlformats.org/officeDocument/2006/relationships/hyperlink" Id="rId40" Target="https://doi.org/10.1016/j.agwat.2006.10.006" TargetMode="External" /><Relationship Type="http://schemas.openxmlformats.org/officeDocument/2006/relationships/hyperlink" Id="rId53" Target="https://doi.org/10.1111/j.1365-2486.2005.00976.x" TargetMode="External" /><Relationship Type="http://schemas.openxmlformats.org/officeDocument/2006/relationships/hyperlink" Id="rId4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2" Target="http://www.jstatsoft.org/v33/i02/" TargetMode="External" /><Relationship Type="http://schemas.openxmlformats.org/officeDocument/2006/relationships/hyperlink" Id="rId44" Target="http://www4.unfccc.int/ndcregistry/PublishedDocuments/Bangladesh%20First/INDC_2015_of_Bangladesh.pdf" TargetMode="External" /><Relationship Type="http://schemas.openxmlformats.org/officeDocument/2006/relationships/hyperlink" Id="rId51" Target="https://doi.org/10.1007/s10681-010-0296-7" TargetMode="External" /><Relationship Type="http://schemas.openxmlformats.org/officeDocument/2006/relationships/hyperlink" Id="rId37" Target="https://doi.org/10.1016/S0378-3774(00)00128-1" TargetMode="External" /><Relationship Type="http://schemas.openxmlformats.org/officeDocument/2006/relationships/hyperlink" Id="rId40" Target="https://doi.org/10.1016/j.agwat.2006.10.006" TargetMode="External" /><Relationship Type="http://schemas.openxmlformats.org/officeDocument/2006/relationships/hyperlink" Id="rId53" Target="https://doi.org/10.1111/j.1365-2486.2005.00976.x" TargetMode="External" /><Relationship Type="http://schemas.openxmlformats.org/officeDocument/2006/relationships/hyperlink" Id="rId46"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2018-04-14T08:36:53Z</dcterms:created>
  <dcterms:modified xsi:type="dcterms:W3CDTF">2018-04-14T08:36:53Z</dcterms:modified>
</cp:coreProperties>
</file>