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with N</w:t>
      </w:r>
      <w:r>
        <w:rPr>
          <w:vertAlign w:val="subscript"/>
        </w:rPr>
        <w:t xml:space="preserve">4</w:t>
      </w:r>
      <w:r>
        <w:t xml:space="preserve"> </w:t>
      </w:r>
      <w:r>
        <w:t xml:space="preserve">severity being higher. The AWD water management, which was lower than FLD, was also significantly different.</w:t>
      </w:r>
    </w:p>
    <w:p>
      <w:pPr>
        <w:pStyle w:val="Heading3"/>
      </w:pPr>
      <w:bookmarkStart w:id="39" w:name="leaf-sheath-blight-severity-1"/>
      <w:r>
        <w:t xml:space="preserve">Leaf Sheath Blight Severity</w:t>
      </w:r>
      <w:bookmarkEnd w:id="39"/>
    </w:p>
    <w:p>
      <w:pPr>
        <w:pStyle w:val="FirstParagraph"/>
      </w:pPr>
      <w:r>
        <w:t xml:space="preserve">In 2016 the neither of the treatments, nitrogen rate or water management, were significantly different from the control treatments for leaf ShB severity.</w:t>
      </w:r>
    </w:p>
    <w:p>
      <w:pPr>
        <w:pStyle w:val="Heading1"/>
      </w:pPr>
      <w:bookmarkStart w:id="40" w:name="discussion"/>
      <w:r>
        <w:t xml:space="preserve">Discussion</w:t>
      </w:r>
      <w:bookmarkEnd w:id="40"/>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84"/>
        <w:gridCol w:w="696"/>
        <w:gridCol w:w="822"/>
        <w:gridCol w:w="678"/>
        <w:gridCol w:w="2433"/>
        <w:gridCol w:w="1828"/>
      </w:tblGrid>
      <w:tr>
        <w:trPr>
          <w:trHeight w:val="332"/>
          <w:tblHeader/>
        </w:trPr>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Year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Application Rate (kg/ha)</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r>
      <w:tr>
        <w:trPr>
          <w:trHeight w:val="329"/>
          <w:tblHeader/>
        </w:trPr>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Total 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Basal</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Tillering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Panicle</w:t>
              <w:br/>
              <w:t xml:space="preserve">Initiation</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1</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100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2</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3</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4</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180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r>
    </w:tbl>
    <w:p>
      <w:pPr>
        <w:pStyle w:val="FirstParagraph"/>
      </w:pPr>
      <w:r>
        <w:t xml:space="preserve">Table 1: Nitrogen application rates for 2015 and 2016.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Treatments were applied in splits, basal, tillering and panicle initiation growth stages.</w:t>
      </w:r>
    </w:p>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2018-04-25 21:24:01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base64enc        0.1-3      2015-07-28 CRAN (R 3.5.0)</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flextable      * 0.4.4      2018-04-20 CRAN (R 3.5.0)</w:t>
      </w:r>
      <w:r>
        <w:br w:type="textWrapping"/>
      </w:r>
      <w:r>
        <w:rPr>
          <w:rStyle w:val="VerbatimChar"/>
        </w:rPr>
        <w:t xml:space="preserve">#&gt;  gdtools          0.1.7      2018-02-27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officer        * 0.2.2      2018-03-14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R.methodsS3      1.7.1      2016-02-16 CRAN (R 3.5.0)</w:t>
      </w:r>
      <w:r>
        <w:br w:type="textWrapping"/>
      </w:r>
      <w:r>
        <w:rPr>
          <w:rStyle w:val="VerbatimChar"/>
        </w:rPr>
        <w:t xml:space="preserve">#&gt;  R.oo             1.22.0     2018-04-22 CRAN (R 3.5.0)</w:t>
      </w:r>
      <w:r>
        <w:br w:type="textWrapping"/>
      </w:r>
      <w:r>
        <w:rPr>
          <w:rStyle w:val="VerbatimChar"/>
        </w:rPr>
        <w:t xml:space="preserve">#&gt;  R.utils          2.6.0      2017-11-05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2018-04-25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uuid             0.1-2      2015-07-28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xtable         * 1.8-2      2016-02-05 CRAN (R 3.5.0)</w:t>
      </w:r>
      <w:r>
        <w:br w:type="textWrapping"/>
      </w:r>
      <w:r>
        <w:rPr>
          <w:rStyle w:val="VerbatimChar"/>
        </w:rPr>
        <w:t xml:space="preserve">#&gt;  yaml             2.1.18     2018-03-08 CRAN (R 3.5.0)</w:t>
      </w:r>
      <w:r>
        <w:br w:type="textWrapping"/>
      </w:r>
      <w:r>
        <w:rPr>
          <w:rStyle w:val="VerbatimChar"/>
        </w:rPr>
        <w:t xml:space="preserve">#&gt;  zip              1.0.0      2017-04-25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[274ca95] 2018-04-25: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2018-04-25T11:24:09Z</dcterms:created>
  <dcterms:modified xsi:type="dcterms:W3CDTF">2018-04-25T11:24:09Z</dcterms:modified>
</cp:coreProperties>
</file>