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and</w:t>
      </w:r>
      <w:r>
        <w:t xml:space="preserve"> </w:t>
      </w:r>
      <w:r>
        <w:t xml:space="preserve">Nitrogen</w:t>
      </w:r>
      <w:r>
        <w:t xml:space="preserve"> </w:t>
      </w:r>
      <w:r>
        <w:t xml:space="preserve">Fertilization</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author:</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plant disease epidemics such as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two irrigation regimes and differing nitrogen treatments in the dry seasons of 2015 and 2016. Disease scoring was the same in both experiments using a sheath blight assessment scale for field evaluation developed at the International Rice Research Institute to assess the severity on infected sheaths and leaves while sheath blight incidence on tillers were counted per hill. While we were unable to detect any differences in disease in either experiment due to irrigation methods, N rates or the interaction of the two treatments in either season we suggest that further research on this subject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14.14˚, longitude 121.27˚) in the 2015 and 2016 dry seasons. For the 2016 season changes were made to optimize the experiment based on findings from the 2015 season. The changes are detailed following.</w:t>
      </w:r>
    </w:p>
    <w:p>
      <w:pPr>
        <w:pStyle w:val="Heading3"/>
      </w:pPr>
      <w:bookmarkStart w:id="26" w:name="dry-season"/>
      <w:bookmarkEnd w:id="26"/>
      <w:r>
        <w:t xml:space="preserve">2015 Dry Season</w:t>
      </w:r>
    </w:p>
    <w:p>
      <w:pPr>
        <w:pStyle w:val="FirstParagraph"/>
      </w:pPr>
      <w:r>
        <w:t xml:space="preserve">Split plot design with irrigation as the main plot treatment and N rate as the split plot treatment. The main plot size was 12m x 12m (144 sq m), with a sub-plot size of 5m x 5m (25 sq m). Replication size was 12m x 24m (288 sq m) with a buffer of 1m per sub plot for a whole experiment size of 1,152 sq m.</w:t>
      </w:r>
    </w:p>
    <w:p>
      <w:pPr>
        <w:pStyle w:val="Heading3"/>
      </w:pPr>
      <w:bookmarkStart w:id="27" w:name="dry-season-1"/>
      <w:bookmarkEnd w:id="27"/>
      <w:r>
        <w:t xml:space="preserve">2016 Dry Season</w:t>
      </w:r>
    </w:p>
    <w:p>
      <w:pPr>
        <w:pStyle w:val="FirstParagraph"/>
      </w:pPr>
      <w:r>
        <w:t xml:space="preserve">A split plot design was used again with irrigation as the main plot treatment and N rate as the split treatment. However, the plot size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11ecb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and Nitrogen Fertilization on Sheath Blight of Rice</dc:title>
  <dc:creator>A.H. Sparks and N.P. Castilla</dc:creator>
  <dcterms:created xsi:type="dcterms:W3CDTF">2017-04-05T09:01:10Z</dcterms:created>
  <dcterms:modified xsi:type="dcterms:W3CDTF">2017-04-05T09:01:10Z</dcterms:modified>
</cp:coreProperties>
</file>