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and</w:t>
      </w:r>
      <w:r>
        <w:t xml:space="preserve"> </w:t>
      </w:r>
      <w:r>
        <w:t xml:space="preserve">Nitrogen</w:t>
      </w:r>
      <w:r>
        <w:t xml:space="preserve"> </w:t>
      </w:r>
      <w:r>
        <w:t xml:space="preserve">Fertilization</w:t>
      </w:r>
      <w:r>
        <w:t xml:space="preserve"> </w:t>
      </w:r>
      <w:r>
        <w:t xml:space="preserve">on</w:t>
      </w:r>
      <w:r>
        <w:t xml:space="preserve"> </w:t>
      </w:r>
      <w:r>
        <w:t xml:space="preserve">Sheath</w:t>
      </w:r>
      <w:r>
        <w:t xml:space="preserve"> </w:t>
      </w:r>
      <w:r>
        <w:t xml:space="preserve">Blight</w:t>
      </w:r>
      <w:r>
        <w:t xml:space="preserve"> </w:t>
      </w:r>
      <w:r>
        <w:t xml:space="preserve">of</w:t>
      </w:r>
      <w:r>
        <w:t xml:space="preserve"> </w:t>
      </w:r>
      <w:r>
        <w:t xml:space="preserve">Rice</w:t>
      </w:r>
    </w:p>
    <w:p>
      <w:pPr>
        <w:pStyle w:val="Author"/>
      </w:pPr>
      <w:r>
        <w:t xml:space="preserve">A.H.</w:t>
      </w:r>
      <w:r>
        <w:t xml:space="preserve"> </w:t>
      </w:r>
      <w:r>
        <w:t xml:space="preserve">Sparks</w:t>
      </w:r>
      <w:r>
        <w:t xml:space="preserve"> </w:t>
      </w:r>
      <w:r>
        <w:t xml:space="preserve">and</w:t>
      </w:r>
      <w:r>
        <w:t xml:space="preserve"> </w:t>
      </w:r>
      <w:r>
        <w:t xml:space="preserve">N.P.</w:t>
      </w:r>
      <w:r>
        <w:t xml:space="preserve"> </w:t>
      </w:r>
      <w:r>
        <w:t xml:space="preserve">Castilla</w:t>
      </w:r>
    </w:p>
    <w:p>
      <w:pPr>
        <w:pStyle w:val="Compact"/>
        <w:pStyle w:val="Abstract"/>
      </w:pPr>
      <w:r>
        <w:t xml:space="preserve">First</w:t>
      </w:r>
      <w:r>
        <w:t xml:space="preserve"> </w:t>
      </w:r>
      <w:r>
        <w:t xml:space="preserve">author:</w:t>
      </w:r>
      <w:r>
        <w:t xml:space="preserve"> </w:t>
      </w:r>
      <w:r>
        <w:t xml:space="preserve">University</w:t>
      </w:r>
      <w:r>
        <w:t xml:space="preserve"> </w:t>
      </w:r>
      <w:r>
        <w:t xml:space="preserve">of</w:t>
      </w:r>
      <w:r>
        <w:t xml:space="preserve"> </w:t>
      </w:r>
      <w:r>
        <w:t xml:space="preserve">Southern</w:t>
      </w:r>
      <w:r>
        <w:t xml:space="preserve"> </w:t>
      </w:r>
      <w:r>
        <w:t xml:space="preserve">Queensland,</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West</w:t>
      </w:r>
      <w:r>
        <w:t xml:space="preserve"> </w:t>
      </w:r>
      <w:r>
        <w:t xml:space="preserve">St.,</w:t>
      </w:r>
      <w:r>
        <w:t xml:space="preserve"> </w:t>
      </w:r>
      <w:r>
        <w:t xml:space="preserve">Toowoomba,</w:t>
      </w:r>
      <w:r>
        <w:t xml:space="preserve"> </w:t>
      </w:r>
      <w:r>
        <w:t xml:space="preserve">Queensland</w:t>
      </w:r>
      <w:r>
        <w:t xml:space="preserve"> </w:t>
      </w:r>
      <w:r>
        <w:t xml:space="preserve">4350,</w:t>
      </w:r>
      <w:r>
        <w:t xml:space="preserve"> </w:t>
      </w:r>
      <w:r>
        <w:t xml:space="preserve">Australia;</w:t>
      </w:r>
      <w:r>
        <w:t xml:space="preserve"> </w:t>
      </w:r>
      <w:r>
        <w:t xml:space="preserve">and</w:t>
      </w:r>
      <w:r>
        <w:t xml:space="preserve"> </w:t>
      </w:r>
      <w:r>
        <w:t xml:space="preserve">second</w:t>
      </w:r>
      <w:r>
        <w:t xml:space="preserve"> </w:t>
      </w:r>
      <w:r>
        <w:t xml:space="preserve">author:</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Crop</w:t>
      </w:r>
      <w:r>
        <w:t xml:space="preserve"> </w:t>
      </w:r>
      <w:r>
        <w:t xml:space="preserve">and</w:t>
      </w:r>
      <w:r>
        <w:t xml:space="preserve"> </w:t>
      </w:r>
      <w:r>
        <w:t xml:space="preserve">Environmental</w:t>
      </w:r>
      <w:r>
        <w:t xml:space="preserve"> </w:t>
      </w:r>
      <w:r>
        <w:t xml:space="preserve">Sciences</w:t>
      </w:r>
      <w:r>
        <w:t xml:space="preserve"> </w:t>
      </w:r>
      <w:r>
        <w:t xml:space="preserve">Division,</w:t>
      </w:r>
      <w:r>
        <w:t xml:space="preserve"> </w:t>
      </w:r>
      <w:r>
        <w:t xml:space="preserve">Los</w:t>
      </w:r>
      <w:r>
        <w:t xml:space="preserve"> </w:t>
      </w:r>
      <w:r>
        <w:t xml:space="preserve">Baños,</w:t>
      </w:r>
      <w:r>
        <w:t xml:space="preserve"> </w:t>
      </w:r>
      <w:r>
        <w:t xml:space="preserve">Laguna</w:t>
      </w:r>
      <w:r>
        <w:t xml:space="preserve"> </w:t>
      </w:r>
      <w:r>
        <w:t xml:space="preserve">4031,</w:t>
      </w:r>
      <w:r>
        <w:t xml:space="preserve"> </w:t>
      </w:r>
      <w:r>
        <w:t xml:space="preserve">Philippines.</w:t>
      </w:r>
    </w:p>
    <w:p>
      <w:pPr>
        <w:pStyle w:val="FirstParagraph"/>
      </w:pPr>
      <w:r>
        <w:t xml:space="preserve">Corresponding author: Adam H. Sparks; E-mail address:</w:t>
      </w:r>
      <w:r>
        <w:t xml:space="preserve"> </w:t>
      </w:r>
      <w:hyperlink r:id="rId21">
        <w:r>
          <w:rPr>
            <w:rStyle w:val="Hyperlink"/>
          </w:rPr>
          <w:t xml:space="preserve">Adam.Sparks@usq.edu.au</w:t>
        </w:r>
      </w:hyperlink>
    </w:p>
    <w:p>
      <w:r>
        <w:pict>
          <v:rect style="width:0;height:1.5pt" o:hralign="center" o:hrstd="t" o:hr="t"/>
        </w:pict>
      </w:r>
    </w:p>
    <w:p>
      <w:pPr>
        <w:pStyle w:val="Heading1"/>
      </w:pPr>
      <w:bookmarkStart w:id="22" w:name="abstract"/>
      <w:bookmarkEnd w:id="22"/>
      <w:r>
        <w:t xml:space="preserve">Abstract</w:t>
      </w:r>
    </w:p>
    <w:p>
      <w:pPr>
        <w:pStyle w:val="FirstParagraph"/>
      </w:pPr>
      <w:r>
        <w:t xml:space="preserve">Water and nitrogen management play vital roles in rice production. However, the mismanagement of these two management practices may trigger sheath blight of rice, caused by</w:t>
      </w:r>
      <w:r>
        <w:t xml:space="preserve"> </w:t>
      </w:r>
      <w:r>
        <w:rPr>
          <w:i/>
        </w:rPr>
        <w:t xml:space="preserve">Rhizoctonia solani</w:t>
      </w:r>
      <w:r>
        <w:t xml:space="preserve">, which is favored by wet conditions, high relative humidity, and high nitrogen fertilizer levels. To understand how different combinations of water and nitrogen management affect sheath blight epidemics, we conducted two separate split-plot experiments with a water saving (alternate wetting and drying) regime and traditional flood irrigation regime combined with differing nitrogen treatments in the dry seasons of 2015 and 2016. Disease was scored in the same way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differences in disease in either experiment due to irrigation regime, N rates or the interaction of the two treatments in either season. This suggests that farmers can adopt water saving technologies without risking increased sheath blight incidence. We suggest that further cross-cutting research in this area is warranted.</w:t>
      </w:r>
    </w:p>
    <w:p>
      <w:r>
        <w:pict>
          <v:rect style="width:0;height:1.5pt" o:hralign="center" o:hrstd="t" o:hr="t"/>
        </w:pict>
      </w:r>
    </w:p>
    <w:p>
      <w:pPr>
        <w:pStyle w:val="Heading5"/>
      </w:pPr>
      <w:bookmarkStart w:id="23" w:name="section"/>
      <w:bookmarkEnd w:id="23"/>
    </w:p>
    <w:p>
      <w:pPr>
        <w:pStyle w:val="Heading1"/>
      </w:pPr>
      <w:bookmarkStart w:id="24" w:name="materials-and-methods"/>
      <w:bookmarkEnd w:id="24"/>
      <w:r>
        <w:t xml:space="preserve">Materials and Methods</w:t>
      </w:r>
    </w:p>
    <w:p>
      <w:pPr>
        <w:pStyle w:val="Heading2"/>
      </w:pPr>
      <w:bookmarkStart w:id="25" w:name="experimental-design"/>
      <w:bookmarkEnd w:id="25"/>
      <w:r>
        <w:t xml:space="preserve">Experimental design</w:t>
      </w:r>
    </w:p>
    <w:p>
      <w:pPr>
        <w:pStyle w:val="FirstParagraph"/>
      </w:pPr>
      <w:r>
        <w:t xml:space="preserve">Two experiments were conducted at the International Rice Research Institute's (IRRI) Ziegler Experiment Station in Los Baños, Calabarzon, Philippines (latitude 14°11' N, , longitude 121°15' E) in the 2015 and 2016 dry seasons. For the 2016 season changes were made to optimize the experiment based on findings from the 2015 season. Both seasons consisted of split plot design with four replicates where irrigation was the main plot and nitrogen (N) rate was the split plot treatment. The changes between seasons and experiments are detailed following.</w:t>
      </w:r>
    </w:p>
    <w:p>
      <w:pPr>
        <w:pStyle w:val="Heading3"/>
      </w:pPr>
      <w:bookmarkStart w:id="26" w:name="dry-season"/>
      <w:bookmarkEnd w:id="26"/>
      <w:r>
        <w:t xml:space="preserve">2015 Dry Season</w:t>
      </w:r>
    </w:p>
    <w:p>
      <w:pPr>
        <w:pStyle w:val="FirstParagraph"/>
      </w:pPr>
      <w:r>
        <w:t xml:space="preserve">The main plot size was 12m x 12m (144 sq m), with a sub-plot size of 5m x 5m (25 sq m). Replication size was 12m x 24m (288 sq m) with a buffer of 1m per sub plot for a whole experiment size of 1,152 sq m. The main plot treatments were alternate wetting and drying (AWD) and flooded or farmers' practice.</w:t>
      </w:r>
    </w:p>
    <w:p>
      <w:pPr>
        <w:pStyle w:val="Heading3"/>
      </w:pPr>
      <w:bookmarkStart w:id="27" w:name="dry-season-1"/>
      <w:bookmarkEnd w:id="27"/>
      <w:r>
        <w:t xml:space="preserve">2016 Dry Season</w:t>
      </w:r>
    </w:p>
    <w:p>
      <w:pPr>
        <w:pStyle w:val="FirstParagraph"/>
      </w:pPr>
      <w:r>
        <w:t xml:space="preserve">In 2016 dry season the plot size was increased and due to these changes, the sizes of the replicates are not equal as necessitated by the use of a larger area for the experiment. The main plot sizes were: Block 1 (B1) 21m x 20.5m (412.5 sq m) and Block 2 (B2) 20.25m x 21.6m (437.4 sq m). The sub plot sizes were B1 21m x 10.25m (215.25 sq m), B2 20.25m x 10.8m (218.7 sq m). The replication sizes were B1 - 42m x 20.5m (861 sq m) and B2 - 40.5m x 21.6m (874.8 sq m). A buffer 0.5m per sub plot was used and the overall experiment size was 3471.6 sq m.</w:t>
      </w:r>
    </w:p>
    <w:p>
      <w:pPr>
        <w:pStyle w:val="Heading2"/>
      </w:pPr>
      <w:bookmarkStart w:id="28" w:name="data-collection-and-analysis"/>
      <w:bookmarkEnd w:id="28"/>
      <w:r>
        <w:t xml:space="preserve">Data collection and analysis</w:t>
      </w:r>
    </w:p>
    <w:p>
      <w:pPr>
        <w:pStyle w:val="FirstParagraph"/>
      </w:pPr>
      <w:r>
        <w:t xml:space="preserve">Data were analysed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2017)</w:t>
      </w:r>
      <w:r>
        <w:t xml:space="preserve">.</w:t>
      </w:r>
    </w:p>
    <w:p>
      <w:pPr>
        <w:pStyle w:val="Heading1"/>
      </w:pPr>
      <w:bookmarkStart w:id="29" w:name="results"/>
      <w:bookmarkEnd w:id="29"/>
      <w:r>
        <w:t xml:space="preserve">Results</w:t>
      </w:r>
    </w:p>
    <w:p>
      <w:pPr>
        <w:pStyle w:val="Heading1"/>
      </w:pPr>
      <w:bookmarkStart w:id="30" w:name="discussion"/>
      <w:bookmarkEnd w:id="30"/>
      <w:r>
        <w:t xml:space="preserve">Discussion</w:t>
      </w:r>
    </w:p>
    <w:p>
      <w:pPr>
        <w:pStyle w:val="Heading1"/>
      </w:pPr>
      <w:bookmarkStart w:id="31" w:name="acknowledgments"/>
      <w:bookmarkEnd w:id="31"/>
      <w:r>
        <w:t xml:space="preserve">Acknowledgments</w:t>
      </w:r>
    </w:p>
    <w:p>
      <w:pPr>
        <w:pStyle w:val="Heading1"/>
      </w:pPr>
      <w:bookmarkStart w:id="32" w:name="literature-cited"/>
      <w:bookmarkEnd w:id="32"/>
      <w:r>
        <w:t xml:space="preserve">Literature Cited</w:t>
      </w:r>
    </w:p>
    <w:p>
      <w:pPr>
        <w:pStyle w:val="Bibliography"/>
      </w:pPr>
      <w:r>
        <w:t xml:space="preserve">Hadfield, J. D. 2010. MCMC methods for multi-response generalized linear mixed models: The MCMCglmm R package. Journal of Statistical Software. 33:1–22 Available at:</w:t>
      </w:r>
      <w:r>
        <w:t xml:space="preserve"> </w:t>
      </w:r>
      <w:hyperlink r:id="rId33">
        <w:r>
          <w:rPr>
            <w:rStyle w:val="Hyperlink"/>
          </w:rPr>
          <w:t xml:space="preserve">http://www.jstatsoft.org/v33/i02/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4">
        <w:r>
          <w:rPr>
            <w:rStyle w:val="Hyperlink"/>
          </w:rPr>
          <w:t xml:space="preserve">https://www.R-project.org/</w:t>
        </w:r>
      </w:hyperlink>
      <w:r>
        <w:t xml:space="preserve">.</w:t>
      </w:r>
    </w:p>
    <w:sectPr w:rsidR="00AD28DF" w:rsidSect="00773B32">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7EAEC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DEE44FBC"/>
    <w:lvl w:ilvl="0">
      <w:start w:val="1"/>
      <w:numFmt w:val="decimal"/>
      <w:lvlText w:val="%1."/>
      <w:lvlJc w:val="left"/>
      <w:pPr>
        <w:tabs>
          <w:tab w:val="num" w:pos="1209"/>
        </w:tabs>
        <w:ind w:left="1209" w:hanging="360"/>
      </w:pPr>
    </w:lvl>
  </w:abstractNum>
  <w:abstractNum w:abstractNumId="4">
    <w:nsid w:val="FFFFFF7E"/>
    <w:multiLevelType w:val="singleLevel"/>
    <w:tmpl w:val="5F0EF150"/>
    <w:lvl w:ilvl="0">
      <w:start w:val="1"/>
      <w:numFmt w:val="decimal"/>
      <w:lvlText w:val="%1."/>
      <w:lvlJc w:val="left"/>
      <w:pPr>
        <w:tabs>
          <w:tab w:val="num" w:pos="926"/>
        </w:tabs>
        <w:ind w:left="926" w:hanging="360"/>
      </w:pPr>
    </w:lvl>
  </w:abstractNum>
  <w:abstractNum w:abstractNumId="5">
    <w:nsid w:val="FFFFFF7F"/>
    <w:multiLevelType w:val="singleLevel"/>
    <w:tmpl w:val="44CA4D54"/>
    <w:lvl w:ilvl="0">
      <w:start w:val="1"/>
      <w:numFmt w:val="decimal"/>
      <w:lvlText w:val="%1."/>
      <w:lvlJc w:val="left"/>
      <w:pPr>
        <w:tabs>
          <w:tab w:val="num" w:pos="643"/>
        </w:tabs>
        <w:ind w:left="643" w:hanging="360"/>
      </w:pPr>
    </w:lvl>
  </w:abstractNum>
  <w:abstractNum w:abstractNumId="6">
    <w:nsid w:val="FFFFFF80"/>
    <w:multiLevelType w:val="singleLevel"/>
    <w:tmpl w:val="FAF2DAC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79C771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4C9AE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CEE34DA"/>
    <w:lvl w:ilvl="0">
      <w:start w:val="1"/>
      <w:numFmt w:val="bullet"/>
      <w:lvlText w:val=""/>
      <w:lvlJc w:val="left"/>
      <w:pPr>
        <w:tabs>
          <w:tab w:val="num" w:pos="643"/>
        </w:tabs>
        <w:ind w:left="643" w:hanging="360"/>
      </w:pPr>
      <w:rPr>
        <w:rFonts w:ascii="Symbol" w:hAnsi="Symbol" w:hint="default"/>
      </w:rPr>
    </w:lvl>
  </w:abstractNum>
  <w:abstractNum w:abstractNumId="990">
    <w:nsid w:val="4d0b2a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CF5D7D"/>
    <w:pPr>
      <w:spacing w:after="0"/>
      <w:contextualSpacing/>
    </w:pPr>
  </w:style>
  <w:style w:type="paragraph" w:styleId="Heading1">
    <w:name w:val="heading 1"/>
    <w:basedOn w:val="Normal"/>
    <w:next w:val="BodyText"/>
    <w:uiPriority w:val="9"/>
    <w:qFormat/>
    <w:rsid w:val="00EB4AC1"/>
    <w:pPr>
      <w:keepNext/>
      <w:keepLines/>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A54E1A"/>
    <w:pPr>
      <w:keepNext/>
      <w:keepLines/>
      <w:spacing w:before="20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2413B"/>
    <w:pPr>
      <w:keepNext/>
      <w:keepLines/>
      <w:spacing w:before="200"/>
      <w:outlineLvl w:val="2"/>
    </w:pPr>
    <w:rPr>
      <w:rFonts w:eastAsiaTheme="majorEastAsia" w:cstheme="majorBidi"/>
      <w:bCs/>
      <w:i/>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477A9"/>
    <w:pPr>
      <w:keepNext/>
      <w:keepLines/>
      <w:pageBreakBefore/>
      <w:spacing w:before="160" w:after="160" w:line="20" w:lineRule="exact"/>
      <w:jc w:val="righ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145"/>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1B0145"/>
    <w:pPr>
      <w:keepNext/>
      <w:keepLines/>
      <w:spacing w:before="100" w:after="100"/>
      <w:jc w:val="center"/>
    </w:pPr>
    <w:rPr>
      <w:rFonts w:ascii="Cambria" w:eastAsiaTheme="majorEastAsia" w:hAnsi="Cambr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character" w:styleId="LineNumber">
    <w:name w:val="line number"/>
    <w:basedOn w:val="DefaultParagraphFont"/>
    <w:semiHidden/>
    <w:unhideWhenUsed/>
    <w:rsid w:val="00773B32"/>
  </w:style>
  <w:style w:type="paragraph" w:customStyle="1" w:styleId="Abstract">
    <w:name w:val="Abstract"/>
    <w:basedOn w:val="Normal"/>
    <w:next w:val="BodyText"/>
    <w:qFormat/>
    <w:rsid w:val="00177EEF"/>
    <w:pPr>
      <w:keepNext/>
      <w:keepLines/>
      <w:spacing w:before="300" w:after="300"/>
    </w:pPr>
    <w:rPr>
      <w:sz w:val="20"/>
      <w:szCs w:val="20"/>
    </w:rPr>
  </w:style>
  <w:style w:type="paragraph" w:styleId="Bibliography">
    <w:name w:val="Bibliography"/>
    <w:basedOn w:val="Normal"/>
    <w:qFormat/>
    <w:rsid w:val="00AD28DF"/>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ind w:left="284" w:hanging="284"/>
    </w:pPr>
  </w:style>
  <w:style w:type="character" w:customStyle="1" w:styleId="BodyTextChar">
    <w:name w:val="Body Text Char"/>
    <w:basedOn w:val="DefaultParagraphFont"/>
    <w:link w:val="BodyText"/>
    <w:rsid w:val="001B0145"/>
  </w:style>
  <w:style w:type="paragraph" w:customStyle="1" w:styleId="Keywords">
    <w:name w:val="Keywords"/>
    <w:basedOn w:val="BodyText"/>
    <w:qFormat/>
    <w:rsid w:val="00920D33"/>
  </w:style>
  <w:style w:type="paragraph" w:customStyle="1" w:styleId="Name">
    <w:name w:val="Name"/>
    <w:basedOn w:val="Author"/>
    <w:qFormat/>
    <w:rsid w:val="0009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What Does Reproducible Research Mean for Plant Pathology</vt:lpstr>
    </vt:vector>
  </TitlesOfParts>
  <Company>University of Southern Queensland</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and Nitrogen Fertilization on Sheath Blight of Rice</dc:title>
  <dc:creator>A.H. Sparks and N.P. Castilla</dc:creator>
  <dcterms:created xsi:type="dcterms:W3CDTF">2017-04-07T03:10:20Z</dcterms:created>
  <dcterms:modified xsi:type="dcterms:W3CDTF">2017-04-07T03:10:20Z</dcterms:modified>
</cp:coreProperties>
</file>