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Burndown Project – Configuration Module Explanation</w:t>
      </w:r>
    </w:p>
    <w:p>
      <w:pPr>
        <w:pStyle w:val="Heading2"/>
      </w:pPr>
      <w:r>
        <w:t>1. Purpose of Configuration Module</w:t>
      </w:r>
    </w:p>
    <w:p>
      <w:r>
        <w:t>The configuration module centralizes all static and environment-specific settings used across the Risk Burndown application. This approach avoids hardcoding values in business logic and improves maintainability, consistency, and audit readiness.</w:t>
      </w:r>
    </w:p>
    <w:p>
      <w:pPr>
        <w:pStyle w:val="Heading2"/>
      </w:pPr>
      <w:r>
        <w:t>2. settings.py</w:t>
      </w:r>
    </w:p>
    <w:p>
      <w:r>
        <w:t>The settings.py file contains global constants and configuration parameters that are reused across multiple modules such as authentication, data handling, risk entry, and dashboard visualization.</w:t>
      </w:r>
    </w:p>
    <w:p>
      <w:pPr>
        <w:pStyle w:val="Heading3"/>
      </w:pPr>
      <w:r>
        <w:t>2.1 Excel File Path Configuration</w:t>
      </w:r>
    </w:p>
    <w:p>
      <w:r>
        <w:t>The EXCEL_FILE variable defines the absolute path where risk data is stored locally. All read and write operations for risk data refer to this path, ensuring a single source of truth.</w:t>
      </w:r>
    </w:p>
    <w:p>
      <w:pPr>
        <w:pStyle w:val="Heading3"/>
      </w:pPr>
      <w:r>
        <w:t>2.2 User Credentials and Roles</w:t>
      </w:r>
    </w:p>
    <w:p>
      <w:r>
        <w:t>The USERS dictionary defines application users along with their passwords and roles. Each user is associated with a type such as technical manager or upper manager. This configuration enables role-based authentication and access control.</w:t>
      </w:r>
    </w:p>
    <w:p>
      <w:pPr>
        <w:pStyle w:val="Heading3"/>
      </w:pPr>
      <w:r>
        <w:t>2.3 Standard Risk Data Schema</w:t>
      </w:r>
    </w:p>
    <w:p>
      <w:r>
        <w:t>ALL_STANDARD_COLUMNS defines the canonical schema for risk records. The dashboard and data loader rely on this list to validate, normalize, and reorder incoming datasets. This ensures consistency even when files are uploaded from external sources.</w:t>
      </w:r>
    </w:p>
    <w:p>
      <w:pPr>
        <w:pStyle w:val="Heading3"/>
      </w:pPr>
      <w:r>
        <w:t>2.4 Dropdown Options for Risk Attributes</w:t>
      </w:r>
    </w:p>
    <w:p>
      <w:r>
        <w:t>Configuration lists such as RISK_TYPE_OPTIONS, PROBABILITY_OPTIONS, IMPACT_OPTIONS, DIFFICULTY_OPTIONS, and PRIORITY_OPTIONS define allowed values for risk attributes. These lists populate dropdown controls in the Add Risk form and enforce standardized inputs.</w:t>
      </w:r>
    </w:p>
    <w:p>
      <w:pPr>
        <w:pStyle w:val="Heading3"/>
      </w:pPr>
      <w:r>
        <w:t>2.5 Date Format Standardization</w:t>
      </w:r>
    </w:p>
    <w:p>
      <w:r>
        <w:t>The DATE_FORMAT constant defines a single date representation used throughout the application. All date inputs, storage, and conversions rely on this format, which is critical for accurate burndown calculations and reporting.</w:t>
      </w:r>
    </w:p>
    <w:p>
      <w:pPr>
        <w:pStyle w:val="Heading2"/>
      </w:pPr>
      <w:r>
        <w:t>3. __init__.py</w:t>
      </w:r>
    </w:p>
    <w:p>
      <w:r>
        <w:t>The __init__.py file marks the config directory as a Python package. Its presence allows configuration variables to be imported cleanly from the config module across the application.</w:t>
      </w:r>
    </w:p>
    <w:p>
      <w:pPr>
        <w:pStyle w:val="Heading3"/>
      </w:pPr>
      <w:r>
        <w:t>3.1 Design Importance</w:t>
      </w:r>
    </w:p>
    <w:p>
      <w:r>
        <w:t>Although __init__.py may not contain executable code, it plays a critical role in maintaining a clean module structure. This supports scalability and avoids import-related issues.</w:t>
      </w:r>
    </w:p>
    <w:p>
      <w:pPr>
        <w:pStyle w:val="Heading2"/>
      </w:pPr>
      <w:r>
        <w:t>4. Design Benefits of Centralized Configuration</w:t>
      </w:r>
    </w:p>
    <w:p>
      <w:r>
        <w:t>Centralizing configuration values provides several benefits: improved maintainability, reduced duplication, simplified updates, consistent behavior across modules, and better audit compliance. It also enables easier migration to environment-based configuration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