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Projektleiter Lloyd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Wer nimmt Teil und in etwa welchem Rhythmus finden Teambesprechungen statt? s. 15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Wer nimmt Teil und in etwa welchem Rhythmus finden Besprechungen des Lenkungsausschuss statt?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71925" cy="28289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Was muss ein Protokoll formal enthalten?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981575" cy="383857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Welche Ereignisse kennen Sie für das Ereignisprotokoll?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  <w:tab/>
        <w:t xml:space="preserve">Aufforderung, Beschluss, Empfehlung und Feststellung.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Was ist und wann ist ein Projekt-Sonderbericht notwendig?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705350" cy="38195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Was ist und wozu ist ein Projekt-Statusbericht notwendig?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972050" cy="37528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Was ist ein PSP (Projektstrukturplan)?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924425" cy="3695700"/>
            <wp:effectExtent b="0" l="0" r="0" t="0"/>
            <wp:docPr id="1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Nennen Sie die Nutzen von PSPs.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  <w:tab/>
        <w:t xml:space="preserve">Mithilfe des PSPs kann man sein Projekt in kleinen Abschnitten einteilen. Dadurch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  <w:tab/>
        <w:t xml:space="preserve">wird die Erstellung von Arbeitspaketen ermöglicht. Diese Arbeitspakete können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  <w:tab/>
        <w:t xml:space="preserve">dann in einem Bereich eingeteilt werden (Designer, Programmierer), wo sie auch von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  <w:tab/>
        <w:t xml:space="preserve">der richtigen Fachkraft abgeschlossen werden kann.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Welche Arten von PSPs kennen Sie? Welche Art haben Sie in Ihrer Arbeit verwendet?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105400" cy="380047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Welche Leitlinien der Projektplanung kennen Sie?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514975" cy="41814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Was ist ein Arbeitspaket? Charakterisieren Sie ein Arbeitspaket.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810125" cy="36861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Welche Beziehungen bestehen zwischen Vorgängen? s.26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Was bedeutet „Normalfolge – EA“ bei den Vorgängen?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60410" cy="43561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ab/>
        <w:t xml:space="preserve">EA → Wenn der eine Vorgang endet(E), darf der ander Vorgang anfangen(A).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Wie  war die Teamarbeit in Ihrem Projekt?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Was verstehen Sie unter „Teamtreue“? Wie war diese bei Ihrem Projekt?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Wie viel Zeit wurde für die Mitarbeiter einzeln geplant? Wie viel Zeit haben die MA tatsächlich gebraucht? Kommentieren Sie Ihre Aussagen!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Was werden Sie beim nächsten Projekt auf keinen Fall tun?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Was werden Sie beim nächsten Projekt anders machen?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Was war das wertvollste (falls zutrifft), was Sie in diesem Fach gelernt haben?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Wie zufrieden waren Sie mit Ihrem Projektleiter/Team? Nennen Sie Beispiele, die Ihre Aussage unterstützen können.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Wer entscheidet, ob ein Projekt erfolgreich 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4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54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7.png"/><Relationship Id="rId13" Type="http://schemas.openxmlformats.org/officeDocument/2006/relationships/image" Target="media/image15.png"/><Relationship Id="rId12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5" Type="http://schemas.openxmlformats.org/officeDocument/2006/relationships/image" Target="media/image13.png"/><Relationship Id="rId6" Type="http://schemas.openxmlformats.org/officeDocument/2006/relationships/image" Target="media/image14.png"/><Relationship Id="rId7" Type="http://schemas.openxmlformats.org/officeDocument/2006/relationships/image" Target="media/image11.pn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